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4AFEB">
      <w:pPr>
        <w:framePr w:w="4326" w:hSpace="181" w:wrap="around" w:vAnchor="page" w:hAnchor="page" w:x="1441" w:y="563" w:anchorLock="1"/>
        <w:rPr>
          <w:rFonts w:ascii="Times New Roman" w:hAnsi="Times New Roman" w:eastAsia="黑体" w:cs="Times New Roman"/>
          <w:bCs/>
        </w:rPr>
      </w:pPr>
      <w:r>
        <w:rPr>
          <w:rFonts w:ascii="Times New Roman" w:hAnsi="Times New Roman" w:eastAsia="黑体" w:cs="Times New Roman"/>
          <w:bCs/>
        </w:rPr>
        <w:t>ICS 77.120.40</w:t>
      </w:r>
    </w:p>
    <w:p w14:paraId="49DEBC04">
      <w:pPr>
        <w:rPr>
          <w:rFonts w:ascii="Times New Roman" w:hAnsi="Times New Roman" w:cs="Times New Roman"/>
        </w:rPr>
      </w:pPr>
    </w:p>
    <w:p w14:paraId="5037D312">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1" layoutInCell="0" allowOverlap="1">
                <wp:simplePos x="0" y="0"/>
                <wp:positionH relativeFrom="page">
                  <wp:posOffset>947420</wp:posOffset>
                </wp:positionH>
                <wp:positionV relativeFrom="page">
                  <wp:posOffset>1288415</wp:posOffset>
                </wp:positionV>
                <wp:extent cx="6338570" cy="610235"/>
                <wp:effectExtent l="0" t="0" r="18415" b="10160"/>
                <wp:wrapNone/>
                <wp:docPr id="1" name="矩形 1"/>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14:paraId="3A0EAB2C">
                            <w:bookmarkStart w:id="11" w:name="_MON_1766047341"/>
                            <w:bookmarkEnd w:id="11"/>
                            <w:r>
                              <w:object>
                                <v:shape id="_x0000_i1025" o:spt="75" type="#_x0000_t75" style="height:47.45pt;width:451.1pt;" o:ole="t" fillcolor="#6D6D6D"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txbxContent>
                      </wps:txbx>
                      <wps:bodyPr wrap="none" lIns="0" tIns="0" rIns="0" bIns="0" upright="1">
                        <a:spAutoFit/>
                      </wps:bodyPr>
                    </wps:wsp>
                  </a:graphicData>
                </a:graphic>
              </wp:anchor>
            </w:drawing>
          </mc:Choice>
          <mc:Fallback>
            <w:pict>
              <v:rect id="_x0000_s1026" o:spid="_x0000_s1026" o:spt="1" style="position:absolute;left:0pt;margin-left:74.6pt;margin-top:101.45pt;height:48.05pt;width:499.1pt;mso-position-horizontal-relative:page;mso-position-vertical-relative:page;mso-wrap-style:none;z-index:251660288;mso-width-relative:page;mso-height-relative:page;" filled="f" stroked="f" coordsize="21600,21600" o:allowincell="f" o:gfxdata="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gnWL2gAAAAwBAAAPAAAAAAAAAAEAIAAAACIAAABkcnMv&#10;ZG93bnJldi54bWxQSwECFAAUAAAACACHTuJALsLmK8gBAACRAwAADgAAAAAAAAABACAAAAApAQAA&#10;ZHJzL2Uyb0RvYy54bWxQSwUGAAAAAAYABgBZAQAAYwUAAAAA&#10;">
                <v:fill on="f" focussize="0,0"/>
                <v:stroke on="f" weight="0pt"/>
                <v:imagedata o:title=""/>
                <o:lock v:ext="edit" aspectratio="f"/>
                <v:textbox inset="0mm,0mm,0mm,0mm" style="mso-fit-shape-to-text:t;">
                  <w:txbxContent>
                    <w:p w14:paraId="3A0EAB2C">
                      <w:bookmarkStart w:id="11" w:name="_MON_1766047341"/>
                      <w:bookmarkEnd w:id="11"/>
                      <w:r>
                        <w:object>
                          <v:shape id="_x0000_i1025" o:spt="75" type="#_x0000_t75" style="height:47.45pt;width:451.1pt;" o:ole="t" fillcolor="#6D6D6D"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6" r:id="rId10">
                            <o:LockedField>false</o:LockedField>
                          </o:OLEObject>
                        </w:object>
                      </w:r>
                    </w:p>
                  </w:txbxContent>
                </v:textbox>
                <w10:anchorlock/>
              </v:rect>
            </w:pict>
          </mc:Fallback>
        </mc:AlternateContent>
      </w:r>
      <w:r>
        <w:rPr>
          <w:rFonts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70.9pt;margin-top:217.95pt;height:0.05pt;width:481.95pt;mso-position-horizontal-relative:page;mso-position-vertical-relative:page;z-index:251662336;mso-width-relative:page;mso-height-relative:page;" filled="f" stroked="t" coordsize="21600,21600" o:gfxdata="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y1+naAAAADAEAAA8AAAAAAAAAAQAgAAAAIgAAAGRycy9kb3ducmV2LnhtbFBLAQIUABQAAAAI&#10;AIdO4kC23GxM6wEAANYDAAAOAAAAAAAAAAEAIAAAACkBAABkcnMvZTJvRG9jLnhtbFBLBQYAAAAA&#10;BgAGAFkBAACGBQAAAAA=&#10;">
                <v:fill on="f" focussize="0,0"/>
                <v:stroke color="#000000" joinstyle="round" startarrowwidth="narrow" startarrowlength="short" endarrowwidth="narrow" endarrowlength="short"/>
                <v:imagedata o:title=""/>
                <o:lock v:ext="edit" aspectratio="f"/>
                <w10:anchorlock/>
              </v:line>
            </w:pict>
          </mc:Fallback>
        </mc:AlternateContent>
      </w:r>
      <w:r>
        <w:rPr>
          <w:rFonts w:ascii="Times New Roman" w:hAnsi="Times New Roman" w:cs="Times New Roman"/>
        </w:rPr>
        <mc:AlternateContent>
          <mc:Choice Requires="wps">
            <w:drawing>
              <wp:anchor distT="0" distB="0" distL="114300" distR="114300" simplePos="0" relativeHeight="251661312" behindDoc="0" locked="1" layoutInCell="0" allowOverlap="1">
                <wp:simplePos x="0" y="0"/>
                <wp:positionH relativeFrom="page">
                  <wp:posOffset>5029200</wp:posOffset>
                </wp:positionH>
                <wp:positionV relativeFrom="page">
                  <wp:posOffset>299720</wp:posOffset>
                </wp:positionV>
                <wp:extent cx="1650365" cy="927735"/>
                <wp:effectExtent l="0" t="0" r="0" b="0"/>
                <wp:wrapNone/>
                <wp:docPr id="6" name="矩形 6"/>
                <wp:cNvGraphicFramePr/>
                <a:graphic xmlns:a="http://schemas.openxmlformats.org/drawingml/2006/main">
                  <a:graphicData uri="http://schemas.microsoft.com/office/word/2010/wordprocessingShape">
                    <wps:wsp>
                      <wps:cNvSpPr/>
                      <wps:spPr>
                        <a:xfrm>
                          <a:off x="0" y="0"/>
                          <a:ext cx="1650365" cy="927735"/>
                        </a:xfrm>
                        <a:prstGeom prst="rect">
                          <a:avLst/>
                        </a:prstGeom>
                        <a:noFill/>
                        <a:ln w="0">
                          <a:noFill/>
                        </a:ln>
                      </wps:spPr>
                      <wps:txbx>
                        <w:txbxContent>
                          <w:p w14:paraId="6344DEDA">
                            <w:r>
                              <w:object>
                                <v:shape id="_x0000_i1026" o:spt="75" type="#_x0000_t75" style="height:74pt;width:131.55pt;" o:ole="t" filled="f" o:preferrelative="t" stroked="f" coordsize="21600,21600">
                                  <v:path/>
                                  <v:fill on="f" focussize="0,0"/>
                                  <v:stroke on="f" joinstyle="miter"/>
                                  <v:imagedata r:id="rId12" o:title=""/>
                                  <o:lock v:ext="edit" aspectratio="t"/>
                                  <w10:wrap type="none"/>
                                  <w10:anchorlock/>
                                </v:shape>
                                <o:OLEObject Type="Embed" ProgID="Word.Document.8" ShapeID="_x0000_i1026" DrawAspect="Content" ObjectID="_1468075727" r:id="rId11">
                                  <o:LockedField>false</o:LockedField>
                                </o:OLEObject>
                              </w:object>
                            </w:r>
                          </w:p>
                        </w:txbxContent>
                      </wps:txbx>
                      <wps:bodyPr lIns="0" tIns="0" rIns="0" bIns="0" upright="1"/>
                    </wps:wsp>
                  </a:graphicData>
                </a:graphic>
              </wp:anchor>
            </w:drawing>
          </mc:Choice>
          <mc:Fallback>
            <w:pict>
              <v:rect id="_x0000_s1026" o:spid="_x0000_s1026" o:spt="1" style="position:absolute;left:0pt;margin-left:396pt;margin-top:23.6pt;height:73.05pt;width:129.95pt;mso-position-horizontal-relative:page;mso-position-vertical-relative:page;z-index:251661312;mso-width-relative:page;mso-height-relative:page;" filled="f" stroked="f" coordsize="21600,21600" o:allowincell="f" o:gfxdata="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JWmdkAAAALAQAADwAAAAAAAAABACAAAAAiAAAAZHJzL2Rvd25yZXYueG1sUEsBAhQAFAAA&#10;AAgAh07iQJ+2Ffu1AQAAawMAAA4AAAAAAAAAAQAgAAAAKAEAAGRycy9lMm9Eb2MueG1sUEsFBgAA&#10;AAAGAAYAWQEAAE8FAAAAAA==&#10;">
                <v:fill on="f" focussize="0,0"/>
                <v:stroke on="f" weight="0pt"/>
                <v:imagedata o:title=""/>
                <o:lock v:ext="edit" aspectratio="f"/>
                <v:textbox inset="0mm,0mm,0mm,0mm">
                  <w:txbxContent>
                    <w:p w14:paraId="6344DEDA">
                      <w:r>
                        <w:object>
                          <v:shape id="_x0000_i1026" o:spt="75" type="#_x0000_t75" style="height:74pt;width:131.55pt;" o:ole="t" filled="f" o:preferrelative="t" stroked="f" coordsize="21600,21600">
                            <v:path/>
                            <v:fill on="f" focussize="0,0"/>
                            <v:stroke on="f" joinstyle="miter"/>
                            <v:imagedata r:id="rId12" o:title=""/>
                            <o:lock v:ext="edit" aspectratio="t"/>
                            <w10:wrap type="none"/>
                            <w10:anchorlock/>
                          </v:shape>
                          <o:OLEObject Type="Embed" ProgID="Word.Document.8" ShapeID="_x0000_i1026" DrawAspect="Content" ObjectID="_1468075728" r:id="rId13">
                            <o:LockedField>false</o:LockedField>
                          </o:OLEObject>
                        </w:object>
                      </w:r>
                    </w:p>
                  </w:txbxContent>
                </v:textbox>
                <w10:anchorlock/>
              </v:rect>
            </w:pict>
          </mc:Fallback>
        </mc:AlternateContent>
      </w:r>
    </w:p>
    <w:p w14:paraId="44BDC6EC">
      <w:pPr>
        <w:framePr w:w="4383" w:hSpace="181" w:wrap="around" w:vAnchor="page" w:hAnchor="page" w:x="1441" w:y="844" w:anchorLock="1"/>
        <w:rPr>
          <w:rFonts w:ascii="Times New Roman" w:hAnsi="Times New Roman" w:eastAsia="黑体" w:cs="Times New Roman"/>
          <w:bCs/>
        </w:rPr>
      </w:pPr>
      <w:r>
        <w:rPr>
          <w:rFonts w:ascii="Times New Roman" w:hAnsi="Times New Roman" w:eastAsia="黑体" w:cs="Times New Roman"/>
          <w:bCs/>
        </w:rPr>
        <w:t>CCS H09</w:t>
      </w:r>
    </w:p>
    <w:p w14:paraId="3B948F9F">
      <w:pPr>
        <w:rPr>
          <w:rFonts w:ascii="Times New Roman" w:hAnsi="Times New Roman" w:cs="Times New Roman"/>
        </w:rPr>
      </w:pPr>
    </w:p>
    <w:p w14:paraId="1DFE1169">
      <w:pPr>
        <w:pStyle w:val="8"/>
        <w:rPr>
          <w:rFonts w:ascii="Times New Roman" w:hAnsi="Times New Roman" w:cs="Times New Roman"/>
          <w:color w:val="auto"/>
        </w:rPr>
      </w:pPr>
    </w:p>
    <w:p w14:paraId="7875D131">
      <w:pPr>
        <w:rPr>
          <w:rFonts w:ascii="Times New Roman" w:hAnsi="Times New Roman" w:cs="Times New Roman"/>
        </w:rPr>
      </w:pPr>
    </w:p>
    <w:p w14:paraId="302715CB">
      <w:pPr>
        <w:rPr>
          <w:rFonts w:ascii="Times New Roman" w:hAnsi="Times New Roman" w:cs="Times New Roman"/>
        </w:rPr>
      </w:pPr>
    </w:p>
    <w:p w14:paraId="318D89D7">
      <w:pPr>
        <w:rPr>
          <w:rFonts w:ascii="Times New Roman" w:hAnsi="Times New Roman" w:cs="Times New Roman"/>
        </w:rPr>
      </w:pPr>
    </w:p>
    <w:p w14:paraId="0E111574">
      <w:pPr>
        <w:rPr>
          <w:rFonts w:ascii="Times New Roman" w:hAnsi="Times New Roman" w:cs="Times New Roman"/>
        </w:rPr>
      </w:pPr>
    </w:p>
    <w:p w14:paraId="135F36A0">
      <w:pPr>
        <w:framePr w:w="5268" w:hSpace="181" w:wrap="around" w:vAnchor="page" w:hAnchor="page" w:x="5129" w:y="3437" w:anchorLock="1"/>
        <w:jc w:val="right"/>
        <w:rPr>
          <w:rFonts w:ascii="Times New Roman" w:hAnsi="Times New Roman" w:eastAsia="黑体" w:cs="Times New Roman"/>
          <w:bCs/>
          <w:szCs w:val="24"/>
        </w:rPr>
      </w:pPr>
      <w:bookmarkStart w:id="0" w:name="OLE_LINK1"/>
      <w:r>
        <w:rPr>
          <w:rFonts w:ascii="Times New Roman" w:hAnsi="Times New Roman" w:eastAsia="黑体" w:cs="Times New Roman"/>
          <w:bCs/>
          <w:szCs w:val="24"/>
        </w:rPr>
        <w:t>GB/T 25954－</w:t>
      </w:r>
      <w:bookmarkEnd w:id="0"/>
      <w:r>
        <w:rPr>
          <w:rFonts w:ascii="Times New Roman" w:hAnsi="Times New Roman" w:eastAsia="黑体" w:cs="Times New Roman"/>
          <w:bCs/>
          <w:szCs w:val="24"/>
        </w:rPr>
        <w:t>XXXX</w:t>
      </w:r>
    </w:p>
    <w:p w14:paraId="183FCE29">
      <w:pPr>
        <w:framePr w:w="5268" w:hSpace="181" w:wrap="around" w:vAnchor="page" w:hAnchor="page" w:x="5129" w:y="3437" w:anchorLock="1"/>
        <w:wordWrap w:val="0"/>
        <w:ind w:firstLine="2100" w:firstLineChars="1000"/>
        <w:jc w:val="right"/>
        <w:rPr>
          <w:rFonts w:ascii="Times New Roman" w:hAnsi="Times New Roman" w:cs="Times New Roman"/>
          <w:bCs/>
          <w:szCs w:val="21"/>
        </w:rPr>
      </w:pPr>
      <w:r>
        <w:rPr>
          <w:rFonts w:ascii="Times New Roman" w:hAnsi="Times New Roman" w:cs="Times New Roman"/>
          <w:bCs/>
          <w:szCs w:val="21"/>
        </w:rPr>
        <w:t>代替GB/T 25954－2010</w:t>
      </w:r>
    </w:p>
    <w:p w14:paraId="304FAC8A">
      <w:pPr>
        <w:framePr w:w="5268" w:hSpace="181" w:wrap="around" w:vAnchor="page" w:hAnchor="page" w:x="5129" w:y="3437" w:anchorLock="1"/>
        <w:jc w:val="right"/>
        <w:rPr>
          <w:rFonts w:ascii="Times New Roman" w:hAnsi="Times New Roman" w:eastAsia="黑体" w:cs="Times New Roman"/>
          <w:bCs/>
        </w:rPr>
      </w:pPr>
    </w:p>
    <w:p w14:paraId="42B6E08F">
      <w:pPr>
        <w:rPr>
          <w:rFonts w:ascii="Times New Roman" w:hAnsi="Times New Roman" w:cs="Times New Roman"/>
        </w:rPr>
      </w:pPr>
    </w:p>
    <w:p w14:paraId="1062C6A8">
      <w:pPr>
        <w:rPr>
          <w:rFonts w:ascii="Times New Roman" w:hAnsi="Times New Roman" w:cs="Times New Roman"/>
        </w:rPr>
      </w:pPr>
      <w:r>
        <w:rPr>
          <w:rFonts w:ascii="Times New Roman" w:hAnsi="Times New Roman" w:cs="Times New Roman"/>
        </w:rPr>
        <w:t>　　　　</w:t>
      </w:r>
    </w:p>
    <w:p w14:paraId="10F985BC">
      <w:pPr>
        <w:pStyle w:val="8"/>
        <w:rPr>
          <w:rFonts w:ascii="Times New Roman" w:hAnsi="Times New Roman" w:cs="Times New Roman"/>
          <w:color w:val="auto"/>
        </w:rPr>
      </w:pPr>
    </w:p>
    <w:p w14:paraId="120490A9">
      <w:pPr>
        <w:rPr>
          <w:rFonts w:ascii="Times New Roman" w:hAnsi="Times New Roman" w:cs="Times New Roman"/>
        </w:rPr>
      </w:pPr>
    </w:p>
    <w:p w14:paraId="3B9E220A">
      <w:pPr>
        <w:rPr>
          <w:rFonts w:ascii="Times New Roman" w:hAnsi="Times New Roman" w:cs="Times New Roman"/>
        </w:rPr>
      </w:pPr>
    </w:p>
    <w:p w14:paraId="1107AA74">
      <w:pPr>
        <w:rPr>
          <w:rFonts w:ascii="Times New Roman" w:hAnsi="Times New Roman" w:cs="Times New Roman"/>
        </w:rPr>
      </w:pPr>
    </w:p>
    <w:p w14:paraId="314F97D6">
      <w:pPr>
        <w:rPr>
          <w:rFonts w:ascii="Times New Roman" w:hAnsi="Times New Roman" w:cs="Times New Roman"/>
        </w:rPr>
      </w:pPr>
    </w:p>
    <w:p w14:paraId="3F850A34">
      <w:pPr>
        <w:framePr w:w="9724" w:hSpace="181" w:wrap="notBeside" w:vAnchor="page" w:hAnchor="page" w:x="1200" w:y="6386" w:anchorLock="1"/>
        <w:jc w:val="center"/>
        <w:rPr>
          <w:rFonts w:ascii="Times New Roman" w:hAnsi="Times New Roman" w:cs="Times New Roman"/>
          <w:sz w:val="48"/>
        </w:rPr>
      </w:pPr>
      <w:r>
        <w:rPr>
          <w:rFonts w:ascii="Times New Roman" w:hAnsi="Times New Roman" w:eastAsia="黑体" w:cs="Times New Roman"/>
          <w:sz w:val="52"/>
        </w:rPr>
        <w:t>回收钴及钴合金原料</w:t>
      </w:r>
    </w:p>
    <w:p w14:paraId="2B0D53D3">
      <w:pPr>
        <w:pStyle w:val="23"/>
        <w:rPr>
          <w:rFonts w:ascii="Times New Roman" w:hAnsi="Times New Roman" w:eastAsia="宋体" w:cs="Times New Roman"/>
        </w:rPr>
      </w:pPr>
    </w:p>
    <w:p w14:paraId="5D25DC49">
      <w:pPr>
        <w:spacing w:line="360" w:lineRule="auto"/>
        <w:jc w:val="center"/>
        <w:rPr>
          <w:rFonts w:ascii="Times New Roman" w:hAnsi="Times New Roman" w:cs="Times New Roman"/>
        </w:rPr>
      </w:pPr>
    </w:p>
    <w:p w14:paraId="033AF73E">
      <w:pPr>
        <w:spacing w:line="360" w:lineRule="auto"/>
        <w:jc w:val="center"/>
        <w:rPr>
          <w:rFonts w:ascii="Times New Roman" w:hAnsi="Times New Roman" w:cs="Times New Roman"/>
        </w:rPr>
      </w:pPr>
    </w:p>
    <w:p w14:paraId="5BA124AB">
      <w:pPr>
        <w:spacing w:line="360" w:lineRule="auto"/>
        <w:jc w:val="center"/>
        <w:rPr>
          <w:rFonts w:ascii="Times New Roman" w:hAnsi="Times New Roman" w:cs="Times New Roman"/>
        </w:rPr>
      </w:pPr>
    </w:p>
    <w:p w14:paraId="23603B0F">
      <w:pPr>
        <w:spacing w:line="360" w:lineRule="auto"/>
        <w:jc w:val="center"/>
        <w:rPr>
          <w:rFonts w:ascii="Times New Roman" w:hAnsi="Times New Roman" w:cs="Times New Roman"/>
        </w:rPr>
      </w:pPr>
    </w:p>
    <w:p w14:paraId="5A4580BF">
      <w:pPr>
        <w:spacing w:line="360" w:lineRule="auto"/>
        <w:jc w:val="center"/>
        <w:rPr>
          <w:rFonts w:ascii="Times New Roman" w:hAnsi="Times New Roman" w:cs="Times New Roman"/>
        </w:rPr>
      </w:pPr>
    </w:p>
    <w:p w14:paraId="073D9A4F">
      <w:pPr>
        <w:spacing w:line="360" w:lineRule="auto"/>
        <w:jc w:val="center"/>
        <w:rPr>
          <w:rFonts w:ascii="Times New Roman" w:hAnsi="Times New Roman" w:cs="Times New Roman"/>
        </w:rPr>
      </w:pPr>
    </w:p>
    <w:p w14:paraId="640A43D4">
      <w:pPr>
        <w:spacing w:line="360" w:lineRule="auto"/>
        <w:jc w:val="center"/>
        <w:rPr>
          <w:rFonts w:ascii="Times New Roman" w:hAnsi="Times New Roman" w:cs="Times New Roman"/>
        </w:rPr>
      </w:pPr>
    </w:p>
    <w:p w14:paraId="1A3B6ED3">
      <w:pPr>
        <w:spacing w:line="360" w:lineRule="auto"/>
        <w:jc w:val="center"/>
        <w:rPr>
          <w:rFonts w:ascii="Times New Roman" w:hAnsi="Times New Roman" w:cs="Times New Roman"/>
        </w:rPr>
      </w:pPr>
    </w:p>
    <w:p w14:paraId="78B13374">
      <w:pPr>
        <w:spacing w:line="360" w:lineRule="auto"/>
        <w:jc w:val="center"/>
        <w:rPr>
          <w:rFonts w:ascii="Times New Roman" w:hAnsi="Times New Roman" w:eastAsia="黑体" w:cs="Times New Roman"/>
          <w:sz w:val="32"/>
          <w:szCs w:val="36"/>
        </w:rPr>
      </w:pPr>
      <w:r>
        <w:rPr>
          <w:rFonts w:hint="eastAsia" w:ascii="Times New Roman" w:hAnsi="Times New Roman" w:eastAsia="黑体" w:cs="Times New Roman"/>
          <w:sz w:val="32"/>
          <w:szCs w:val="36"/>
        </w:rPr>
        <w:t>Recovery</w:t>
      </w:r>
      <w:r>
        <w:rPr>
          <w:rFonts w:ascii="Times New Roman" w:hAnsi="Times New Roman" w:eastAsia="黑体" w:cs="Times New Roman"/>
          <w:sz w:val="32"/>
          <w:szCs w:val="36"/>
        </w:rPr>
        <w:t xml:space="preserve"> cobalt and cobalt alloy materials</w:t>
      </w:r>
    </w:p>
    <w:p w14:paraId="424DF2EF">
      <w:pPr>
        <w:spacing w:line="360" w:lineRule="auto"/>
        <w:jc w:val="center"/>
        <w:rPr>
          <w:rFonts w:ascii="Times New Roman" w:hAnsi="Times New Roman" w:eastAsia="黑体" w:cs="Times New Roman"/>
          <w:sz w:val="32"/>
          <w:szCs w:val="36"/>
        </w:rPr>
      </w:pPr>
    </w:p>
    <w:p w14:paraId="4FD162BA">
      <w:pPr>
        <w:spacing w:line="160" w:lineRule="exact"/>
        <w:jc w:val="center"/>
        <w:rPr>
          <w:rFonts w:ascii="Times New Roman" w:hAnsi="Times New Roman" w:cs="Times New Roman"/>
        </w:rPr>
      </w:pPr>
    </w:p>
    <w:p w14:paraId="6324B6CB">
      <w:pPr>
        <w:pStyle w:val="23"/>
        <w:rPr>
          <w:rFonts w:ascii="Times New Roman" w:hAnsi="Times New Roman" w:eastAsia="宋体" w:cs="Times New Roman"/>
          <w:b/>
          <w:sz w:val="24"/>
          <w:szCs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讨论稿</w:t>
      </w:r>
      <w:r>
        <w:rPr>
          <w:rFonts w:ascii="Times New Roman" w:hAnsi="Times New Roman" w:eastAsia="宋体" w:cs="Times New Roman"/>
          <w:b/>
          <w:sz w:val="24"/>
          <w:szCs w:val="24"/>
        </w:rPr>
        <w:t>）</w:t>
      </w:r>
    </w:p>
    <w:p w14:paraId="3CCB9E6B">
      <w:pPr>
        <w:rPr>
          <w:rFonts w:ascii="Times New Roman" w:hAnsi="Times New Roman" w:cs="Times New Roman"/>
        </w:rPr>
      </w:pPr>
    </w:p>
    <w:p w14:paraId="2EB3E452">
      <w:pPr>
        <w:rPr>
          <w:rFonts w:ascii="Times New Roman" w:hAnsi="Times New Roman" w:cs="Times New Roman"/>
        </w:rPr>
      </w:pPr>
    </w:p>
    <w:p w14:paraId="776DDBBE">
      <w:pPr>
        <w:rPr>
          <w:rFonts w:ascii="Times New Roman" w:hAnsi="Times New Roman" w:cs="Times New Roman"/>
        </w:rPr>
      </w:pPr>
    </w:p>
    <w:p w14:paraId="1857403C">
      <w:pPr>
        <w:framePr w:w="3243" w:h="312" w:hRule="exact" w:hSpace="181" w:wrap="around" w:vAnchor="page" w:hAnchor="page" w:x="1441" w:y="14080" w:anchorLock="1"/>
        <w:spacing w:line="320" w:lineRule="atLeast"/>
        <w:rPr>
          <w:rFonts w:ascii="Times New Roman" w:hAnsi="Times New Roman" w:eastAsia="黑体" w:cs="Times New Roman"/>
          <w:sz w:val="10"/>
        </w:rPr>
      </w:pPr>
      <w:r>
        <w:rPr>
          <w:rFonts w:ascii="Times New Roman" w:hAnsi="Times New Roman" w:eastAsia="黑体" w:cs="Times New Roman"/>
          <w:sz w:val="28"/>
        </w:rPr>
        <w:fldChar w:fldCharType="begin">
          <w:ffData>
            <w:name w:val="FB"/>
            <w:enabled/>
            <w:calcOnExit w:val="0"/>
            <w:textInput>
              <w:default w:val="20xx-xx-xx 发布"/>
            </w:textInput>
          </w:ffData>
        </w:fldChar>
      </w:r>
      <w:r>
        <w:rPr>
          <w:rFonts w:ascii="Times New Roman" w:hAnsi="Times New Roman" w:eastAsia="黑体" w:cs="Times New Roman"/>
          <w:sz w:val="28"/>
        </w:rPr>
        <w:instrText xml:space="preserve"> FORMTEXT </w:instrText>
      </w:r>
      <w:r>
        <w:rPr>
          <w:rFonts w:ascii="Times New Roman" w:hAnsi="Times New Roman" w:eastAsia="黑体" w:cs="Times New Roman"/>
          <w:sz w:val="28"/>
        </w:rPr>
        <w:fldChar w:fldCharType="separate"/>
      </w:r>
      <w:r>
        <w:rPr>
          <w:rFonts w:ascii="Times New Roman" w:hAnsi="Times New Roman" w:eastAsia="黑体" w:cs="Times New Roman"/>
          <w:sz w:val="28"/>
        </w:rPr>
        <w:t>20xx-xx-xx 发布</w:t>
      </w:r>
      <w:r>
        <w:rPr>
          <w:rFonts w:ascii="Times New Roman" w:hAnsi="Times New Roman" w:eastAsia="黑体" w:cs="Times New Roman"/>
          <w:sz w:val="28"/>
        </w:rPr>
        <w:fldChar w:fldCharType="end"/>
      </w:r>
    </w:p>
    <w:p w14:paraId="109D055F">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1" layoutInCell="0" allowOverlap="1">
                <wp:simplePos x="0" y="0"/>
                <wp:positionH relativeFrom="page">
                  <wp:posOffset>914400</wp:posOffset>
                </wp:positionH>
                <wp:positionV relativeFrom="page">
                  <wp:posOffset>9143365</wp:posOffset>
                </wp:positionV>
                <wp:extent cx="612076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72pt;margin-top:719.95pt;height:0.05pt;width:481.95pt;mso-position-horizontal-relative:page;mso-position-vertical-relative:page;z-index:251663360;mso-width-relative:page;mso-height-relative:page;" filled="f" stroked="t" coordsize="21600,21600" o:allowincell="f" o:gfxdata="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jy397YAAAADgEAAA8AAAAAAAAAAQAgAAAAIgAAAGRycy9kb3ducmV2LnhtbFBLAQIUABQAAAAI&#10;AIdO4kA3cOOH7QEAANYDAAAOAAAAAAAAAAEAIAAAACcBAABkcnMvZTJvRG9jLnhtbFBLBQYAAAAA&#10;BgAGAFkBAACGBQAAAAA=&#10;">
                <v:fill on="f" focussize="0,0"/>
                <v:stroke color="#000000" joinstyle="round" startarrowwidth="narrow" startarrowlength="short" endarrowwidth="narrow" endarrowlength="short"/>
                <v:imagedata o:title=""/>
                <o:lock v:ext="edit" aspectratio="f"/>
                <w10:anchorlock/>
              </v:line>
            </w:pict>
          </mc:Fallback>
        </mc:AlternateContent>
      </w:r>
    </w:p>
    <w:p w14:paraId="1EABAAF6">
      <w:pPr>
        <w:framePr w:w="2971" w:h="318" w:hRule="exact" w:hSpace="181" w:wrap="around" w:vAnchor="page" w:hAnchor="page" w:x="8041" w:y="14080" w:anchorLock="1"/>
        <w:spacing w:line="320" w:lineRule="atLeast"/>
        <w:jc w:val="right"/>
        <w:rPr>
          <w:rFonts w:ascii="Times New Roman" w:hAnsi="Times New Roman" w:cs="Times New Roman"/>
          <w:b/>
          <w:sz w:val="10"/>
        </w:rPr>
      </w:pPr>
      <w:r>
        <w:rPr>
          <w:rFonts w:ascii="Times New Roman" w:hAnsi="Times New Roman" w:eastAsia="黑体" w:cs="Times New Roman"/>
          <w:sz w:val="28"/>
        </w:rPr>
        <w:fldChar w:fldCharType="begin">
          <w:ffData>
            <w:name w:val="SS"/>
            <w:enabled/>
            <w:calcOnExit w:val="0"/>
            <w:textInput>
              <w:default w:val="20xx-xx-xx 实施"/>
            </w:textInput>
          </w:ffData>
        </w:fldChar>
      </w:r>
      <w:r>
        <w:rPr>
          <w:rFonts w:ascii="Times New Roman" w:hAnsi="Times New Roman" w:eastAsia="黑体" w:cs="Times New Roman"/>
          <w:sz w:val="28"/>
        </w:rPr>
        <w:instrText xml:space="preserve"> FORMTEXT </w:instrText>
      </w:r>
      <w:r>
        <w:rPr>
          <w:rFonts w:ascii="Times New Roman" w:hAnsi="Times New Roman" w:eastAsia="黑体" w:cs="Times New Roman"/>
          <w:sz w:val="28"/>
        </w:rPr>
        <w:fldChar w:fldCharType="separate"/>
      </w:r>
      <w:r>
        <w:rPr>
          <w:rFonts w:ascii="Times New Roman" w:hAnsi="Times New Roman" w:eastAsia="黑体" w:cs="Times New Roman"/>
          <w:sz w:val="28"/>
        </w:rPr>
        <w:t>20xx-xx-xx 实施</w:t>
      </w:r>
      <w:r>
        <w:rPr>
          <w:rFonts w:ascii="Times New Roman" w:hAnsi="Times New Roman" w:eastAsia="黑体" w:cs="Times New Roman"/>
          <w:sz w:val="28"/>
        </w:rPr>
        <w:fldChar w:fldCharType="end"/>
      </w:r>
    </w:p>
    <w:p w14:paraId="084F949F">
      <w:pPr>
        <w:rPr>
          <w:rFonts w:ascii="Times New Roman" w:hAnsi="Times New Roman" w:cs="Times New Roman"/>
        </w:rPr>
        <w:sectPr>
          <w:footerReference r:id="rId4" w:type="default"/>
          <w:headerReference r:id="rId3" w:type="even"/>
          <w:footerReference r:id="rId5" w:type="even"/>
          <w:pgSz w:w="11907" w:h="16840"/>
          <w:pgMar w:top="680" w:right="1418" w:bottom="1361" w:left="1440" w:header="720" w:footer="720" w:gutter="0"/>
          <w:cols w:space="720" w:num="1"/>
        </w:sectPr>
      </w:pPr>
      <w:r>
        <w:rPr>
          <w:rFonts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-13970</wp:posOffset>
                </wp:positionH>
                <wp:positionV relativeFrom="margin">
                  <wp:posOffset>8808085</wp:posOffset>
                </wp:positionV>
                <wp:extent cx="6120130" cy="608965"/>
                <wp:effectExtent l="0" t="0" r="13970" b="635"/>
                <wp:wrapNone/>
                <wp:docPr id="9" name="文本框 9"/>
                <wp:cNvGraphicFramePr/>
                <a:graphic xmlns:a="http://schemas.openxmlformats.org/drawingml/2006/main">
                  <a:graphicData uri="http://schemas.microsoft.com/office/word/2010/wordprocessingShape">
                    <wps:wsp>
                      <wps:cNvSpPr txBox="1"/>
                      <wps:spPr>
                        <a:xfrm>
                          <a:off x="0" y="0"/>
                          <a:ext cx="6120130" cy="608965"/>
                        </a:xfrm>
                        <a:prstGeom prst="rect">
                          <a:avLst/>
                        </a:prstGeom>
                        <a:solidFill>
                          <a:srgbClr val="FFFFFF"/>
                        </a:solidFill>
                        <a:ln>
                          <a:noFill/>
                        </a:ln>
                      </wps:spPr>
                      <wps:txbx>
                        <w:txbxContent>
                          <w:p w14:paraId="792F3F21">
                            <w:pPr>
                              <w:pStyle w:val="24"/>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14:paraId="699B9188">
                            <w:pPr>
                              <w:pStyle w:val="24"/>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5"/>
                                <w:rFonts w:hint="eastAsia"/>
                                <w:color w:val="000000"/>
                              </w:rPr>
                              <w:t>发布</w:t>
                            </w:r>
                          </w:p>
                        </w:txbxContent>
                      </wps:txbx>
                      <wps:bodyPr lIns="0" tIns="0" rIns="0" bIns="0" upright="1"/>
                    </wps:wsp>
                  </a:graphicData>
                </a:graphic>
              </wp:anchor>
            </w:drawing>
          </mc:Choice>
          <mc:Fallback>
            <w:pict>
              <v:shape id="_x0000_s1026" o:spid="_x0000_s1026" o:spt="202" type="#_x0000_t202" style="position:absolute;left:0pt;margin-left:-1.1pt;margin-top:693.55pt;height:47.95pt;width:481.9pt;mso-position-horizontal-relative:margin;mso-position-vertical-relative:margin;z-index:251664384;mso-width-relative:page;mso-height-relative:page;" fillcolor="#FFFFFF" filled="t" stroked="f" coordsize="21600,21600" o:gfxdata="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Vg3T2wAAAAwBAAAPAAAAAAAAAAEAIAAAACIA&#10;AABkcnMvZG93bnJldi54bWxQSwECFAAUAAAACACHTuJA923TmM0BAACbAwAADgAAAAAAAAABACAA&#10;AAAqAQAAZHJzL2Uyb0RvYy54bWxQSwUGAAAAAAYABgBZAQAAaQUAAAAA&#10;">
                <v:fill on="t" focussize="0,0"/>
                <v:stroke on="f"/>
                <v:imagedata o:title=""/>
                <o:lock v:ext="edit" aspectratio="f"/>
                <v:textbox inset="0mm,0mm,0mm,0mm">
                  <w:txbxContent>
                    <w:p w14:paraId="792F3F21">
                      <w:pPr>
                        <w:pStyle w:val="24"/>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14:paraId="699B9188">
                      <w:pPr>
                        <w:pStyle w:val="24"/>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5"/>
                          <w:rFonts w:hint="eastAsia"/>
                          <w:color w:val="000000"/>
                        </w:rPr>
                        <w:t>发布</w:t>
                      </w:r>
                    </w:p>
                  </w:txbxContent>
                </v:textbox>
                <w10:anchorlock/>
              </v:shape>
            </w:pict>
          </mc:Fallback>
        </mc:AlternateContent>
      </w:r>
    </w:p>
    <w:p w14:paraId="40AE38F6">
      <w:pPr>
        <w:rPr>
          <w:rFonts w:ascii="Times New Roman" w:hAnsi="Times New Roman" w:cs="Times New Roman"/>
        </w:rPr>
      </w:pPr>
      <w:r>
        <w:rPr>
          <w:rFonts w:ascii="Times New Roman" w:hAnsi="Times New Roman" w:cs="Times New Roman"/>
        </w:rPr>
        <w:t xml:space="preserve">                                                   </w:t>
      </w:r>
    </w:p>
    <w:p w14:paraId="51E89357">
      <w:pPr>
        <w:rPr>
          <w:rFonts w:ascii="Times New Roman" w:hAnsi="Times New Roman" w:eastAsia="黑体" w:cs="Times New Roman"/>
          <w:sz w:val="32"/>
          <w:szCs w:val="32"/>
        </w:rPr>
      </w:pPr>
      <w:r>
        <w:rPr>
          <w:rFonts w:ascii="Times New Roman" w:hAnsi="Times New Roman" w:cs="Times New Roman"/>
          <w:sz w:val="24"/>
          <w:szCs w:val="24"/>
        </w:rPr>
        <w:t xml:space="preserve">                               </w:t>
      </w:r>
      <w:r>
        <w:rPr>
          <w:rFonts w:ascii="Times New Roman" w:hAnsi="Times New Roman" w:eastAsia="黑体" w:cs="Times New Roman"/>
          <w:sz w:val="32"/>
          <w:szCs w:val="32"/>
        </w:rPr>
        <w:t>前    言</w:t>
      </w:r>
    </w:p>
    <w:p w14:paraId="0FD1D9C1">
      <w:pPr>
        <w:rPr>
          <w:rFonts w:ascii="Times New Roman" w:hAnsi="Times New Roman" w:cs="Times New Roman"/>
          <w:sz w:val="24"/>
          <w:szCs w:val="24"/>
        </w:rPr>
      </w:pPr>
    </w:p>
    <w:p w14:paraId="252EBFC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本文件按照本文件按照GB/T1.1-2020《标准化工作导则 第1部分：标准化文件的结构和起草规则》的规定起草。</w:t>
      </w:r>
    </w:p>
    <w:p w14:paraId="5456DFC1">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 本文件代替GB/T 25954</w:t>
      </w:r>
      <w:r>
        <w:rPr>
          <w:rFonts w:hint="eastAsia" w:ascii="Times New Roman" w:hAnsi="Times New Roman" w:eastAsia="宋体" w:cs="Times New Roman"/>
          <w:szCs w:val="21"/>
        </w:rPr>
        <w:t>-20</w:t>
      </w:r>
      <w:r>
        <w:rPr>
          <w:rFonts w:ascii="Times New Roman" w:hAnsi="Times New Roman" w:eastAsia="宋体" w:cs="Times New Roman"/>
          <w:szCs w:val="21"/>
        </w:rPr>
        <w:t>10《钴及钴合金废料》。与GB/T 25954-2010相比，除结构调整和编辑性改动外，主要技术变化如下：</w:t>
      </w:r>
    </w:p>
    <w:p w14:paraId="14CB5A96">
      <w:pPr>
        <w:spacing w:line="360" w:lineRule="auto"/>
        <w:ind w:left="420"/>
        <w:rPr>
          <w:rFonts w:ascii="Times New Roman" w:hAnsi="Times New Roman" w:eastAsia="宋体" w:cs="Times New Roman"/>
          <w:szCs w:val="21"/>
        </w:rPr>
      </w:pPr>
      <w:r>
        <w:rPr>
          <w:rFonts w:ascii="Times New Roman" w:hAnsi="Times New Roman" w:eastAsia="宋体" w:cs="Times New Roman"/>
          <w:szCs w:val="21"/>
        </w:rPr>
        <w:t>a</w:t>
      </w:r>
      <w:r>
        <w:rPr>
          <w:rFonts w:hint="eastAsia" w:ascii="Times New Roman" w:hAnsi="Times New Roman" w:eastAsia="宋体" w:cs="Times New Roman"/>
          <w:szCs w:val="21"/>
        </w:rPr>
        <w:t>）</w:t>
      </w:r>
      <w:r>
        <w:rPr>
          <w:rFonts w:ascii="Times New Roman" w:hAnsi="Times New Roman" w:eastAsia="宋体" w:cs="Times New Roman"/>
          <w:szCs w:val="21"/>
        </w:rPr>
        <w:t>更改了标准名称，将标准名称更改为《回收</w:t>
      </w:r>
      <w:r>
        <w:rPr>
          <w:rFonts w:hint="eastAsia" w:ascii="Times New Roman" w:hAnsi="Times New Roman" w:eastAsia="宋体" w:cs="Times New Roman"/>
          <w:szCs w:val="21"/>
        </w:rPr>
        <w:t>钴</w:t>
      </w:r>
      <w:r>
        <w:rPr>
          <w:rFonts w:ascii="Times New Roman" w:hAnsi="Times New Roman" w:eastAsia="宋体" w:cs="Times New Roman"/>
          <w:szCs w:val="21"/>
        </w:rPr>
        <w:t>及钴合金原料》（见第2章）；</w:t>
      </w:r>
    </w:p>
    <w:p w14:paraId="69C7B137">
      <w:pPr>
        <w:spacing w:line="360" w:lineRule="auto"/>
        <w:ind w:left="420"/>
        <w:rPr>
          <w:rFonts w:hint="eastAsia" w:ascii="Times New Roman" w:hAnsi="Times New Roman" w:eastAsia="宋体" w:cs="Times New Roman"/>
          <w:szCs w:val="21"/>
          <w:lang w:eastAsia="zh-CN"/>
        </w:rPr>
      </w:pPr>
      <w:r>
        <w:rPr>
          <w:rFonts w:ascii="Times New Roman" w:hAnsi="Times New Roman" w:eastAsia="宋体" w:cs="Times New Roman"/>
          <w:szCs w:val="21"/>
        </w:rPr>
        <w:t>b</w:t>
      </w:r>
      <w:r>
        <w:rPr>
          <w:rFonts w:hint="eastAsia" w:ascii="Times New Roman" w:hAnsi="Times New Roman" w:eastAsia="宋体" w:cs="Times New Roman"/>
          <w:szCs w:val="21"/>
        </w:rPr>
        <w:t>）增加了</w:t>
      </w:r>
      <w:r>
        <w:rPr>
          <w:rFonts w:ascii="Times New Roman" w:hAnsi="Times New Roman" w:eastAsia="宋体" w:cs="Times New Roman"/>
          <w:szCs w:val="21"/>
        </w:rPr>
        <w:t>YS/T 281</w:t>
      </w:r>
      <w:r>
        <w:rPr>
          <w:rFonts w:hint="eastAsia" w:ascii="Times New Roman" w:hAnsi="Times New Roman" w:eastAsia="宋体" w:cs="Times New Roman"/>
          <w:szCs w:val="21"/>
        </w:rPr>
        <w:t>（</w:t>
      </w:r>
      <w:r>
        <w:rPr>
          <w:rFonts w:ascii="Times New Roman" w:hAnsi="Times New Roman" w:eastAsia="宋体" w:cs="Times New Roman"/>
          <w:szCs w:val="21"/>
        </w:rPr>
        <w:t>所有部分</w:t>
      </w:r>
      <w:r>
        <w:rPr>
          <w:rFonts w:hint="eastAsia" w:ascii="Times New Roman" w:hAnsi="Times New Roman" w:eastAsia="宋体" w:cs="Times New Roman"/>
          <w:szCs w:val="21"/>
        </w:rPr>
        <w:t xml:space="preserve">）  </w:t>
      </w:r>
      <w:r>
        <w:rPr>
          <w:rFonts w:ascii="Times New Roman" w:hAnsi="Times New Roman" w:eastAsia="宋体" w:cs="Times New Roman"/>
          <w:szCs w:val="21"/>
        </w:rPr>
        <w:t>钴化学分析方法</w:t>
      </w:r>
      <w:r>
        <w:rPr>
          <w:rFonts w:hint="eastAsia" w:ascii="Times New Roman" w:hAnsi="Times New Roman" w:eastAsia="宋体" w:cs="Times New Roman"/>
          <w:szCs w:val="21"/>
          <w:lang w:eastAsia="zh-CN"/>
        </w:rPr>
        <w:t>；</w:t>
      </w:r>
    </w:p>
    <w:p w14:paraId="021C393F">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增加了术语和定义（见第3章）；</w:t>
      </w:r>
    </w:p>
    <w:p w14:paraId="71AF0A04">
      <w:pPr>
        <w:widowControl/>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d</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删除了</w:t>
      </w:r>
      <w:r>
        <w:rPr>
          <w:rFonts w:ascii="Times New Roman" w:hAnsi="Times New Roman" w:eastAsia="宋体" w:cs="Times New Roman"/>
          <w:szCs w:val="21"/>
        </w:rPr>
        <w:t>I类</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纯钴废料类别</w:t>
      </w:r>
      <w:r>
        <w:rPr>
          <w:rFonts w:ascii="Times New Roman" w:hAnsi="Times New Roman" w:eastAsia="宋体" w:cs="Times New Roman"/>
          <w:szCs w:val="21"/>
        </w:rPr>
        <w:t>（见表1，</w:t>
      </w:r>
      <w:r>
        <w:rPr>
          <w:rFonts w:hint="eastAsia" w:ascii="Times New Roman" w:hAnsi="Times New Roman" w:eastAsia="宋体" w:cs="Times New Roman"/>
          <w:szCs w:val="21"/>
        </w:rPr>
        <w:t>见20</w:t>
      </w:r>
      <w:r>
        <w:rPr>
          <w:rFonts w:ascii="Times New Roman" w:hAnsi="Times New Roman" w:eastAsia="宋体" w:cs="Times New Roman"/>
          <w:szCs w:val="21"/>
        </w:rPr>
        <w:t>10</w:t>
      </w:r>
      <w:r>
        <w:rPr>
          <w:rFonts w:hint="eastAsia" w:ascii="Times New Roman" w:hAnsi="Times New Roman" w:eastAsia="宋体" w:cs="Times New Roman"/>
          <w:szCs w:val="21"/>
        </w:rPr>
        <w:t>版表1）</w:t>
      </w:r>
      <w:r>
        <w:rPr>
          <w:rFonts w:ascii="Times New Roman" w:hAnsi="Times New Roman" w:eastAsia="宋体" w:cs="Times New Roman"/>
          <w:szCs w:val="21"/>
        </w:rPr>
        <w:t>；</w:t>
      </w:r>
    </w:p>
    <w:p w14:paraId="3F3C88B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更改</w:t>
      </w:r>
      <w:r>
        <w:rPr>
          <w:rFonts w:ascii="Times New Roman" w:hAnsi="Times New Roman" w:eastAsia="宋体" w:cs="Times New Roman"/>
          <w:szCs w:val="21"/>
        </w:rPr>
        <w:t>了II类：钴盐废料类别</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将</w:t>
      </w:r>
      <w:r>
        <w:rPr>
          <w:rFonts w:ascii="Times New Roman" w:hAnsi="Times New Roman" w:eastAsia="宋体" w:cs="Times New Roman"/>
          <w:szCs w:val="21"/>
        </w:rPr>
        <w:t>II类：钴盐废料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更改为</w:t>
      </w:r>
      <w:r>
        <w:rPr>
          <w:rFonts w:ascii="Times New Roman" w:hAnsi="Times New Roman" w:eastAsia="宋体" w:cs="Times New Roman"/>
          <w:szCs w:val="21"/>
        </w:rPr>
        <w:t>I类</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回收钴的化合物废料，将钴盐更改为钴的化合物。级别要求更改为：</w:t>
      </w:r>
      <w:r>
        <w:rPr>
          <w:rFonts w:ascii="Times New Roman" w:hAnsi="Times New Roman" w:eastAsia="宋体" w:cs="Times New Roman"/>
          <w:szCs w:val="21"/>
          <w14:ligatures w14:val="standardContextual"/>
        </w:rPr>
        <w:t>包括钴盐、钴氧化物、钴氢氧化物等。</w:t>
      </w:r>
      <w:r>
        <w:rPr>
          <w:rFonts w:hint="eastAsia" w:ascii="Times New Roman" w:hAnsi="Times New Roman" w:eastAsia="宋体" w:cs="Times New Roman"/>
          <w:szCs w:val="21"/>
          <w:lang w:val="en-US" w:eastAsia="zh-CN"/>
          <w14:ligatures w14:val="standardContextual"/>
        </w:rPr>
        <w:t>1</w:t>
      </w:r>
      <w:r>
        <w:rPr>
          <w:rFonts w:ascii="Times New Roman" w:hAnsi="Times New Roman" w:eastAsia="宋体" w:cs="Times New Roman"/>
          <w:szCs w:val="21"/>
          <w14:ligatures w14:val="standardContextual"/>
        </w:rPr>
        <w:t>级：</w:t>
      </w:r>
      <w:r>
        <w:rPr>
          <w:rFonts w:ascii="Times New Roman" w:hAnsi="Times New Roman" w:eastAsia="宋体" w:cs="Times New Roman"/>
          <w:b/>
          <w:bCs/>
          <w:szCs w:val="21"/>
          <w14:ligatures w14:val="standardContextual"/>
        </w:rPr>
        <w:t>10％≤Co&lt;</w:t>
      </w:r>
      <w:r>
        <w:rPr>
          <w:rFonts w:hint="eastAsia" w:ascii="Times New Roman" w:hAnsi="Times New Roman" w:eastAsia="宋体" w:cs="Times New Roman"/>
          <w:b/>
          <w:bCs/>
          <w:szCs w:val="21"/>
          <w:lang w:val="en-US" w:eastAsia="zh-CN"/>
          <w14:ligatures w14:val="standardContextual"/>
        </w:rPr>
        <w:t>15</w:t>
      </w:r>
      <w:r>
        <w:rPr>
          <w:rFonts w:ascii="Times New Roman" w:hAnsi="Times New Roman" w:eastAsia="宋体" w:cs="Times New Roman"/>
          <w:b/>
          <w:bCs/>
          <w:szCs w:val="21"/>
          <w14:ligatures w14:val="standardContextual"/>
        </w:rPr>
        <w:t>％</w:t>
      </w:r>
      <w:r>
        <w:rPr>
          <w:rFonts w:ascii="Times New Roman" w:hAnsi="Times New Roman" w:eastAsia="宋体" w:cs="Times New Roman"/>
          <w:szCs w:val="21"/>
          <w14:ligatures w14:val="standardContextual"/>
        </w:rPr>
        <w:t>，无其他夹杂物。</w:t>
      </w:r>
      <w:r>
        <w:rPr>
          <w:rFonts w:ascii="Times New Roman" w:hAnsi="Times New Roman" w:eastAsia="宋体" w:cs="Times New Roman"/>
          <w:szCs w:val="21"/>
        </w:rPr>
        <w:t>（见表1，</w:t>
      </w:r>
      <w:r>
        <w:rPr>
          <w:rFonts w:hint="eastAsia" w:ascii="Times New Roman" w:hAnsi="Times New Roman" w:eastAsia="宋体" w:cs="Times New Roman"/>
          <w:szCs w:val="21"/>
        </w:rPr>
        <w:t>见20</w:t>
      </w:r>
      <w:r>
        <w:rPr>
          <w:rFonts w:ascii="Times New Roman" w:hAnsi="Times New Roman" w:eastAsia="宋体" w:cs="Times New Roman"/>
          <w:szCs w:val="21"/>
        </w:rPr>
        <w:t>10</w:t>
      </w:r>
      <w:r>
        <w:rPr>
          <w:rFonts w:hint="eastAsia" w:ascii="Times New Roman" w:hAnsi="Times New Roman" w:eastAsia="宋体" w:cs="Times New Roman"/>
          <w:szCs w:val="21"/>
        </w:rPr>
        <w:t>版表1）</w:t>
      </w:r>
      <w:r>
        <w:rPr>
          <w:rFonts w:ascii="Times New Roman" w:hAnsi="Times New Roman" w:eastAsia="宋体" w:cs="Times New Roman"/>
          <w:szCs w:val="21"/>
        </w:rPr>
        <w:t>；</w:t>
      </w:r>
    </w:p>
    <w:p w14:paraId="73A5236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w:t>
      </w:r>
      <w:r>
        <w:rPr>
          <w:rFonts w:hint="eastAsia" w:ascii="Times New Roman" w:hAnsi="Times New Roman" w:eastAsia="宋体" w:cs="Times New Roman"/>
          <w:szCs w:val="21"/>
        </w:rPr>
        <w:t>）更改</w:t>
      </w:r>
      <w:r>
        <w:rPr>
          <w:rFonts w:ascii="Times New Roman" w:hAnsi="Times New Roman" w:eastAsia="宋体" w:cs="Times New Roman"/>
          <w:szCs w:val="21"/>
        </w:rPr>
        <w:t>了Ⅲ类：钴合金废料</w:t>
      </w:r>
      <w:r>
        <w:rPr>
          <w:rFonts w:hint="eastAsia" w:ascii="Times New Roman" w:hAnsi="Times New Roman" w:eastAsia="宋体" w:cs="Times New Roman"/>
          <w:szCs w:val="21"/>
          <w:lang w:val="en-US" w:eastAsia="zh-CN"/>
        </w:rPr>
        <w:t>类别</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将</w:t>
      </w:r>
      <w:r>
        <w:rPr>
          <w:rFonts w:ascii="Times New Roman" w:hAnsi="Times New Roman" w:eastAsia="宋体" w:cs="Times New Roman"/>
          <w:szCs w:val="21"/>
        </w:rPr>
        <w:t>Ⅲ类：钴合金废料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更改为</w:t>
      </w:r>
      <w:r>
        <w:rPr>
          <w:rFonts w:ascii="Times New Roman" w:hAnsi="Times New Roman" w:eastAsia="宋体" w:cs="Times New Roman"/>
          <w:szCs w:val="21"/>
        </w:rPr>
        <w:t>II类</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回收钴合金废料。</w:t>
      </w:r>
      <w:r>
        <w:rPr>
          <w:rFonts w:ascii="Times New Roman" w:hAnsi="Times New Roman" w:eastAsia="宋体" w:cs="Times New Roman"/>
          <w:szCs w:val="21"/>
        </w:rPr>
        <w:t>将硬质合金废料</w:t>
      </w:r>
      <w:r>
        <w:rPr>
          <w:rFonts w:hint="eastAsia" w:ascii="Times New Roman" w:hAnsi="Times New Roman" w:eastAsia="宋体" w:cs="Times New Roman"/>
          <w:szCs w:val="21"/>
        </w:rPr>
        <w:t>，</w:t>
      </w:r>
      <w:r>
        <w:rPr>
          <w:rFonts w:ascii="Times New Roman" w:hAnsi="Times New Roman" w:eastAsia="宋体" w:cs="Times New Roman"/>
          <w:szCs w:val="21"/>
        </w:rPr>
        <w:t>级别要求更改为</w:t>
      </w:r>
      <w:r>
        <w:rPr>
          <w:rFonts w:hint="eastAsia" w:ascii="Times New Roman" w:hAnsi="Times New Roman" w:eastAsia="宋体" w:cs="Times New Roman"/>
          <w:szCs w:val="21"/>
        </w:rPr>
        <w:t>：废耐磨零件（顶锤、压缸、辊环、球齿），模具，铣刀、锯片等切削刀片及刀具，钢结硬质合金，棒料，硬质合金磨削料、地沟料等。</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 xml:space="preserve">级：同一牌号或名称的合金， </w:t>
      </w:r>
      <w:r>
        <w:rPr>
          <w:rFonts w:ascii="Times New Roman" w:hAnsi="Times New Roman" w:eastAsia="宋体" w:cs="Times New Roman"/>
          <w:b/>
          <w:szCs w:val="21"/>
        </w:rPr>
        <w:t>5％≤Co&lt;15％，</w:t>
      </w:r>
      <w:r>
        <w:rPr>
          <w:rFonts w:ascii="Times New Roman" w:hAnsi="Times New Roman" w:eastAsia="宋体" w:cs="Times New Roman"/>
          <w:szCs w:val="21"/>
        </w:rPr>
        <w:t>无其他夹杂物</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级：混合型合金，</w:t>
      </w:r>
      <w:r>
        <w:rPr>
          <w:rFonts w:ascii="Times New Roman" w:hAnsi="Times New Roman" w:eastAsia="宋体" w:cs="Times New Roman"/>
          <w:b/>
          <w:szCs w:val="21"/>
        </w:rPr>
        <w:t>0.5％≤Co&lt;5％，</w:t>
      </w:r>
      <w:r>
        <w:rPr>
          <w:rFonts w:ascii="Times New Roman" w:hAnsi="Times New Roman" w:eastAsia="宋体" w:cs="Times New Roman"/>
          <w:szCs w:val="21"/>
        </w:rPr>
        <w:t>无其他夹杂物。</w:t>
      </w:r>
    </w:p>
    <w:p w14:paraId="4F98C74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将</w:t>
      </w:r>
      <w:r>
        <w:rPr>
          <w:rFonts w:ascii="Times New Roman" w:hAnsi="Times New Roman" w:eastAsia="宋体" w:cs="Times New Roman"/>
          <w:szCs w:val="21"/>
          <w14:ligatures w14:val="standardContextual"/>
        </w:rPr>
        <w:t>超级合金废料</w:t>
      </w:r>
      <w:r>
        <w:rPr>
          <w:rFonts w:hint="eastAsia" w:ascii="Times New Roman" w:hAnsi="Times New Roman" w:eastAsia="宋体" w:cs="Times New Roman"/>
          <w:szCs w:val="21"/>
          <w:lang w:eastAsia="zh-CN"/>
          <w14:ligatures w14:val="standardContextual"/>
        </w:rPr>
        <w:t>，</w:t>
      </w:r>
      <w:r>
        <w:rPr>
          <w:rFonts w:hint="eastAsia" w:ascii="Times New Roman" w:hAnsi="Times New Roman" w:eastAsia="宋体" w:cs="Times New Roman"/>
          <w:szCs w:val="21"/>
          <w:lang w:val="en-US" w:eastAsia="zh-CN"/>
          <w14:ligatures w14:val="standardContextual"/>
        </w:rPr>
        <w:t>级别要求更改为：</w:t>
      </w:r>
      <w:r>
        <w:rPr>
          <w:rFonts w:ascii="Times New Roman" w:hAnsi="Times New Roman" w:eastAsia="宋体" w:cs="Times New Roman"/>
          <w:szCs w:val="21"/>
          <w14:ligatures w14:val="standardContextual"/>
        </w:rPr>
        <w:t>包括废金刚石工具，废汽轮机部件（叶轮、叶片、导管），喷焊或喷涂废料，废高温发动机、涡轮机废件等含钴合金废料。1级：同一类型的合金，</w:t>
      </w:r>
      <w:r>
        <w:rPr>
          <w:rFonts w:ascii="Times New Roman" w:hAnsi="Times New Roman" w:eastAsia="宋体" w:cs="Times New Roman"/>
          <w:b/>
          <w:szCs w:val="21"/>
        </w:rPr>
        <w:t>5％≤Co&lt;15％</w:t>
      </w:r>
      <w:r>
        <w:rPr>
          <w:rFonts w:ascii="Times New Roman" w:hAnsi="Times New Roman" w:eastAsia="宋体" w:cs="Times New Roman"/>
          <w:szCs w:val="21"/>
          <w14:ligatures w14:val="standardContextual"/>
        </w:rPr>
        <w:t>，无其他夹杂物。2级：混合型合金，</w:t>
      </w:r>
      <w:r>
        <w:rPr>
          <w:rFonts w:ascii="Times New Roman" w:hAnsi="Times New Roman" w:eastAsia="宋体" w:cs="Times New Roman"/>
          <w:b/>
          <w:szCs w:val="21"/>
        </w:rPr>
        <w:t>5％≤Co&lt;15％</w:t>
      </w:r>
      <w:r>
        <w:rPr>
          <w:rFonts w:ascii="Times New Roman" w:hAnsi="Times New Roman" w:eastAsia="宋体" w:cs="Times New Roman"/>
          <w:szCs w:val="21"/>
          <w14:ligatures w14:val="standardContextual"/>
        </w:rPr>
        <w:t>，无其他夹杂物。</w:t>
      </w:r>
      <w:r>
        <w:rPr>
          <w:rFonts w:ascii="Times New Roman" w:hAnsi="Times New Roman" w:eastAsia="宋体" w:cs="Times New Roman"/>
          <w:szCs w:val="21"/>
        </w:rPr>
        <w:t>（见表1，</w:t>
      </w:r>
      <w:r>
        <w:rPr>
          <w:rFonts w:hint="eastAsia" w:ascii="Times New Roman" w:hAnsi="Times New Roman" w:eastAsia="宋体" w:cs="Times New Roman"/>
          <w:szCs w:val="21"/>
        </w:rPr>
        <w:t>见20</w:t>
      </w:r>
      <w:r>
        <w:rPr>
          <w:rFonts w:ascii="Times New Roman" w:hAnsi="Times New Roman" w:eastAsia="宋体" w:cs="Times New Roman"/>
          <w:szCs w:val="21"/>
        </w:rPr>
        <w:t>10</w:t>
      </w:r>
      <w:r>
        <w:rPr>
          <w:rFonts w:hint="eastAsia" w:ascii="Times New Roman" w:hAnsi="Times New Roman" w:eastAsia="宋体" w:cs="Times New Roman"/>
          <w:szCs w:val="21"/>
        </w:rPr>
        <w:t>版表1）</w:t>
      </w:r>
      <w:r>
        <w:rPr>
          <w:rFonts w:ascii="Times New Roman" w:hAnsi="Times New Roman" w:eastAsia="宋体" w:cs="Times New Roman"/>
          <w:szCs w:val="21"/>
        </w:rPr>
        <w:t>；</w:t>
      </w:r>
    </w:p>
    <w:p w14:paraId="5A8E74C0">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g</w:t>
      </w:r>
      <w:r>
        <w:rPr>
          <w:rFonts w:hint="eastAsia" w:ascii="Times New Roman" w:hAnsi="Times New Roman" w:eastAsia="宋体" w:cs="Times New Roman"/>
          <w:szCs w:val="21"/>
        </w:rPr>
        <w:t>）</w:t>
      </w:r>
      <w:r>
        <w:rPr>
          <w:rFonts w:ascii="Times New Roman" w:hAnsi="Times New Roman" w:eastAsia="宋体" w:cs="Times New Roman"/>
          <w:szCs w:val="21"/>
        </w:rPr>
        <w:t>更改了IV类：电池材料废料</w:t>
      </w:r>
      <w:r>
        <w:rPr>
          <w:rFonts w:hint="eastAsia" w:ascii="Times New Roman" w:hAnsi="Times New Roman" w:eastAsia="宋体" w:cs="Times New Roman"/>
          <w:szCs w:val="21"/>
          <w:lang w:val="en-US" w:eastAsia="zh-CN"/>
        </w:rPr>
        <w:t>类别</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将</w:t>
      </w:r>
      <w:r>
        <w:rPr>
          <w:rFonts w:ascii="Times New Roman" w:hAnsi="Times New Roman" w:eastAsia="宋体" w:cs="Times New Roman"/>
          <w:szCs w:val="21"/>
        </w:rPr>
        <w:t>IV类：电池材料废料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更改为</w:t>
      </w:r>
      <w:r>
        <w:rPr>
          <w:rFonts w:ascii="Times New Roman" w:hAnsi="Times New Roman" w:eastAsia="宋体" w:cs="Times New Roman"/>
          <w:szCs w:val="21"/>
        </w:rPr>
        <w:t>Ⅲ类：</w:t>
      </w:r>
      <w:r>
        <w:rPr>
          <w:rFonts w:hint="eastAsia" w:ascii="Times New Roman" w:hAnsi="Times New Roman" w:eastAsia="宋体" w:cs="Times New Roman"/>
          <w:szCs w:val="21"/>
          <w:lang w:val="en-US" w:eastAsia="zh-CN"/>
        </w:rPr>
        <w:t>回收电池材料废料。</w:t>
      </w:r>
      <w:r>
        <w:rPr>
          <w:rFonts w:ascii="Times New Roman" w:hAnsi="Times New Roman" w:eastAsia="宋体" w:cs="Times New Roman"/>
          <w:szCs w:val="21"/>
        </w:rPr>
        <w:t>将废极片的级别要求更改为：</w:t>
      </w:r>
      <w:r>
        <w:rPr>
          <w:rFonts w:hint="eastAsia" w:ascii="Times New Roman" w:hAnsi="Times New Roman" w:eastAsia="宋体" w:cs="Times New Roman"/>
          <w:szCs w:val="21"/>
        </w:rPr>
        <w:t>包括锂离子电池、聚合物电池、镍氢电池的废极芯、极片及极粉等。</w:t>
      </w:r>
      <w:r>
        <w:rPr>
          <w:rFonts w:ascii="Times New Roman" w:hAnsi="Times New Roman" w:eastAsia="宋体" w:cs="Times New Roman"/>
          <w:szCs w:val="21"/>
        </w:rPr>
        <w:t>1级：</w:t>
      </w:r>
      <w:r>
        <w:rPr>
          <w:rFonts w:ascii="Times New Roman" w:hAnsi="Times New Roman" w:eastAsia="宋体" w:cs="Times New Roman"/>
          <w:b/>
          <w:szCs w:val="21"/>
        </w:rPr>
        <w:t>1</w:t>
      </w:r>
      <w:r>
        <w:rPr>
          <w:rFonts w:hint="eastAsia" w:ascii="Times New Roman" w:hAnsi="Times New Roman" w:eastAsia="宋体" w:cs="Times New Roman"/>
          <w:b/>
          <w:szCs w:val="21"/>
          <w:lang w:val="en-US" w:eastAsia="zh-CN"/>
        </w:rPr>
        <w:t>0</w:t>
      </w:r>
      <w:r>
        <w:rPr>
          <w:rFonts w:ascii="Times New Roman" w:hAnsi="Times New Roman" w:eastAsia="宋体" w:cs="Times New Roman"/>
          <w:b/>
          <w:szCs w:val="21"/>
        </w:rPr>
        <w:t>％≤Co&lt;1</w:t>
      </w:r>
      <w:r>
        <w:rPr>
          <w:rFonts w:hint="eastAsia" w:ascii="Times New Roman" w:hAnsi="Times New Roman" w:eastAsia="宋体" w:cs="Times New Roman"/>
          <w:b/>
          <w:szCs w:val="21"/>
          <w:lang w:val="en-US" w:eastAsia="zh-CN"/>
        </w:rPr>
        <w:t>5</w:t>
      </w:r>
      <w:r>
        <w:rPr>
          <w:rFonts w:ascii="Times New Roman" w:hAnsi="Times New Roman" w:eastAsia="宋体" w:cs="Times New Roman"/>
          <w:b/>
          <w:szCs w:val="21"/>
        </w:rPr>
        <w:t>％，</w:t>
      </w:r>
      <w:r>
        <w:rPr>
          <w:rFonts w:ascii="Times New Roman" w:hAnsi="Times New Roman" w:eastAsia="宋体" w:cs="Times New Roman"/>
          <w:szCs w:val="21"/>
        </w:rPr>
        <w:t>无其他夹杂物。</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级：</w:t>
      </w:r>
      <w:r>
        <w:rPr>
          <w:rFonts w:hint="eastAsia" w:ascii="Times New Roman" w:hAnsi="Times New Roman" w:eastAsia="宋体" w:cs="Times New Roman"/>
          <w:b/>
          <w:szCs w:val="21"/>
          <w:lang w:val="en-US" w:eastAsia="zh-CN"/>
        </w:rPr>
        <w:t>1</w:t>
      </w:r>
      <w:r>
        <w:rPr>
          <w:rFonts w:ascii="Times New Roman" w:hAnsi="Times New Roman" w:eastAsia="宋体" w:cs="Times New Roman"/>
          <w:b/>
          <w:szCs w:val="21"/>
        </w:rPr>
        <w:t>％≤Co&lt;</w:t>
      </w:r>
      <w:r>
        <w:rPr>
          <w:rFonts w:hint="eastAsia" w:ascii="Times New Roman" w:hAnsi="Times New Roman" w:eastAsia="宋体" w:cs="Times New Roman"/>
          <w:b/>
          <w:szCs w:val="21"/>
          <w:lang w:val="en-US" w:eastAsia="zh-CN"/>
        </w:rPr>
        <w:t>10</w:t>
      </w:r>
      <w:r>
        <w:rPr>
          <w:rFonts w:ascii="Times New Roman" w:hAnsi="Times New Roman" w:eastAsia="宋体" w:cs="Times New Roman"/>
          <w:b/>
          <w:szCs w:val="21"/>
        </w:rPr>
        <w:t>％，</w:t>
      </w:r>
      <w:r>
        <w:rPr>
          <w:rFonts w:ascii="Times New Roman" w:hAnsi="Times New Roman" w:eastAsia="宋体" w:cs="Times New Roman"/>
          <w:szCs w:val="21"/>
        </w:rPr>
        <w:t>无其他夹杂物。</w:t>
      </w:r>
    </w:p>
    <w:p w14:paraId="590227DB">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将</w:t>
      </w:r>
      <w:r>
        <w:rPr>
          <w:rFonts w:hint="eastAsia" w:ascii="Times New Roman" w:hAnsi="Times New Roman" w:eastAsia="宋体" w:cs="Times New Roman"/>
          <w:szCs w:val="21"/>
        </w:rPr>
        <w:t>电池</w:t>
      </w:r>
      <w:r>
        <w:rPr>
          <w:rFonts w:ascii="Times New Roman" w:hAnsi="Times New Roman" w:eastAsia="宋体" w:cs="Times New Roman"/>
          <w:szCs w:val="21"/>
        </w:rPr>
        <w:t>边角料的级别要求更改为：</w:t>
      </w:r>
      <w:r>
        <w:rPr>
          <w:rFonts w:hint="eastAsia" w:ascii="Times New Roman" w:hAnsi="Times New Roman" w:eastAsia="宋体" w:cs="Times New Roman"/>
          <w:szCs w:val="21"/>
        </w:rPr>
        <w:t>包括锂离子电池、聚合物电池、镍氢电池的边角料、废次材、切头、切尾料等。</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级：</w:t>
      </w:r>
      <w:r>
        <w:rPr>
          <w:rFonts w:ascii="Times New Roman" w:hAnsi="Times New Roman" w:eastAsia="宋体" w:cs="Times New Roman"/>
          <w:b/>
          <w:bCs/>
          <w:szCs w:val="21"/>
        </w:rPr>
        <w:t>1</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％≤Co&lt;</w:t>
      </w:r>
      <w:r>
        <w:rPr>
          <w:rFonts w:hint="eastAsia" w:ascii="Times New Roman" w:hAnsi="Times New Roman" w:eastAsia="宋体" w:cs="Times New Roman"/>
          <w:b/>
          <w:bCs/>
          <w:szCs w:val="21"/>
          <w:lang w:val="en-US" w:eastAsia="zh-CN"/>
        </w:rPr>
        <w:t>15</w:t>
      </w:r>
      <w:r>
        <w:rPr>
          <w:rFonts w:ascii="Times New Roman" w:hAnsi="Times New Roman" w:eastAsia="宋体" w:cs="Times New Roman"/>
          <w:b/>
          <w:bCs/>
          <w:szCs w:val="21"/>
        </w:rPr>
        <w:t>％</w:t>
      </w:r>
      <w:r>
        <w:rPr>
          <w:rFonts w:ascii="Times New Roman" w:hAnsi="Times New Roman" w:eastAsia="宋体" w:cs="Times New Roman"/>
          <w:szCs w:val="21"/>
        </w:rPr>
        <w:t>，无其他夹杂物。</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级：</w:t>
      </w:r>
      <w:r>
        <w:rPr>
          <w:rFonts w:ascii="Times New Roman" w:hAnsi="Times New Roman" w:eastAsia="宋体" w:cs="Times New Roman"/>
          <w:b/>
          <w:bCs/>
          <w:szCs w:val="21"/>
        </w:rPr>
        <w:t>1％≤Co&lt;</w:t>
      </w:r>
      <w:r>
        <w:rPr>
          <w:rFonts w:hint="eastAsia" w:ascii="Times New Roman" w:hAnsi="Times New Roman" w:eastAsia="宋体" w:cs="Times New Roman"/>
          <w:b/>
          <w:bCs/>
          <w:szCs w:val="21"/>
          <w:lang w:val="en-US" w:eastAsia="zh-CN"/>
        </w:rPr>
        <w:t>10</w:t>
      </w:r>
      <w:r>
        <w:rPr>
          <w:rFonts w:ascii="Times New Roman" w:hAnsi="Times New Roman" w:eastAsia="宋体" w:cs="Times New Roman"/>
          <w:b/>
          <w:bCs/>
          <w:szCs w:val="21"/>
        </w:rPr>
        <w:t>％</w:t>
      </w:r>
      <w:r>
        <w:rPr>
          <w:rFonts w:ascii="Times New Roman" w:hAnsi="Times New Roman" w:eastAsia="宋体" w:cs="Times New Roman"/>
          <w:szCs w:val="21"/>
        </w:rPr>
        <w:t>，无其他夹杂物。（见表1，</w:t>
      </w:r>
      <w:r>
        <w:rPr>
          <w:rFonts w:hint="eastAsia" w:ascii="Times New Roman" w:hAnsi="Times New Roman" w:eastAsia="宋体" w:cs="Times New Roman"/>
          <w:szCs w:val="21"/>
        </w:rPr>
        <w:t>见20</w:t>
      </w:r>
      <w:r>
        <w:rPr>
          <w:rFonts w:ascii="Times New Roman" w:hAnsi="Times New Roman" w:eastAsia="宋体" w:cs="Times New Roman"/>
          <w:szCs w:val="21"/>
        </w:rPr>
        <w:t>10</w:t>
      </w:r>
      <w:r>
        <w:rPr>
          <w:rFonts w:hint="eastAsia" w:ascii="Times New Roman" w:hAnsi="Times New Roman" w:eastAsia="宋体" w:cs="Times New Roman"/>
          <w:szCs w:val="21"/>
        </w:rPr>
        <w:t>版表1）</w:t>
      </w:r>
      <w:r>
        <w:rPr>
          <w:rFonts w:ascii="Times New Roman" w:hAnsi="Times New Roman" w:eastAsia="宋体" w:cs="Times New Roman"/>
          <w:szCs w:val="21"/>
        </w:rPr>
        <w:t>；</w:t>
      </w:r>
    </w:p>
    <w:p w14:paraId="0A35AB6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h</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更改了</w:t>
      </w:r>
      <w:r>
        <w:rPr>
          <w:rFonts w:ascii="Times New Roman" w:hAnsi="Times New Roman" w:eastAsia="宋体" w:cs="Times New Roman"/>
          <w:szCs w:val="21"/>
        </w:rPr>
        <w:t>V类：催化剂废料</w:t>
      </w:r>
      <w:r>
        <w:rPr>
          <w:rFonts w:hint="eastAsia" w:ascii="Times New Roman" w:hAnsi="Times New Roman" w:eastAsia="宋体" w:cs="Times New Roman"/>
          <w:szCs w:val="21"/>
          <w:lang w:val="en-US" w:eastAsia="zh-CN"/>
        </w:rPr>
        <w:t>类别，将</w:t>
      </w:r>
      <w:r>
        <w:rPr>
          <w:rFonts w:ascii="Times New Roman" w:hAnsi="Times New Roman" w:eastAsia="宋体" w:cs="Times New Roman"/>
          <w:szCs w:val="21"/>
        </w:rPr>
        <w:t>V类：催化剂废料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更改为</w:t>
      </w:r>
      <w:r>
        <w:rPr>
          <w:rFonts w:ascii="Times New Roman" w:hAnsi="Times New Roman" w:eastAsia="宋体" w:cs="Times New Roman"/>
          <w:szCs w:val="21"/>
        </w:rPr>
        <w:t>IV类：</w:t>
      </w:r>
      <w:r>
        <w:rPr>
          <w:rFonts w:hint="eastAsia" w:ascii="Times New Roman" w:hAnsi="Times New Roman" w:eastAsia="宋体" w:cs="Times New Roman"/>
          <w:szCs w:val="21"/>
          <w:lang w:val="en-US" w:eastAsia="zh-CN"/>
        </w:rPr>
        <w:t>回收催化剂废料。将</w:t>
      </w:r>
      <w:r>
        <w:rPr>
          <w:rFonts w:ascii="Times New Roman" w:hAnsi="Times New Roman" w:eastAsia="宋体" w:cs="Times New Roman"/>
          <w:szCs w:val="21"/>
        </w:rPr>
        <w:t>含钴催化剂废料</w:t>
      </w:r>
      <w:r>
        <w:rPr>
          <w:rFonts w:hint="eastAsia" w:ascii="Times New Roman" w:hAnsi="Times New Roman" w:eastAsia="宋体" w:cs="Times New Roman"/>
          <w:szCs w:val="21"/>
          <w:lang w:val="en-US" w:eastAsia="zh-CN"/>
        </w:rPr>
        <w:t>的级别要求更改为：</w:t>
      </w:r>
      <w:r>
        <w:rPr>
          <w:rFonts w:ascii="Times New Roman" w:hAnsi="Times New Roman" w:eastAsia="宋体" w:cs="Times New Roman"/>
          <w:szCs w:val="21"/>
        </w:rPr>
        <w:t>包括废弃钴锰催化剂、钴钼催化剂、油墨催干剂等。1级：同一类型的催化剂，5％≤Co&lt;15％，无其他夹杂物。</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级：混合型催化剂，5％≤Co&lt;15％，无其他夹杂物。（见表1，</w:t>
      </w:r>
      <w:r>
        <w:rPr>
          <w:rFonts w:hint="eastAsia" w:ascii="Times New Roman" w:hAnsi="Times New Roman" w:eastAsia="宋体" w:cs="Times New Roman"/>
          <w:szCs w:val="21"/>
        </w:rPr>
        <w:t>见20</w:t>
      </w:r>
      <w:r>
        <w:rPr>
          <w:rFonts w:ascii="Times New Roman" w:hAnsi="Times New Roman" w:eastAsia="宋体" w:cs="Times New Roman"/>
          <w:szCs w:val="21"/>
        </w:rPr>
        <w:t>10</w:t>
      </w:r>
      <w:r>
        <w:rPr>
          <w:rFonts w:hint="eastAsia" w:ascii="Times New Roman" w:hAnsi="Times New Roman" w:eastAsia="宋体" w:cs="Times New Roman"/>
          <w:szCs w:val="21"/>
        </w:rPr>
        <w:t>版表1）</w:t>
      </w:r>
      <w:r>
        <w:rPr>
          <w:rFonts w:ascii="Times New Roman" w:hAnsi="Times New Roman" w:eastAsia="宋体" w:cs="Times New Roman"/>
          <w:szCs w:val="21"/>
        </w:rPr>
        <w:t>；</w:t>
      </w:r>
    </w:p>
    <w:p w14:paraId="7709250D">
      <w:pPr>
        <w:spacing w:line="360" w:lineRule="auto"/>
        <w:ind w:firstLine="420" w:firstLineChars="200"/>
        <w:rPr>
          <w:rFonts w:ascii="Times New Roman" w:hAnsi="Times New Roman" w:eastAsia="宋体" w:cs="Times New Roman"/>
          <w:szCs w:val="21"/>
        </w:rPr>
      </w:pPr>
      <w:r>
        <w:rPr>
          <w:rFonts w:hint="default" w:ascii="Times New Roman" w:hAnsi="Times New Roman" w:eastAsia="宋体" w:cs="Times New Roman"/>
          <w:szCs w:val="21"/>
        </w:rPr>
        <w:t>i）</w:t>
      </w:r>
      <w:r>
        <w:rPr>
          <w:rFonts w:hint="default" w:ascii="Times New Roman" w:hAnsi="Times New Roman" w:eastAsia="宋体" w:cs="Times New Roman"/>
          <w:szCs w:val="21"/>
          <w:lang w:val="en-US" w:eastAsia="zh-CN"/>
        </w:rPr>
        <w:t>更改了Ⅵ类：钴渣废料类别，将Ⅵ类：钴渣废料</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更改为V类：回收钴渣废料</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将</w:t>
      </w:r>
      <w:r>
        <w:rPr>
          <w:rFonts w:hint="default" w:ascii="Times New Roman" w:hAnsi="Times New Roman" w:eastAsia="宋体" w:cs="Times New Roman"/>
          <w:szCs w:val="21"/>
        </w:rPr>
        <w:t>含钴矿渣</w:t>
      </w:r>
      <w:r>
        <w:rPr>
          <w:rFonts w:hint="default" w:ascii="Times New Roman" w:hAnsi="Times New Roman" w:eastAsia="宋体" w:cs="Times New Roman"/>
          <w:szCs w:val="21"/>
          <w:lang w:val="en-US" w:eastAsia="zh-CN"/>
        </w:rPr>
        <w:t>的级别要求更改为：包括含钴的矿渣等。1级：</w:t>
      </w:r>
      <w:r>
        <w:rPr>
          <w:rFonts w:hint="eastAsia" w:ascii="Times New Roman" w:hAnsi="Times New Roman" w:eastAsia="宋体" w:cs="Times New Roman"/>
          <w:b/>
          <w:bCs/>
          <w:szCs w:val="21"/>
          <w:lang w:val="en-US" w:eastAsia="zh-CN"/>
        </w:rPr>
        <w:t>10</w:t>
      </w:r>
      <w:r>
        <w:rPr>
          <w:rFonts w:hint="default" w:ascii="Times New Roman" w:hAnsi="Times New Roman" w:eastAsia="宋体" w:cs="Times New Roman"/>
          <w:b/>
          <w:bCs/>
          <w:szCs w:val="21"/>
          <w:lang w:val="en-US" w:eastAsia="zh-CN"/>
        </w:rPr>
        <w:t>％≤Co&lt;1</w:t>
      </w: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szCs w:val="21"/>
          <w:lang w:val="en-US" w:eastAsia="zh-CN"/>
        </w:rPr>
        <w:t>％，</w:t>
      </w:r>
      <w:r>
        <w:rPr>
          <w:rFonts w:hint="default" w:ascii="Times New Roman" w:hAnsi="Times New Roman" w:eastAsia="宋体" w:cs="Times New Roman"/>
          <w:szCs w:val="21"/>
          <w:lang w:val="en-US" w:eastAsia="zh-CN"/>
        </w:rPr>
        <w:t>无其他夹杂物。2级：5％≤Co&lt;</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lang w:val="en-US" w:eastAsia="zh-CN"/>
        </w:rPr>
        <w:t>％，无其他夹杂物。</w:t>
      </w:r>
      <w:r>
        <w:rPr>
          <w:rFonts w:ascii="Times New Roman" w:hAnsi="Times New Roman" w:eastAsia="宋体" w:cs="Times New Roman"/>
          <w:color w:val="000000"/>
          <w:szCs w:val="21"/>
          <w14:ligatures w14:val="standardContextual"/>
        </w:rPr>
        <w:t>3级：0.5％≤Co&lt;5％，无其他夹杂物。</w:t>
      </w:r>
    </w:p>
    <w:p w14:paraId="41F1ABF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将</w:t>
      </w:r>
      <w:r>
        <w:rPr>
          <w:rFonts w:hint="default" w:ascii="Times New Roman" w:hAnsi="Times New Roman" w:eastAsia="宋体" w:cs="Times New Roman"/>
          <w:szCs w:val="21"/>
          <w:lang w:val="en-US" w:eastAsia="zh-CN"/>
        </w:rPr>
        <w:t>冶炼渣的级别要求更改为：包括镍钴渣、锰钴渣、锌钴渣等冶炼渣。</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级：</w:t>
      </w:r>
      <w:r>
        <w:rPr>
          <w:rFonts w:hint="default" w:ascii="Times New Roman" w:hAnsi="Times New Roman" w:eastAsia="宋体" w:cs="Times New Roman"/>
          <w:b/>
          <w:bCs/>
          <w:szCs w:val="21"/>
          <w:lang w:val="en-US" w:eastAsia="zh-CN"/>
        </w:rPr>
        <w:t>5％≤Co&lt;</w:t>
      </w:r>
      <w:r>
        <w:rPr>
          <w:rFonts w:hint="eastAsia" w:ascii="Times New Roman" w:hAnsi="Times New Roman" w:eastAsia="宋体" w:cs="Times New Roman"/>
          <w:b/>
          <w:bCs/>
          <w:szCs w:val="21"/>
          <w:lang w:val="en-US" w:eastAsia="zh-CN"/>
        </w:rPr>
        <w:t>15</w:t>
      </w:r>
      <w:r>
        <w:rPr>
          <w:rFonts w:hint="default" w:ascii="Times New Roman" w:hAnsi="Times New Roman" w:eastAsia="宋体" w:cs="Times New Roman"/>
          <w:b/>
          <w:bCs/>
          <w:szCs w:val="21"/>
          <w:lang w:val="en-US" w:eastAsia="zh-CN"/>
        </w:rPr>
        <w:t>％，</w:t>
      </w:r>
      <w:r>
        <w:rPr>
          <w:rFonts w:hint="default" w:ascii="Times New Roman" w:hAnsi="Times New Roman" w:eastAsia="宋体" w:cs="Times New Roman"/>
          <w:szCs w:val="21"/>
          <w:lang w:val="en-US" w:eastAsia="zh-CN"/>
        </w:rPr>
        <w:t>无其他夹杂物。</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级：0.5％≤Co&lt;5％，无其他夹杂物。（见表1，</w:t>
      </w:r>
      <w:r>
        <w:rPr>
          <w:rFonts w:hint="eastAsia" w:ascii="Times New Roman" w:hAnsi="Times New Roman" w:eastAsia="宋体" w:cs="Times New Roman"/>
          <w:szCs w:val="21"/>
          <w:lang w:val="en-US" w:eastAsia="zh-CN"/>
        </w:rPr>
        <w:t>见20</w:t>
      </w:r>
      <w:r>
        <w:rPr>
          <w:rFonts w:hint="default" w:ascii="Times New Roman" w:hAnsi="Times New Roman" w:eastAsia="宋体" w:cs="Times New Roman"/>
          <w:szCs w:val="21"/>
          <w:lang w:val="en-US" w:eastAsia="zh-CN"/>
        </w:rPr>
        <w:t>10</w:t>
      </w:r>
      <w:r>
        <w:rPr>
          <w:rFonts w:hint="eastAsia" w:ascii="Times New Roman" w:hAnsi="Times New Roman" w:eastAsia="宋体" w:cs="Times New Roman"/>
          <w:szCs w:val="21"/>
          <w:lang w:val="en-US" w:eastAsia="zh-CN"/>
        </w:rPr>
        <w:t>版表1）</w:t>
      </w:r>
      <w:r>
        <w:rPr>
          <w:rFonts w:hint="default" w:ascii="Times New Roman" w:hAnsi="Times New Roman" w:eastAsia="宋体" w:cs="Times New Roman"/>
          <w:szCs w:val="21"/>
          <w:lang w:val="en-US" w:eastAsia="zh-CN"/>
        </w:rPr>
        <w:t>；</w:t>
      </w:r>
    </w:p>
    <w:p w14:paraId="1FFF9EBA">
      <w:pPr>
        <w:spacing w:line="360" w:lineRule="auto"/>
        <w:ind w:firstLine="420"/>
        <w:rPr>
          <w:rFonts w:hint="default" w:ascii="Times New Roman" w:hAnsi="Times New Roman" w:eastAsia="宋体" w:cs="Times New Roman"/>
          <w:szCs w:val="21"/>
        </w:rPr>
      </w:pPr>
      <w:r>
        <w:rPr>
          <w:rFonts w:hint="default" w:ascii="Times New Roman" w:hAnsi="Times New Roman" w:eastAsia="宋体" w:cs="Times New Roman"/>
          <w:szCs w:val="21"/>
        </w:rPr>
        <w:t>j</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更改了</w:t>
      </w:r>
      <w:r>
        <w:rPr>
          <w:rFonts w:hint="default" w:ascii="Times New Roman" w:hAnsi="Times New Roman" w:eastAsia="宋体" w:cs="Times New Roman"/>
          <w:szCs w:val="21"/>
        </w:rPr>
        <w:t>Ⅶ类：其他钴废料</w:t>
      </w:r>
      <w:r>
        <w:rPr>
          <w:rFonts w:hint="eastAsia" w:ascii="Times New Roman" w:hAnsi="Times New Roman" w:eastAsia="宋体" w:cs="Times New Roman"/>
          <w:szCs w:val="21"/>
          <w:lang w:val="en-US" w:eastAsia="zh-CN"/>
        </w:rPr>
        <w:t>类别，将</w:t>
      </w:r>
      <w:r>
        <w:rPr>
          <w:rFonts w:hint="default" w:ascii="Times New Roman" w:hAnsi="Times New Roman" w:eastAsia="宋体" w:cs="Times New Roman"/>
          <w:szCs w:val="21"/>
        </w:rPr>
        <w:t>Ⅶ类：其他钴废料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更改为</w:t>
      </w:r>
      <w:r>
        <w:rPr>
          <w:rFonts w:hint="default" w:ascii="Times New Roman" w:hAnsi="Times New Roman" w:eastAsia="宋体" w:cs="Times New Roman"/>
          <w:szCs w:val="21"/>
          <w:lang w:val="en-US" w:eastAsia="zh-CN"/>
        </w:rPr>
        <w:t>Ⅵ类</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其他回收钴废料。将</w:t>
      </w:r>
      <w:r>
        <w:rPr>
          <w:rFonts w:hint="default" w:ascii="Times New Roman" w:hAnsi="Times New Roman" w:eastAsia="宋体" w:cs="Times New Roman"/>
          <w:szCs w:val="21"/>
        </w:rPr>
        <w:t>废钴泥</w:t>
      </w:r>
      <w:r>
        <w:rPr>
          <w:rFonts w:hint="eastAsia" w:ascii="Times New Roman" w:hAnsi="Times New Roman" w:eastAsia="宋体" w:cs="Times New Roman"/>
          <w:szCs w:val="21"/>
          <w:lang w:val="en-US" w:eastAsia="zh-CN"/>
        </w:rPr>
        <w:t>的级别要求更改为：</w:t>
      </w:r>
      <w:r>
        <w:rPr>
          <w:rFonts w:hint="default" w:ascii="Times New Roman" w:hAnsi="Times New Roman" w:eastAsia="宋体" w:cs="Times New Roman"/>
          <w:szCs w:val="21"/>
        </w:rPr>
        <w:t>包括颜铀料（钴黑，钴蓝等），粘合剂等废料。</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级：5％≤Co&lt;15％，无其他夹杂物。</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级：0.5％≤Co&lt;5％，无其他夹杂物。</w:t>
      </w:r>
    </w:p>
    <w:p w14:paraId="5F65EA14">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将废钴屑的级别要求更改为：包括钴玻璃碎片等屑状废弃物。1级：</w:t>
      </w:r>
      <w:r>
        <w:rPr>
          <w:rFonts w:hint="eastAsia" w:ascii="Times New Roman" w:hAnsi="Times New Roman" w:eastAsia="宋体" w:cs="Times New Roman"/>
          <w:b/>
          <w:bCs/>
          <w:szCs w:val="21"/>
          <w:lang w:val="en-US" w:eastAsia="zh-CN"/>
        </w:rPr>
        <w:t>10％≤Co&lt;15％，</w:t>
      </w:r>
      <w:r>
        <w:rPr>
          <w:rFonts w:hint="eastAsia" w:ascii="Times New Roman" w:hAnsi="Times New Roman" w:eastAsia="宋体" w:cs="Times New Roman"/>
          <w:szCs w:val="21"/>
          <w:lang w:val="en-US" w:eastAsia="zh-CN"/>
        </w:rPr>
        <w:t>无其他夹杂物。2级：5％≤Co&lt;10％，无其他夹杂物。3级：0.5％≤Co&lt;5％，无其他夹杂物。</w:t>
      </w:r>
    </w:p>
    <w:p w14:paraId="7C044783">
      <w:pPr>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将废钴液的级别要求更改为：</w:t>
      </w:r>
      <w:r>
        <w:rPr>
          <w:rFonts w:hint="eastAsia" w:ascii="Times New Roman" w:hAnsi="Times New Roman" w:eastAsia="宋体" w:cs="Times New Roman"/>
          <w:szCs w:val="21"/>
          <w14:ligatures w14:val="none"/>
        </w:rPr>
        <w:t>包括镀钴废水、含钴槽液等电镀废料。1级：</w:t>
      </w:r>
      <w:r>
        <w:rPr>
          <w:rFonts w:hint="eastAsia" w:ascii="Times New Roman" w:hAnsi="Times New Roman" w:eastAsia="宋体" w:cs="Times New Roman"/>
          <w:b/>
          <w:bCs/>
          <w:szCs w:val="21"/>
          <w:lang w:val="en-US" w:eastAsia="zh-CN"/>
          <w14:ligatures w14:val="none"/>
        </w:rPr>
        <w:t>5</w:t>
      </w:r>
      <w:r>
        <w:rPr>
          <w:rFonts w:hint="eastAsia" w:ascii="Times New Roman" w:hAnsi="Times New Roman" w:eastAsia="宋体" w:cs="Times New Roman"/>
          <w:b/>
          <w:bCs/>
          <w:szCs w:val="21"/>
          <w14:ligatures w14:val="none"/>
        </w:rPr>
        <w:t>％≤Co&lt;</w:t>
      </w:r>
      <w:r>
        <w:rPr>
          <w:rFonts w:hint="eastAsia" w:ascii="Times New Roman" w:hAnsi="Times New Roman" w:eastAsia="宋体" w:cs="Times New Roman"/>
          <w:b/>
          <w:bCs/>
          <w:szCs w:val="21"/>
          <w:lang w:val="en-US" w:eastAsia="zh-CN"/>
          <w14:ligatures w14:val="none"/>
        </w:rPr>
        <w:t>1</w:t>
      </w:r>
      <w:r>
        <w:rPr>
          <w:rFonts w:hint="eastAsia" w:ascii="Times New Roman" w:hAnsi="Times New Roman" w:eastAsia="宋体" w:cs="Times New Roman"/>
          <w:b/>
          <w:bCs/>
          <w:szCs w:val="21"/>
          <w14:ligatures w14:val="none"/>
        </w:rPr>
        <w:t>5％</w:t>
      </w:r>
      <w:r>
        <w:rPr>
          <w:rFonts w:hint="eastAsia" w:ascii="Times New Roman" w:hAnsi="Times New Roman" w:eastAsia="宋体" w:cs="Times New Roman"/>
          <w:szCs w:val="21"/>
          <w14:ligatures w14:val="none"/>
        </w:rPr>
        <w:t>的废钴液。2级：1％≤Co&lt;5％的废钴液。3级：0.1％≤Co&lt;1％的废钴液。</w:t>
      </w:r>
      <w:r>
        <w:rPr>
          <w:rFonts w:hint="eastAsia" w:ascii="Times New Roman" w:hAnsi="Times New Roman" w:eastAsia="宋体" w:cs="Times New Roman"/>
          <w:szCs w:val="21"/>
          <w:lang w:val="en-US" w:eastAsia="zh-CN"/>
        </w:rPr>
        <w:t>（见表1，见2010版表1）；</w:t>
      </w:r>
    </w:p>
    <w:p w14:paraId="249A54EF">
      <w:pPr>
        <w:spacing w:line="360"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szCs w:val="21"/>
          <w:lang w:val="en-US" w:eastAsia="zh-CN"/>
        </w:rPr>
        <w:t>k</w:t>
      </w:r>
      <w:r>
        <w:rPr>
          <w:rFonts w:hint="eastAsia" w:ascii="Times New Roman" w:hAnsi="Times New Roman" w:eastAsia="宋体" w:cs="Times New Roman"/>
          <w:szCs w:val="21"/>
        </w:rPr>
        <w:t>）更改了技术要求（见5，见2</w:t>
      </w:r>
      <w:r>
        <w:rPr>
          <w:rFonts w:ascii="Times New Roman" w:hAnsi="Times New Roman" w:eastAsia="宋体" w:cs="Times New Roman"/>
          <w:szCs w:val="21"/>
        </w:rPr>
        <w:t>010版</w:t>
      </w:r>
      <w:r>
        <w:rPr>
          <w:rFonts w:hint="eastAsia" w:ascii="Times New Roman" w:hAnsi="Times New Roman" w:eastAsia="宋体" w:cs="Times New Roman"/>
          <w:szCs w:val="21"/>
        </w:rPr>
        <w:t>4）；</w:t>
      </w:r>
    </w:p>
    <w:p w14:paraId="2A20CEA9">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lang w:val="en-US" w:eastAsia="zh-CN"/>
        </w:rPr>
        <w:t>l</w:t>
      </w:r>
      <w:r>
        <w:rPr>
          <w:rFonts w:hint="eastAsia" w:ascii="Times New Roman" w:hAnsi="Times New Roman" w:eastAsia="宋体" w:cs="Times New Roman"/>
          <w:szCs w:val="21"/>
        </w:rPr>
        <w:t>）</w:t>
      </w:r>
      <w:r>
        <w:rPr>
          <w:rFonts w:ascii="Times New Roman" w:hAnsi="Times New Roman" w:eastAsia="宋体" w:cs="Times New Roman"/>
          <w:szCs w:val="21"/>
        </w:rPr>
        <w:t>更改了检验规则（见</w:t>
      </w:r>
      <w:r>
        <w:rPr>
          <w:rFonts w:hint="eastAsia" w:ascii="Times New Roman" w:hAnsi="Times New Roman" w:eastAsia="宋体" w:cs="Times New Roman"/>
          <w:szCs w:val="21"/>
        </w:rPr>
        <w:t>7</w:t>
      </w:r>
      <w:r>
        <w:rPr>
          <w:rFonts w:ascii="Times New Roman" w:hAnsi="Times New Roman" w:eastAsia="宋体" w:cs="Times New Roman"/>
          <w:szCs w:val="21"/>
        </w:rPr>
        <w:t>.1.1</w:t>
      </w:r>
      <w:r>
        <w:rPr>
          <w:rFonts w:hint="eastAsia" w:ascii="Times New Roman" w:hAnsi="Times New Roman" w:eastAsia="宋体" w:cs="Times New Roman"/>
          <w:szCs w:val="21"/>
        </w:rPr>
        <w:t>，</w:t>
      </w:r>
      <w:r>
        <w:rPr>
          <w:rFonts w:ascii="Times New Roman" w:hAnsi="Times New Roman" w:eastAsia="宋体" w:cs="Times New Roman"/>
          <w:szCs w:val="21"/>
        </w:rPr>
        <w:t>7.1.2</w:t>
      </w:r>
      <w:r>
        <w:rPr>
          <w:rFonts w:hint="eastAsia" w:ascii="Times New Roman" w:hAnsi="Times New Roman" w:eastAsia="宋体" w:cs="Times New Roman"/>
          <w:szCs w:val="21"/>
        </w:rPr>
        <w:t>，</w:t>
      </w:r>
      <w:r>
        <w:rPr>
          <w:rFonts w:ascii="Times New Roman" w:hAnsi="Times New Roman" w:eastAsia="宋体" w:cs="Times New Roman"/>
          <w:szCs w:val="21"/>
        </w:rPr>
        <w:t>见2010版</w:t>
      </w:r>
      <w:r>
        <w:rPr>
          <w:rFonts w:hint="eastAsia" w:ascii="Times New Roman" w:hAnsi="Times New Roman" w:eastAsia="宋体" w:cs="Times New Roman"/>
          <w:szCs w:val="21"/>
        </w:rPr>
        <w:t>6</w:t>
      </w:r>
      <w:r>
        <w:rPr>
          <w:rFonts w:ascii="Times New Roman" w:hAnsi="Times New Roman" w:eastAsia="宋体" w:cs="Times New Roman"/>
          <w:szCs w:val="21"/>
        </w:rPr>
        <w:t>.1.1</w:t>
      </w:r>
      <w:r>
        <w:rPr>
          <w:rFonts w:hint="eastAsia" w:ascii="Times New Roman" w:hAnsi="Times New Roman" w:eastAsia="宋体" w:cs="Times New Roman"/>
          <w:szCs w:val="21"/>
        </w:rPr>
        <w:t>，</w:t>
      </w:r>
      <w:r>
        <w:rPr>
          <w:rFonts w:ascii="Times New Roman" w:hAnsi="Times New Roman" w:eastAsia="宋体" w:cs="Times New Roman"/>
          <w:szCs w:val="21"/>
        </w:rPr>
        <w:t>6.1.2）；</w:t>
      </w:r>
    </w:p>
    <w:p w14:paraId="56DEAD7B">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lang w:val="en-US" w:eastAsia="zh-CN"/>
        </w:rPr>
        <w:t>m</w:t>
      </w:r>
      <w:r>
        <w:rPr>
          <w:rFonts w:hint="eastAsia" w:ascii="Times New Roman" w:hAnsi="Times New Roman" w:eastAsia="宋体" w:cs="Times New Roman"/>
          <w:szCs w:val="21"/>
        </w:rPr>
        <w:t>）</w:t>
      </w:r>
      <w:r>
        <w:rPr>
          <w:rFonts w:ascii="Times New Roman" w:hAnsi="Times New Roman" w:eastAsia="宋体" w:cs="Times New Roman"/>
          <w:szCs w:val="21"/>
        </w:rPr>
        <w:t>增加了检验项目、取样以及其他</w:t>
      </w:r>
      <w:r>
        <w:rPr>
          <w:rFonts w:hint="eastAsia" w:ascii="Times New Roman" w:hAnsi="Times New Roman" w:eastAsia="宋体" w:cs="Times New Roman"/>
          <w:szCs w:val="21"/>
        </w:rPr>
        <w:t>（见7</w:t>
      </w:r>
      <w:r>
        <w:rPr>
          <w:rFonts w:ascii="Times New Roman" w:hAnsi="Times New Roman" w:eastAsia="宋体" w:cs="Times New Roman"/>
          <w:szCs w:val="21"/>
        </w:rPr>
        <w:t>.3</w:t>
      </w:r>
      <w:r>
        <w:rPr>
          <w:rFonts w:hint="eastAsia" w:ascii="Times New Roman" w:hAnsi="Times New Roman" w:eastAsia="宋体" w:cs="Times New Roman"/>
          <w:szCs w:val="21"/>
        </w:rPr>
        <w:t>）；</w:t>
      </w:r>
    </w:p>
    <w:p w14:paraId="6AAF055F">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lang w:val="en-US" w:eastAsia="zh-CN"/>
        </w:rPr>
        <w:t>n</w:t>
      </w:r>
      <w:r>
        <w:rPr>
          <w:rFonts w:ascii="Times New Roman" w:hAnsi="Times New Roman" w:eastAsia="宋体" w:cs="Times New Roman"/>
          <w:szCs w:val="21"/>
        </w:rPr>
        <w:t>）更改了“标志、包装、运输、贮存及随行文件”的条款内容（增加了标志、随行文件的内容，具体见8.1</w:t>
      </w:r>
      <w:r>
        <w:rPr>
          <w:rFonts w:hint="eastAsia" w:ascii="Times New Roman" w:hAnsi="Times New Roman" w:eastAsia="宋体" w:cs="Times New Roman"/>
          <w:szCs w:val="21"/>
          <w:lang w:eastAsia="zh-CN"/>
        </w:rPr>
        <w:t>，</w:t>
      </w:r>
      <w:r>
        <w:rPr>
          <w:rFonts w:ascii="Times New Roman" w:hAnsi="Times New Roman" w:eastAsia="宋体" w:cs="Times New Roman"/>
          <w:szCs w:val="21"/>
        </w:rPr>
        <w:t>8.4）；</w:t>
      </w:r>
    </w:p>
    <w:p w14:paraId="472E2590">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lang w:val="en-US" w:eastAsia="zh-CN"/>
        </w:rPr>
        <w:t>o</w:t>
      </w:r>
      <w:r>
        <w:rPr>
          <w:rFonts w:hint="eastAsia" w:ascii="Times New Roman" w:hAnsi="Times New Roman" w:eastAsia="宋体" w:cs="Times New Roman"/>
          <w:szCs w:val="21"/>
        </w:rPr>
        <w:t>）</w:t>
      </w:r>
      <w:r>
        <w:rPr>
          <w:rFonts w:ascii="Times New Roman" w:hAnsi="Times New Roman" w:eastAsia="宋体" w:cs="Times New Roman"/>
          <w:szCs w:val="21"/>
        </w:rPr>
        <w:t>增加了“订货单内容”的条款内容（具体见9）；</w:t>
      </w:r>
    </w:p>
    <w:p w14:paraId="4EBBB7C1">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请注意本文件的</w:t>
      </w:r>
      <w:r>
        <w:rPr>
          <w:rFonts w:hint="eastAsia" w:ascii="Times New Roman" w:hAnsi="Times New Roman" w:eastAsia="宋体" w:cs="Times New Roman"/>
          <w:szCs w:val="21"/>
        </w:rPr>
        <w:t>某</w:t>
      </w:r>
      <w:r>
        <w:rPr>
          <w:rFonts w:ascii="Times New Roman" w:hAnsi="Times New Roman" w:eastAsia="宋体" w:cs="Times New Roman"/>
          <w:szCs w:val="21"/>
        </w:rPr>
        <w:t>些内容可能涉及专利。本文件的发布机构不承担识别专利的责任。</w:t>
      </w:r>
    </w:p>
    <w:p w14:paraId="5A851533">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本文件由中国有色金属工业协会提出。</w:t>
      </w:r>
    </w:p>
    <w:p w14:paraId="34DE3F7A">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本文件由全国有色金属标准化技术委员会（SAC/TC243）归口。</w:t>
      </w:r>
    </w:p>
    <w:p w14:paraId="2C067F4A">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本文件起草单位：</w:t>
      </w:r>
    </w:p>
    <w:p w14:paraId="4CD57100">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本文件主要起草人：</w:t>
      </w:r>
    </w:p>
    <w:p w14:paraId="6DE7C5A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w:t>
      </w:r>
      <w:r>
        <w:rPr>
          <w:rFonts w:hint="eastAsia" w:ascii="Times New Roman" w:hAnsi="Times New Roman" w:eastAsia="宋体" w:cs="Times New Roman"/>
          <w:szCs w:val="21"/>
        </w:rPr>
        <w:t>及其</w:t>
      </w:r>
      <w:r>
        <w:rPr>
          <w:rFonts w:ascii="Times New Roman" w:hAnsi="Times New Roman" w:eastAsia="宋体" w:cs="Times New Roman"/>
          <w:szCs w:val="21"/>
        </w:rPr>
        <w:t>所代替的历次版本发布情况为：</w:t>
      </w:r>
    </w:p>
    <w:p w14:paraId="015C94D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—2010年首次发布为</w:t>
      </w:r>
      <w:r>
        <w:rPr>
          <w:rFonts w:hint="eastAsia" w:ascii="Times New Roman" w:hAnsi="Times New Roman" w:eastAsia="宋体" w:cs="Times New Roman"/>
          <w:szCs w:val="21"/>
        </w:rPr>
        <w:t>G</w:t>
      </w:r>
      <w:r>
        <w:rPr>
          <w:rFonts w:ascii="Times New Roman" w:hAnsi="Times New Roman" w:eastAsia="宋体" w:cs="Times New Roman"/>
          <w:szCs w:val="21"/>
        </w:rPr>
        <w:t>B/T25954</w:t>
      </w:r>
      <w:r>
        <w:rPr>
          <w:rFonts w:hint="eastAsia" w:ascii="Times New Roman" w:hAnsi="Times New Roman" w:eastAsia="宋体" w:cs="Times New Roman"/>
          <w:szCs w:val="21"/>
        </w:rPr>
        <w:t>-</w:t>
      </w:r>
      <w:r>
        <w:rPr>
          <w:rFonts w:ascii="Times New Roman" w:hAnsi="Times New Roman" w:eastAsia="宋体" w:cs="Times New Roman"/>
          <w:szCs w:val="21"/>
        </w:rPr>
        <w:t>2010；</w:t>
      </w:r>
    </w:p>
    <w:p w14:paraId="4B05DE5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—本次为第一次修订。</w:t>
      </w:r>
    </w:p>
    <w:p w14:paraId="7C0C0A29">
      <w:pPr>
        <w:tabs>
          <w:tab w:val="left" w:pos="210"/>
          <w:tab w:val="left" w:pos="1500"/>
          <w:tab w:val="right" w:pos="9528"/>
        </w:tabs>
        <w:spacing w:before="320" w:after="240"/>
        <w:jc w:val="center"/>
        <w:rPr>
          <w:rFonts w:ascii="Times New Roman" w:hAnsi="Times New Roman" w:eastAsia="黑体" w:cs="Times New Roman"/>
          <w:sz w:val="32"/>
          <w:szCs w:val="32"/>
        </w:rPr>
      </w:pPr>
    </w:p>
    <w:p w14:paraId="2504D78F">
      <w:pPr>
        <w:tabs>
          <w:tab w:val="left" w:pos="210"/>
          <w:tab w:val="left" w:pos="1500"/>
          <w:tab w:val="right" w:pos="9528"/>
        </w:tabs>
        <w:spacing w:before="320" w:after="240"/>
        <w:jc w:val="center"/>
        <w:rPr>
          <w:rFonts w:ascii="Times New Roman" w:hAnsi="Times New Roman" w:eastAsia="黑体" w:cs="Times New Roman"/>
          <w:sz w:val="32"/>
          <w:szCs w:val="32"/>
        </w:rPr>
      </w:pPr>
    </w:p>
    <w:p w14:paraId="3A3BA67A">
      <w:pPr>
        <w:tabs>
          <w:tab w:val="left" w:pos="210"/>
          <w:tab w:val="left" w:pos="1500"/>
          <w:tab w:val="right" w:pos="9528"/>
        </w:tabs>
        <w:spacing w:before="320" w:after="240"/>
        <w:jc w:val="center"/>
        <w:rPr>
          <w:rFonts w:ascii="Times New Roman" w:hAnsi="Times New Roman" w:eastAsia="黑体" w:cs="Times New Roman"/>
          <w:sz w:val="32"/>
          <w:szCs w:val="32"/>
        </w:rPr>
      </w:pPr>
    </w:p>
    <w:p w14:paraId="4512C658">
      <w:pPr>
        <w:tabs>
          <w:tab w:val="left" w:pos="210"/>
          <w:tab w:val="left" w:pos="1500"/>
          <w:tab w:val="right" w:pos="9528"/>
        </w:tabs>
        <w:spacing w:before="320" w:after="240"/>
        <w:jc w:val="both"/>
        <w:rPr>
          <w:rFonts w:ascii="Times New Roman" w:hAnsi="Times New Roman" w:eastAsia="黑体" w:cs="Times New Roman"/>
          <w:sz w:val="32"/>
          <w:szCs w:val="32"/>
        </w:rPr>
      </w:pPr>
    </w:p>
    <w:p w14:paraId="242ECDF5">
      <w:pPr>
        <w:tabs>
          <w:tab w:val="left" w:pos="210"/>
          <w:tab w:val="left" w:pos="1500"/>
          <w:tab w:val="right" w:pos="9528"/>
        </w:tabs>
        <w:spacing w:before="320" w:after="240"/>
        <w:jc w:val="center"/>
        <w:rPr>
          <w:rFonts w:ascii="Times New Roman" w:hAnsi="Times New Roman" w:eastAsia="黑体" w:cs="Times New Roman"/>
          <w:sz w:val="32"/>
          <w:szCs w:val="32"/>
        </w:rPr>
      </w:pPr>
      <w:bookmarkStart w:id="1" w:name="_Hlk104201904"/>
    </w:p>
    <w:p w14:paraId="41DE3EB8">
      <w:pPr>
        <w:tabs>
          <w:tab w:val="left" w:pos="210"/>
          <w:tab w:val="left" w:pos="1500"/>
          <w:tab w:val="right" w:pos="9528"/>
        </w:tabs>
        <w:spacing w:before="320" w:after="240"/>
        <w:jc w:val="center"/>
        <w:rPr>
          <w:rFonts w:ascii="Times New Roman" w:hAnsi="Times New Roman" w:eastAsia="黑体" w:cs="Times New Roman"/>
          <w:sz w:val="32"/>
          <w:szCs w:val="32"/>
        </w:rPr>
      </w:pPr>
    </w:p>
    <w:p w14:paraId="536236BC">
      <w:pPr>
        <w:tabs>
          <w:tab w:val="left" w:pos="210"/>
          <w:tab w:val="left" w:pos="1500"/>
          <w:tab w:val="right" w:pos="9528"/>
        </w:tabs>
        <w:spacing w:before="320" w:after="240"/>
        <w:jc w:val="center"/>
        <w:rPr>
          <w:rFonts w:ascii="Times New Roman" w:hAnsi="Times New Roman" w:eastAsia="黑体" w:cs="Times New Roman"/>
          <w:sz w:val="32"/>
          <w:szCs w:val="32"/>
        </w:rPr>
      </w:pPr>
    </w:p>
    <w:p w14:paraId="18227A63">
      <w:pPr>
        <w:tabs>
          <w:tab w:val="left" w:pos="210"/>
          <w:tab w:val="left" w:pos="1500"/>
          <w:tab w:val="right" w:pos="9528"/>
        </w:tabs>
        <w:spacing w:before="320" w:after="240"/>
        <w:jc w:val="center"/>
        <w:rPr>
          <w:rFonts w:ascii="Times New Roman" w:hAnsi="Times New Roman" w:eastAsia="黑体" w:cs="Times New Roman"/>
          <w:sz w:val="32"/>
          <w:szCs w:val="32"/>
        </w:rPr>
      </w:pPr>
    </w:p>
    <w:p w14:paraId="5D5A7B9C">
      <w:pPr>
        <w:tabs>
          <w:tab w:val="left" w:pos="210"/>
          <w:tab w:val="left" w:pos="1500"/>
          <w:tab w:val="right" w:pos="9528"/>
        </w:tabs>
        <w:spacing w:before="320" w:after="240"/>
        <w:jc w:val="center"/>
        <w:rPr>
          <w:rFonts w:ascii="Times New Roman" w:hAnsi="Times New Roman" w:eastAsia="黑体" w:cs="Times New Roman"/>
          <w:sz w:val="32"/>
          <w:szCs w:val="32"/>
        </w:rPr>
      </w:pPr>
    </w:p>
    <w:p w14:paraId="26D1226B">
      <w:pPr>
        <w:tabs>
          <w:tab w:val="left" w:pos="210"/>
          <w:tab w:val="left" w:pos="1500"/>
          <w:tab w:val="right" w:pos="9528"/>
        </w:tabs>
        <w:spacing w:before="320" w:after="240"/>
        <w:jc w:val="center"/>
        <w:rPr>
          <w:rFonts w:ascii="Times New Roman" w:hAnsi="Times New Roman" w:eastAsia="黑体" w:cs="Times New Roman"/>
          <w:sz w:val="32"/>
          <w:szCs w:val="32"/>
        </w:rPr>
      </w:pPr>
    </w:p>
    <w:p w14:paraId="2FBDBCC7">
      <w:pPr>
        <w:tabs>
          <w:tab w:val="left" w:pos="210"/>
          <w:tab w:val="left" w:pos="1500"/>
          <w:tab w:val="right" w:pos="9528"/>
        </w:tabs>
        <w:spacing w:before="320" w:after="240"/>
        <w:jc w:val="center"/>
        <w:rPr>
          <w:rFonts w:ascii="Times New Roman" w:hAnsi="Times New Roman" w:eastAsia="黑体" w:cs="Times New Roman"/>
          <w:sz w:val="32"/>
          <w:szCs w:val="32"/>
        </w:rPr>
      </w:pPr>
    </w:p>
    <w:p w14:paraId="063A6BBF">
      <w:pPr>
        <w:tabs>
          <w:tab w:val="left" w:pos="210"/>
          <w:tab w:val="left" w:pos="1500"/>
          <w:tab w:val="right" w:pos="9528"/>
        </w:tabs>
        <w:spacing w:before="320" w:after="240"/>
        <w:jc w:val="center"/>
        <w:rPr>
          <w:rFonts w:ascii="Times New Roman" w:hAnsi="Times New Roman" w:eastAsia="黑体" w:cs="Times New Roman"/>
          <w:sz w:val="32"/>
          <w:szCs w:val="32"/>
        </w:rPr>
      </w:pPr>
    </w:p>
    <w:p w14:paraId="473F4246">
      <w:pPr>
        <w:tabs>
          <w:tab w:val="left" w:pos="210"/>
          <w:tab w:val="left" w:pos="1500"/>
          <w:tab w:val="right" w:pos="9528"/>
        </w:tabs>
        <w:spacing w:before="320" w:after="240"/>
        <w:jc w:val="center"/>
        <w:rPr>
          <w:rFonts w:ascii="Times New Roman" w:hAnsi="Times New Roman" w:eastAsia="黑体" w:cs="Times New Roman"/>
          <w:sz w:val="32"/>
          <w:szCs w:val="32"/>
        </w:rPr>
      </w:pPr>
    </w:p>
    <w:p w14:paraId="6E9C1D2E">
      <w:pPr>
        <w:tabs>
          <w:tab w:val="left" w:pos="210"/>
          <w:tab w:val="left" w:pos="1500"/>
          <w:tab w:val="right" w:pos="9528"/>
        </w:tabs>
        <w:spacing w:before="320" w:after="240"/>
        <w:jc w:val="center"/>
        <w:rPr>
          <w:rFonts w:ascii="Times New Roman" w:hAnsi="Times New Roman" w:eastAsia="黑体" w:cs="Times New Roman"/>
          <w:sz w:val="32"/>
          <w:szCs w:val="32"/>
        </w:rPr>
      </w:pPr>
      <w:r>
        <w:rPr>
          <w:rFonts w:ascii="Times New Roman" w:hAnsi="Times New Roman" w:eastAsia="黑体" w:cs="Times New Roman"/>
          <w:sz w:val="32"/>
          <w:szCs w:val="32"/>
        </w:rPr>
        <w:t>回收</w:t>
      </w:r>
      <w:r>
        <w:rPr>
          <w:rFonts w:hint="eastAsia" w:ascii="Times New Roman" w:hAnsi="Times New Roman" w:eastAsia="黑体" w:cs="Times New Roman"/>
          <w:sz w:val="32"/>
          <w:szCs w:val="32"/>
        </w:rPr>
        <w:t>钴</w:t>
      </w:r>
      <w:r>
        <w:rPr>
          <w:rFonts w:ascii="Times New Roman" w:hAnsi="Times New Roman" w:eastAsia="黑体" w:cs="Times New Roman"/>
          <w:sz w:val="32"/>
          <w:szCs w:val="32"/>
        </w:rPr>
        <w:t>及钴合金原料</w:t>
      </w:r>
    </w:p>
    <w:bookmarkEnd w:id="1"/>
    <w:p w14:paraId="167C59D8">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1  范围</w:t>
      </w:r>
    </w:p>
    <w:p w14:paraId="76238802">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本文件规定了回收</w:t>
      </w:r>
      <w:r>
        <w:rPr>
          <w:rFonts w:hint="eastAsia" w:ascii="Times New Roman" w:hAnsi="Times New Roman" w:eastAsia="宋体" w:cs="Times New Roman"/>
          <w:szCs w:val="21"/>
        </w:rPr>
        <w:t>钴</w:t>
      </w:r>
      <w:r>
        <w:rPr>
          <w:rFonts w:ascii="Times New Roman" w:hAnsi="Times New Roman" w:eastAsia="宋体" w:cs="Times New Roman"/>
          <w:szCs w:val="21"/>
        </w:rPr>
        <w:t>及钴合金原料（以下统称</w:t>
      </w:r>
      <w:r>
        <w:rPr>
          <w:rFonts w:hint="eastAsia" w:ascii="Times New Roman" w:hAnsi="Times New Roman" w:eastAsia="宋体" w:cs="Times New Roman"/>
          <w:szCs w:val="21"/>
        </w:rPr>
        <w:t>“</w:t>
      </w:r>
      <w:r>
        <w:rPr>
          <w:rFonts w:ascii="Times New Roman" w:hAnsi="Times New Roman" w:eastAsia="宋体" w:cs="Times New Roman"/>
          <w:szCs w:val="21"/>
        </w:rPr>
        <w:t>回收原料</w:t>
      </w:r>
      <w:r>
        <w:rPr>
          <w:rFonts w:hint="eastAsia" w:ascii="Times New Roman" w:hAnsi="Times New Roman" w:eastAsia="宋体" w:cs="Times New Roman"/>
          <w:szCs w:val="21"/>
        </w:rPr>
        <w:t>”</w:t>
      </w:r>
      <w:r>
        <w:rPr>
          <w:rFonts w:ascii="Times New Roman" w:hAnsi="Times New Roman" w:eastAsia="宋体" w:cs="Times New Roman"/>
          <w:szCs w:val="21"/>
        </w:rPr>
        <w:t>）的分类、</w:t>
      </w:r>
      <w:r>
        <w:rPr>
          <w:rFonts w:hint="eastAsia" w:ascii="Times New Roman" w:hAnsi="Times New Roman" w:eastAsia="宋体" w:cs="Times New Roman"/>
          <w:szCs w:val="21"/>
          <w:lang w:val="en-US" w:eastAsia="zh-CN"/>
        </w:rPr>
        <w:t>技术</w:t>
      </w:r>
      <w:r>
        <w:rPr>
          <w:rFonts w:ascii="Times New Roman" w:hAnsi="Times New Roman" w:eastAsia="宋体" w:cs="Times New Roman"/>
          <w:szCs w:val="21"/>
        </w:rPr>
        <w:t>要求、检验方法、检验规则、标志、包装、运输、贮存</w:t>
      </w:r>
      <w:r>
        <w:rPr>
          <w:rFonts w:hint="eastAsia" w:ascii="Times New Roman" w:hAnsi="Times New Roman" w:eastAsia="宋体" w:cs="Times New Roman"/>
          <w:szCs w:val="21"/>
          <w:lang w:val="en-US" w:eastAsia="zh-CN"/>
        </w:rPr>
        <w:t>及随行文件、订货单内容</w:t>
      </w:r>
      <w:r>
        <w:rPr>
          <w:rFonts w:ascii="Times New Roman" w:hAnsi="Times New Roman" w:eastAsia="宋体" w:cs="Times New Roman"/>
          <w:szCs w:val="21"/>
        </w:rPr>
        <w:t>。</w:t>
      </w:r>
    </w:p>
    <w:p w14:paraId="54D19152">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本文件适用于回收钴及钴</w:t>
      </w:r>
      <w:r>
        <w:rPr>
          <w:rFonts w:hint="eastAsia" w:ascii="Times New Roman" w:hAnsi="Times New Roman" w:eastAsia="宋体" w:cs="Times New Roman"/>
          <w:szCs w:val="21"/>
        </w:rPr>
        <w:t>合金原料</w:t>
      </w:r>
      <w:r>
        <w:rPr>
          <w:rFonts w:ascii="Times New Roman" w:hAnsi="Times New Roman" w:eastAsia="宋体" w:cs="Times New Roman"/>
          <w:szCs w:val="21"/>
        </w:rPr>
        <w:t>的国内外贸易、再生有色金属熔炼企业，也适用于加工制造业使用的回收钴及钴</w:t>
      </w:r>
      <w:r>
        <w:rPr>
          <w:rFonts w:hint="eastAsia" w:ascii="Times New Roman" w:hAnsi="Times New Roman" w:eastAsia="宋体" w:cs="Times New Roman"/>
          <w:szCs w:val="21"/>
        </w:rPr>
        <w:t>合金原</w:t>
      </w:r>
      <w:r>
        <w:rPr>
          <w:rFonts w:ascii="Times New Roman" w:hAnsi="Times New Roman" w:eastAsia="宋体" w:cs="Times New Roman"/>
          <w:szCs w:val="21"/>
        </w:rPr>
        <w:t>料。</w:t>
      </w:r>
    </w:p>
    <w:p w14:paraId="1AAC0E50">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2  规范性引用文件</w:t>
      </w:r>
    </w:p>
    <w:p w14:paraId="057D0EA5">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F0EBF5">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4180</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稀土钴永磁材料</w:t>
      </w:r>
    </w:p>
    <w:p w14:paraId="116B591E">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5124</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3</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硬质合金化学分析方法</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电位滴定法测定钴量</w:t>
      </w:r>
    </w:p>
    <w:p w14:paraId="571668CF">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GB/T 8170 数值修约规则与极限数值的表示和判定</w:t>
      </w:r>
    </w:p>
    <w:p w14:paraId="4ADE8839">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15679</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钐钴永磁合金粉化学分析方法</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钐、钴量的测定</w:t>
      </w:r>
    </w:p>
    <w:p w14:paraId="1C11DAE2">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冶炼渣</w:t>
      </w:r>
    </w:p>
    <w:p w14:paraId="5E2EA30F">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7</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废有色金属</w:t>
      </w:r>
    </w:p>
    <w:p w14:paraId="6926856D">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16487</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8</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进口可用作原料的固体废物环境保护控制标准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废电机</w:t>
      </w:r>
    </w:p>
    <w:p w14:paraId="2F3E7322">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18376（所有部分）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硬质合金牌号</w:t>
      </w:r>
    </w:p>
    <w:p w14:paraId="09B94EB9">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YS/T 281</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所有部分</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钴化学分析方法</w:t>
      </w:r>
    </w:p>
    <w:p w14:paraId="47B6E54E">
      <w:pPr>
        <w:widowControl/>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SH/T 0345</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加氢精制催化剂中钴含量测定法</w:t>
      </w:r>
    </w:p>
    <w:p w14:paraId="55A9120D">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3  术语和定义</w:t>
      </w:r>
    </w:p>
    <w:p w14:paraId="52285B7D">
      <w:pPr>
        <w:spacing w:line="360" w:lineRule="auto"/>
        <w:ind w:firstLine="420"/>
        <w:rPr>
          <w:rFonts w:ascii="Times New Roman" w:hAnsi="Times New Roman" w:eastAsia="宋体" w:cs="Times New Roman"/>
          <w:szCs w:val="21"/>
        </w:rPr>
      </w:pPr>
      <w:r>
        <w:rPr>
          <w:rFonts w:ascii="Times New Roman" w:hAnsi="Times New Roman" w:cs="Times New Roman"/>
          <w:szCs w:val="21"/>
        </w:rPr>
        <w:t xml:space="preserve"> </w:t>
      </w:r>
      <w:r>
        <w:rPr>
          <w:rFonts w:ascii="Times New Roman" w:hAnsi="Times New Roman" w:eastAsia="宋体" w:cs="Times New Roman"/>
          <w:szCs w:val="21"/>
        </w:rPr>
        <w:t>本文件没有需要界定的术语和定义。</w:t>
      </w:r>
    </w:p>
    <w:p w14:paraId="46664194">
      <w:pPr>
        <w:spacing w:before="312" w:beforeLines="100" w:after="312" w:afterLines="100" w:line="420" w:lineRule="exact"/>
        <w:rPr>
          <w:rFonts w:ascii="Times New Roman" w:hAnsi="Times New Roman" w:eastAsia="黑体" w:cs="Times New Roman"/>
          <w:szCs w:val="24"/>
        </w:rPr>
      </w:pPr>
      <w:r>
        <w:rPr>
          <w:rFonts w:ascii="Times New Roman" w:hAnsi="Times New Roman" w:eastAsia="黑体" w:cs="Times New Roman"/>
          <w:szCs w:val="24"/>
        </w:rPr>
        <w:t>4  分类</w:t>
      </w:r>
    </w:p>
    <w:p w14:paraId="08AE4DE9">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回收钴及钴合金原料</w:t>
      </w:r>
      <w:r>
        <w:rPr>
          <w:rFonts w:hint="eastAsia" w:ascii="Times New Roman" w:hAnsi="Times New Roman" w:eastAsia="宋体" w:cs="Times New Roman"/>
          <w:szCs w:val="21"/>
        </w:rPr>
        <w:t>，</w:t>
      </w:r>
      <w:r>
        <w:rPr>
          <w:rFonts w:ascii="Times New Roman" w:hAnsi="Times New Roman" w:eastAsia="宋体" w:cs="Times New Roman"/>
          <w:szCs w:val="21"/>
        </w:rPr>
        <w:t>按照物理形态及存在方式分为</w:t>
      </w:r>
      <w:r>
        <w:rPr>
          <w:rFonts w:hint="eastAsia" w:ascii="Times New Roman" w:hAnsi="Times New Roman" w:eastAsia="宋体" w:cs="Times New Roman"/>
          <w:szCs w:val="21"/>
          <w:lang w:val="en-US" w:eastAsia="zh-CN"/>
        </w:rPr>
        <w:t>六</w:t>
      </w:r>
      <w:r>
        <w:rPr>
          <w:rFonts w:ascii="Times New Roman" w:hAnsi="Times New Roman" w:eastAsia="宋体" w:cs="Times New Roman"/>
          <w:szCs w:val="21"/>
        </w:rPr>
        <w:t>大类，即I类：</w:t>
      </w:r>
      <w:r>
        <w:rPr>
          <w:rFonts w:hint="eastAsia" w:ascii="Times New Roman" w:hAnsi="Times New Roman" w:eastAsia="宋体" w:cs="Times New Roman"/>
          <w:szCs w:val="21"/>
          <w:lang w:val="en-US" w:eastAsia="zh-CN"/>
        </w:rPr>
        <w:t>回收钴的化合物废料</w:t>
      </w:r>
      <w:r>
        <w:rPr>
          <w:rFonts w:ascii="Times New Roman" w:hAnsi="Times New Roman" w:eastAsia="宋体" w:cs="Times New Roman"/>
          <w:szCs w:val="21"/>
        </w:rPr>
        <w:t>；Ⅱ类：</w:t>
      </w:r>
      <w:r>
        <w:rPr>
          <w:rFonts w:hint="eastAsia" w:ascii="Times New Roman" w:hAnsi="Times New Roman" w:eastAsia="宋体" w:cs="Times New Roman"/>
          <w:szCs w:val="21"/>
          <w:lang w:val="en-US" w:eastAsia="zh-CN"/>
          <w14:ligatures w14:val="standardContextual"/>
        </w:rPr>
        <w:t>回收</w:t>
      </w:r>
      <w:r>
        <w:rPr>
          <w:rFonts w:ascii="Times New Roman" w:hAnsi="Times New Roman" w:eastAsia="宋体" w:cs="Times New Roman"/>
          <w:szCs w:val="21"/>
          <w14:ligatures w14:val="standardContextual"/>
        </w:rPr>
        <w:t>钴合金废料</w:t>
      </w:r>
      <w:r>
        <w:rPr>
          <w:rFonts w:ascii="Times New Roman" w:hAnsi="Times New Roman" w:eastAsia="宋体" w:cs="Times New Roman"/>
          <w:szCs w:val="21"/>
        </w:rPr>
        <w:t>；Ⅲ类：</w:t>
      </w:r>
      <w:r>
        <w:rPr>
          <w:rFonts w:hint="eastAsia" w:ascii="Times New Roman" w:hAnsi="Times New Roman" w:eastAsia="宋体" w:cs="Times New Roman"/>
          <w:szCs w:val="21"/>
          <w:lang w:val="en-US" w:eastAsia="zh-CN"/>
          <w14:ligatures w14:val="standardContextual"/>
        </w:rPr>
        <w:t>回收</w:t>
      </w:r>
      <w:r>
        <w:rPr>
          <w:rFonts w:ascii="Times New Roman" w:hAnsi="Times New Roman" w:eastAsia="宋体" w:cs="Times New Roman"/>
          <w:szCs w:val="21"/>
          <w14:ligatures w14:val="standardContextual"/>
        </w:rPr>
        <w:t>电池材料废料</w:t>
      </w:r>
      <w:r>
        <w:rPr>
          <w:rFonts w:ascii="Times New Roman" w:hAnsi="Times New Roman" w:eastAsia="宋体" w:cs="Times New Roman"/>
          <w:szCs w:val="21"/>
        </w:rPr>
        <w:t>；IV类：</w:t>
      </w:r>
      <w:r>
        <w:rPr>
          <w:rFonts w:hint="eastAsia" w:ascii="Times New Roman" w:hAnsi="Times New Roman" w:eastAsia="宋体" w:cs="Times New Roman"/>
          <w:szCs w:val="21"/>
          <w:lang w:val="en-US" w:eastAsia="zh-CN"/>
          <w14:ligatures w14:val="standardContextual"/>
        </w:rPr>
        <w:t>回收</w:t>
      </w:r>
      <w:r>
        <w:rPr>
          <w:rFonts w:ascii="Times New Roman" w:hAnsi="Times New Roman" w:eastAsia="宋体" w:cs="Times New Roman"/>
          <w:szCs w:val="21"/>
          <w14:ligatures w14:val="standardContextual"/>
        </w:rPr>
        <w:t>催化剂废料</w:t>
      </w:r>
      <w:r>
        <w:rPr>
          <w:rFonts w:ascii="Times New Roman" w:hAnsi="Times New Roman" w:eastAsia="宋体" w:cs="Times New Roman"/>
          <w:szCs w:val="21"/>
        </w:rPr>
        <w:t>；V类：</w:t>
      </w:r>
      <w:r>
        <w:rPr>
          <w:rFonts w:hint="eastAsia" w:ascii="Times New Roman" w:hAnsi="Times New Roman" w:eastAsia="宋体" w:cs="Times New Roman"/>
          <w:color w:val="000000"/>
          <w:szCs w:val="21"/>
          <w:lang w:val="en-US" w:eastAsia="zh-CN"/>
          <w14:ligatures w14:val="standardContextual"/>
        </w:rPr>
        <w:t>回收</w:t>
      </w:r>
      <w:r>
        <w:rPr>
          <w:rFonts w:ascii="Times New Roman" w:hAnsi="Times New Roman" w:eastAsia="宋体" w:cs="Times New Roman"/>
          <w:color w:val="000000"/>
          <w:szCs w:val="21"/>
          <w14:ligatures w14:val="standardContextual"/>
        </w:rPr>
        <w:t>钴渣废料</w:t>
      </w:r>
      <w:r>
        <w:rPr>
          <w:rFonts w:hint="eastAsia" w:ascii="Times New Roman" w:hAnsi="Times New Roman" w:eastAsia="宋体" w:cs="Times New Roman"/>
          <w:color w:val="000000"/>
          <w:szCs w:val="21"/>
          <w:lang w:eastAsia="zh-CN"/>
          <w14:ligatures w14:val="standardContextual"/>
        </w:rPr>
        <w:t>；</w:t>
      </w:r>
      <w:r>
        <w:rPr>
          <w:rFonts w:hint="default" w:ascii="Times New Roman" w:hAnsi="Times New Roman" w:eastAsia="宋体" w:cs="Times New Roman"/>
          <w:szCs w:val="21"/>
          <w:lang w:val="en-US" w:eastAsia="zh-CN"/>
        </w:rPr>
        <w:t>Ⅵ类</w:t>
      </w:r>
      <w:r>
        <w:rPr>
          <w:rFonts w:hint="default" w:ascii="Times New Roman" w:hAnsi="Times New Roman" w:eastAsia="宋体" w:cs="Times New Roman"/>
          <w:szCs w:val="21"/>
        </w:rPr>
        <w:t>：</w:t>
      </w:r>
      <w:r>
        <w:rPr>
          <w:rFonts w:ascii="Times New Roman" w:hAnsi="Times New Roman" w:eastAsia="宋体" w:cs="Times New Roman"/>
          <w:szCs w:val="21"/>
        </w:rPr>
        <w:t>其他</w:t>
      </w:r>
      <w:r>
        <w:rPr>
          <w:rFonts w:hint="eastAsia" w:ascii="Times New Roman" w:hAnsi="Times New Roman" w:eastAsia="宋体" w:cs="Times New Roman"/>
          <w:szCs w:val="21"/>
          <w:lang w:val="en-US" w:eastAsia="zh-CN"/>
        </w:rPr>
        <w:t>回收</w:t>
      </w:r>
      <w:r>
        <w:rPr>
          <w:rFonts w:ascii="Times New Roman" w:hAnsi="Times New Roman" w:eastAsia="宋体" w:cs="Times New Roman"/>
          <w:szCs w:val="21"/>
        </w:rPr>
        <w:t>钴废料。按照每类</w:t>
      </w:r>
      <w:r>
        <w:rPr>
          <w:rFonts w:hint="eastAsia" w:ascii="Times New Roman" w:hAnsi="Times New Roman" w:eastAsia="宋体" w:cs="Times New Roman"/>
          <w:szCs w:val="21"/>
        </w:rPr>
        <w:t>钴</w:t>
      </w:r>
      <w:r>
        <w:rPr>
          <w:rFonts w:ascii="Times New Roman" w:hAnsi="Times New Roman" w:eastAsia="宋体" w:cs="Times New Roman"/>
          <w:szCs w:val="21"/>
        </w:rPr>
        <w:t>及钴合金原料的类别、种类</w:t>
      </w:r>
      <w:r>
        <w:rPr>
          <w:rFonts w:hint="eastAsia" w:ascii="Times New Roman" w:hAnsi="Times New Roman" w:eastAsia="宋体" w:cs="Times New Roman"/>
          <w:szCs w:val="21"/>
        </w:rPr>
        <w:t>/</w:t>
      </w:r>
      <w:r>
        <w:rPr>
          <w:rFonts w:ascii="Times New Roman" w:hAnsi="Times New Roman" w:eastAsia="宋体" w:cs="Times New Roman"/>
          <w:szCs w:val="21"/>
        </w:rPr>
        <w:t>名称及化学成分来区分不同级别，各类原料具体要求见表1。</w:t>
      </w:r>
    </w:p>
    <w:p w14:paraId="4649A541">
      <w:pPr>
        <w:widowControl/>
        <w:spacing w:line="360" w:lineRule="auto"/>
        <w:jc w:val="center"/>
        <w:rPr>
          <w:rFonts w:ascii="Times New Roman" w:hAnsi="Times New Roman" w:eastAsia="宋体" w:cs="Times New Roman"/>
          <w:b/>
          <w:color w:val="FF0000"/>
          <w:szCs w:val="21"/>
          <w14:ligatures w14:val="standardContextual"/>
        </w:rPr>
      </w:pPr>
      <w:r>
        <w:rPr>
          <w:rFonts w:ascii="Times New Roman" w:hAnsi="Times New Roman" w:eastAsia="宋体" w:cs="Times New Roman"/>
          <w:b/>
          <w:szCs w:val="21"/>
          <w14:ligatures w14:val="standardContextual"/>
        </w:rPr>
        <w:t>表1回收钴及钴合金</w:t>
      </w:r>
      <w:r>
        <w:rPr>
          <w:rFonts w:hint="eastAsia" w:ascii="Times New Roman" w:hAnsi="Times New Roman" w:eastAsia="宋体" w:cs="Times New Roman"/>
          <w:b/>
          <w:szCs w:val="21"/>
          <w14:ligatures w14:val="standardContextual"/>
        </w:rPr>
        <w:t>原料</w:t>
      </w:r>
      <w:r>
        <w:rPr>
          <w:rFonts w:ascii="Times New Roman" w:hAnsi="Times New Roman" w:eastAsia="宋体" w:cs="Times New Roman"/>
          <w:b/>
          <w:szCs w:val="21"/>
          <w14:ligatures w14:val="standardContextual"/>
        </w:rPr>
        <w:t>的分类</w:t>
      </w:r>
    </w:p>
    <w:tbl>
      <w:tblPr>
        <w:tblStyle w:val="2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723"/>
        <w:gridCol w:w="5380"/>
      </w:tblGrid>
      <w:tr w14:paraId="5E09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14:paraId="11057145">
            <w:pPr>
              <w:widowControl/>
              <w:jc w:val="center"/>
              <w:rPr>
                <w:rFonts w:ascii="Times New Roman" w:hAnsi="Times New Roman" w:eastAsia="宋体" w:cs="Times New Roman"/>
                <w:color w:val="000000"/>
                <w:szCs w:val="21"/>
                <w14:ligatures w14:val="standardContextual"/>
              </w:rPr>
            </w:pPr>
            <w:r>
              <w:rPr>
                <w:rFonts w:ascii="Times New Roman" w:hAnsi="Times New Roman" w:eastAsia="宋体" w:cs="Times New Roman"/>
                <w:color w:val="000000"/>
                <w:szCs w:val="21"/>
                <w14:ligatures w14:val="standardContextual"/>
              </w:rPr>
              <w:t>类别</w:t>
            </w:r>
          </w:p>
        </w:tc>
        <w:tc>
          <w:tcPr>
            <w:tcW w:w="1723" w:type="dxa"/>
            <w:vAlign w:val="center"/>
          </w:tcPr>
          <w:p w14:paraId="67D05D71">
            <w:pPr>
              <w:widowControl/>
              <w:jc w:val="center"/>
              <w:rPr>
                <w:rFonts w:ascii="Times New Roman" w:hAnsi="Times New Roman" w:eastAsia="宋体" w:cs="Times New Roman"/>
                <w:color w:val="000000"/>
                <w:szCs w:val="21"/>
                <w14:ligatures w14:val="standardContextual"/>
              </w:rPr>
            </w:pPr>
            <w:r>
              <w:rPr>
                <w:rFonts w:hint="eastAsia" w:ascii="Times New Roman" w:hAnsi="Times New Roman" w:eastAsia="宋体" w:cs="Times New Roman"/>
                <w:color w:val="000000"/>
                <w:szCs w:val="21"/>
                <w14:ligatures w14:val="standardContextual"/>
              </w:rPr>
              <w:t>原料</w:t>
            </w:r>
            <w:r>
              <w:rPr>
                <w:rFonts w:ascii="Times New Roman" w:hAnsi="Times New Roman" w:eastAsia="宋体" w:cs="Times New Roman"/>
                <w:color w:val="000000"/>
                <w:szCs w:val="21"/>
                <w14:ligatures w14:val="standardContextual"/>
              </w:rPr>
              <w:t>种类</w:t>
            </w:r>
            <w:r>
              <w:rPr>
                <w:rFonts w:hint="eastAsia" w:ascii="Times New Roman" w:hAnsi="Times New Roman" w:eastAsia="宋体" w:cs="Times New Roman"/>
                <w:color w:val="000000"/>
                <w:szCs w:val="21"/>
                <w14:ligatures w14:val="standardContextual"/>
              </w:rPr>
              <w:t>/</w:t>
            </w:r>
            <w:r>
              <w:rPr>
                <w:rFonts w:ascii="Times New Roman" w:hAnsi="Times New Roman" w:eastAsia="宋体" w:cs="Times New Roman"/>
                <w:color w:val="000000"/>
                <w:szCs w:val="21"/>
                <w14:ligatures w14:val="standardContextual"/>
              </w:rPr>
              <w:t>名称</w:t>
            </w:r>
          </w:p>
        </w:tc>
        <w:tc>
          <w:tcPr>
            <w:tcW w:w="5380" w:type="dxa"/>
            <w:vAlign w:val="center"/>
          </w:tcPr>
          <w:p w14:paraId="2B9C7D14">
            <w:pPr>
              <w:widowControl/>
              <w:jc w:val="center"/>
              <w:rPr>
                <w:rFonts w:ascii="Times New Roman" w:hAnsi="Times New Roman" w:eastAsia="宋体" w:cs="Times New Roman"/>
                <w:color w:val="000000"/>
                <w:szCs w:val="21"/>
                <w14:ligatures w14:val="standardContextual"/>
              </w:rPr>
            </w:pPr>
            <w:r>
              <w:rPr>
                <w:rFonts w:ascii="Times New Roman" w:hAnsi="Times New Roman" w:eastAsia="宋体" w:cs="Times New Roman"/>
                <w:color w:val="000000"/>
                <w:szCs w:val="21"/>
                <w14:ligatures w14:val="standardContextual"/>
              </w:rPr>
              <w:t>级别要求</w:t>
            </w:r>
          </w:p>
        </w:tc>
      </w:tr>
      <w:tr w14:paraId="5A0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14:paraId="2C3E9D84">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rPr>
              <w:t>I类</w:t>
            </w:r>
            <w:r>
              <w:rPr>
                <w:rFonts w:ascii="Times New Roman" w:hAnsi="Times New Roman" w:eastAsia="宋体" w:cs="Times New Roman"/>
                <w:color w:val="000000" w:themeColor="text1"/>
                <w:szCs w:val="21"/>
                <w14:textFill>
                  <w14:solidFill>
                    <w14:schemeClr w14:val="tx1"/>
                  </w14:solidFill>
                </w14:textFill>
                <w14:ligatures w14:val="standardContextua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回收钴的化合物废料</w:t>
            </w:r>
          </w:p>
        </w:tc>
        <w:tc>
          <w:tcPr>
            <w:tcW w:w="1723" w:type="dxa"/>
            <w:vAlign w:val="center"/>
          </w:tcPr>
          <w:p w14:paraId="455EA90B">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钴</w:t>
            </w:r>
            <w:r>
              <w:rPr>
                <w:rFonts w:hint="eastAsia" w:ascii="Times New Roman" w:hAnsi="Times New Roman" w:eastAsia="宋体" w:cs="Times New Roman"/>
                <w:color w:val="000000" w:themeColor="text1"/>
                <w:szCs w:val="21"/>
                <w14:textFill>
                  <w14:solidFill>
                    <w14:schemeClr w14:val="tx1"/>
                  </w14:solidFill>
                </w14:textFill>
                <w14:ligatures w14:val="standardContextual"/>
              </w:rPr>
              <w:t>的</w:t>
            </w:r>
            <w:r>
              <w:rPr>
                <w:rFonts w:ascii="Times New Roman" w:hAnsi="Times New Roman" w:eastAsia="宋体" w:cs="Times New Roman"/>
                <w:color w:val="000000" w:themeColor="text1"/>
                <w:szCs w:val="21"/>
                <w14:textFill>
                  <w14:solidFill>
                    <w14:schemeClr w14:val="tx1"/>
                  </w14:solidFill>
                </w14:textFill>
                <w14:ligatures w14:val="standardContextual"/>
              </w:rPr>
              <w:t>化合物</w:t>
            </w:r>
          </w:p>
        </w:tc>
        <w:tc>
          <w:tcPr>
            <w:tcW w:w="5380" w:type="dxa"/>
            <w:vAlign w:val="center"/>
          </w:tcPr>
          <w:p w14:paraId="1EDEAF02">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包括钴盐、钴氧化物、钴氢氧化物等。</w:t>
            </w:r>
          </w:p>
          <w:p w14:paraId="17A2C893">
            <w:pPr>
              <w:widowControl/>
              <w:rPr>
                <w:rFonts w:hint="default" w:ascii="Times New Roman" w:hAnsi="Times New Roman" w:eastAsia="宋体" w:cs="Times New Roman"/>
                <w:color w:val="000000" w:themeColor="text1"/>
                <w:szCs w:val="21"/>
                <w:lang w:val="en-US"/>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级：10％≤Co&lt;</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15</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tc>
      </w:tr>
      <w:tr w14:paraId="406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520F2920">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rPr>
              <w:t>Ⅱ类</w:t>
            </w:r>
            <w:r>
              <w:rPr>
                <w:rFonts w:ascii="Times New Roman" w:hAnsi="Times New Roman" w:eastAsia="宋体" w:cs="Times New Roman"/>
                <w:color w:val="000000" w:themeColor="text1"/>
                <w:szCs w:val="21"/>
                <w14:textFill>
                  <w14:solidFill>
                    <w14:schemeClr w14:val="tx1"/>
                  </w14:solidFill>
                </w14:textFill>
                <w14:ligatures w14:val="standardContextual"/>
              </w:rPr>
              <w:t>：</w:t>
            </w:r>
          </w:p>
          <w:p w14:paraId="5F63F30D">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14:ligatures w14:val="standardContextual"/>
              </w:rPr>
              <w:t>钴合金废料</w:t>
            </w:r>
          </w:p>
        </w:tc>
        <w:tc>
          <w:tcPr>
            <w:tcW w:w="1723" w:type="dxa"/>
            <w:vAlign w:val="center"/>
          </w:tcPr>
          <w:p w14:paraId="332E9D05">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硬质合金废料</w:t>
            </w:r>
          </w:p>
        </w:tc>
        <w:tc>
          <w:tcPr>
            <w:tcW w:w="5380" w:type="dxa"/>
            <w:vAlign w:val="center"/>
          </w:tcPr>
          <w:p w14:paraId="2B8B4999">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14:textFill>
                  <w14:solidFill>
                    <w14:schemeClr w14:val="tx1"/>
                  </w14:solidFill>
                </w14:textFill>
                <w14:ligatures w14:val="standardContextual"/>
              </w:rPr>
              <w:t>废耐磨零件（顶锤、压缸、辊环、球齿），模具，铣刀、锯片等切削刀片及刀具，钢结硬质合金，棒料，硬质合金磨削料、地沟料等。</w:t>
            </w:r>
          </w:p>
          <w:p w14:paraId="27F12E8C">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 xml:space="preserve">级：同一牌号或名称的合金，                        </w:t>
            </w:r>
            <w:r>
              <w:rPr>
                <w:rFonts w:ascii="Times New Roman" w:hAnsi="Times New Roman" w:eastAsia="宋体" w:cs="Times New Roman"/>
                <w:b/>
                <w:color w:val="000000" w:themeColor="text1"/>
                <w:szCs w:val="21"/>
                <w14:textFill>
                  <w14:solidFill>
                    <w14:schemeClr w14:val="tx1"/>
                  </w14:solidFill>
                </w14:textFill>
                <w14:ligatures w14:val="standardContextual"/>
              </w:rPr>
              <w:t>5％≤Co&lt;15％，</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31F731C2">
            <w:pPr>
              <w:widowControl/>
              <w:rPr>
                <w:rFonts w:hint="eastAsia"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级：混合型合金，</w:t>
            </w:r>
            <w:r>
              <w:rPr>
                <w:rFonts w:ascii="Times New Roman" w:hAnsi="Times New Roman" w:eastAsia="宋体" w:cs="Times New Roman"/>
                <w:b/>
                <w:color w:val="000000" w:themeColor="text1"/>
                <w:szCs w:val="21"/>
                <w14:textFill>
                  <w14:solidFill>
                    <w14:schemeClr w14:val="tx1"/>
                  </w14:solidFill>
                </w14:textFill>
                <w14:ligatures w14:val="standardContextual"/>
              </w:rPr>
              <w:t>0.5％≤Co&lt;5％，</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tc>
      </w:tr>
      <w:tr w14:paraId="2EA5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3EC4CADC">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p>
        </w:tc>
        <w:tc>
          <w:tcPr>
            <w:tcW w:w="1723" w:type="dxa"/>
            <w:vAlign w:val="center"/>
          </w:tcPr>
          <w:p w14:paraId="67BE59C4">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超级合金废料</w:t>
            </w:r>
          </w:p>
        </w:tc>
        <w:tc>
          <w:tcPr>
            <w:tcW w:w="5380" w:type="dxa"/>
            <w:vAlign w:val="center"/>
          </w:tcPr>
          <w:p w14:paraId="0427A01F">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包括废金刚石工具，废汽轮机部件（叶轮、叶片、导管），喷焊或喷涂废料，废高温发动机、涡轮机废件等含钴合金废料。</w:t>
            </w:r>
          </w:p>
          <w:p w14:paraId="166F334B">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1级：同一类型的合金，</w:t>
            </w:r>
            <w:r>
              <w:rPr>
                <w:rFonts w:ascii="Times New Roman" w:hAnsi="Times New Roman" w:eastAsia="宋体" w:cs="Times New Roman"/>
                <w:b/>
                <w:color w:val="000000" w:themeColor="text1"/>
                <w:szCs w:val="21"/>
                <w14:textFill>
                  <w14:solidFill>
                    <w14:schemeClr w14:val="tx1"/>
                  </w14:solidFill>
                </w14:textFill>
              </w:rPr>
              <w:t>5％≤Co&lt;15％</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14A63A44">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2级：混合型合金，</w:t>
            </w:r>
            <w:r>
              <w:rPr>
                <w:rFonts w:ascii="Times New Roman" w:hAnsi="Times New Roman" w:eastAsia="宋体" w:cs="Times New Roman"/>
                <w:b/>
                <w:color w:val="000000" w:themeColor="text1"/>
                <w:szCs w:val="21"/>
                <w14:textFill>
                  <w14:solidFill>
                    <w14:schemeClr w14:val="tx1"/>
                  </w14:solidFill>
                </w14:textFill>
              </w:rPr>
              <w:t>5％≤Co&lt;15％</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tc>
      </w:tr>
      <w:tr w14:paraId="6B2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64FF4344">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p>
        </w:tc>
        <w:tc>
          <w:tcPr>
            <w:tcW w:w="1723" w:type="dxa"/>
            <w:vAlign w:val="center"/>
          </w:tcPr>
          <w:p w14:paraId="191BF64B">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含钴磁性材料废料</w:t>
            </w:r>
          </w:p>
        </w:tc>
        <w:tc>
          <w:tcPr>
            <w:tcW w:w="5380" w:type="dxa"/>
            <w:vAlign w:val="center"/>
          </w:tcPr>
          <w:p w14:paraId="7C159DC9">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包括铝镍钴、铁铬钴、钐钴稀土合金废料等。</w:t>
            </w:r>
          </w:p>
          <w:p w14:paraId="19261FB4">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1级：同一牌号的含钴磁性合金，无其他夹杂物。</w:t>
            </w:r>
          </w:p>
          <w:p w14:paraId="1A716B2E">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2级：同一类型的含钴磁性合金，无其他夹杂物。</w:t>
            </w:r>
          </w:p>
          <w:p w14:paraId="3781B180">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3级：混合型含钴磁性合金，无其他夹杂物。</w:t>
            </w:r>
          </w:p>
        </w:tc>
      </w:tr>
      <w:tr w14:paraId="7609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6FC3D25E">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rPr>
              <w:t>Ⅲ</w:t>
            </w:r>
            <w:r>
              <w:rPr>
                <w:rFonts w:ascii="Times New Roman" w:hAnsi="Times New Roman" w:eastAsia="宋体" w:cs="Times New Roman"/>
                <w:color w:val="000000" w:themeColor="text1"/>
                <w:szCs w:val="21"/>
                <w14:textFill>
                  <w14:solidFill>
                    <w14:schemeClr w14:val="tx1"/>
                  </w14:solidFill>
                </w14:textFill>
                <w14:ligatures w14:val="standardContextual"/>
              </w:rPr>
              <w:t>类：</w:t>
            </w:r>
          </w:p>
          <w:p w14:paraId="6452E416">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14:ligatures w14:val="standardContextual"/>
              </w:rPr>
              <w:t>电池材料废料</w:t>
            </w:r>
          </w:p>
        </w:tc>
        <w:tc>
          <w:tcPr>
            <w:tcW w:w="1723" w:type="dxa"/>
            <w:vAlign w:val="center"/>
          </w:tcPr>
          <w:p w14:paraId="75FFEB6C">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废电池</w:t>
            </w:r>
          </w:p>
        </w:tc>
        <w:tc>
          <w:tcPr>
            <w:tcW w:w="5380" w:type="dxa"/>
            <w:vAlign w:val="center"/>
          </w:tcPr>
          <w:p w14:paraId="7F8CF12E">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包括废旧锂离子电池、聚合物电池、镍氢电池等。</w:t>
            </w:r>
          </w:p>
          <w:p w14:paraId="086A9277">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1级：同一类型的废旧电池，型号不限，无其他夹杂物 。</w:t>
            </w:r>
          </w:p>
          <w:p w14:paraId="343E5B1B">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2级：混合型废旧电池，型号不限，无其他夹杂物。</w:t>
            </w:r>
          </w:p>
        </w:tc>
      </w:tr>
      <w:tr w14:paraId="383C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39C782AE">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p>
        </w:tc>
        <w:tc>
          <w:tcPr>
            <w:tcW w:w="1723" w:type="dxa"/>
            <w:vAlign w:val="center"/>
          </w:tcPr>
          <w:p w14:paraId="0F1986E7">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废极片</w:t>
            </w:r>
          </w:p>
        </w:tc>
        <w:tc>
          <w:tcPr>
            <w:tcW w:w="5380" w:type="dxa"/>
            <w:vAlign w:val="center"/>
          </w:tcPr>
          <w:p w14:paraId="2E127730">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14:textFill>
                  <w14:solidFill>
                    <w14:schemeClr w14:val="tx1"/>
                  </w14:solidFill>
                </w14:textFill>
                <w14:ligatures w14:val="standardContextual"/>
              </w:rPr>
              <w:t>包括锂离子电池、聚合物电池、镍氢电池的废极芯、极片及极粉等。</w:t>
            </w:r>
          </w:p>
          <w:p w14:paraId="780A7389">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ascii="Times New Roman" w:hAnsi="Times New Roman" w:eastAsia="宋体" w:cs="Times New Roman"/>
                <w:b/>
                <w:color w:val="000000" w:themeColor="text1"/>
                <w:szCs w:val="21"/>
                <w14:textFill>
                  <w14:solidFill>
                    <w14:schemeClr w14:val="tx1"/>
                  </w14:solidFill>
                </w14:textFill>
              </w:rPr>
              <w:t>1</w:t>
            </w:r>
            <w:r>
              <w:rPr>
                <w:rFonts w:hint="eastAsia" w:ascii="Times New Roman" w:hAnsi="Times New Roman" w:eastAsia="宋体" w:cs="Times New Roman"/>
                <w:b/>
                <w:color w:val="000000" w:themeColor="text1"/>
                <w:szCs w:val="21"/>
                <w:lang w:val="en-US" w:eastAsia="zh-CN"/>
                <w14:textFill>
                  <w14:solidFill>
                    <w14:schemeClr w14:val="tx1"/>
                  </w14:solidFill>
                </w14:textFill>
              </w:rPr>
              <w:t>0</w:t>
            </w:r>
            <w:r>
              <w:rPr>
                <w:rFonts w:ascii="Times New Roman" w:hAnsi="Times New Roman" w:eastAsia="宋体" w:cs="Times New Roman"/>
                <w:b/>
                <w:color w:val="000000" w:themeColor="text1"/>
                <w:szCs w:val="21"/>
                <w14:textFill>
                  <w14:solidFill>
                    <w14:schemeClr w14:val="tx1"/>
                  </w14:solidFill>
                </w14:textFill>
              </w:rPr>
              <w:t>％≤Co&lt;1</w:t>
            </w:r>
            <w:r>
              <w:rPr>
                <w:rFonts w:hint="eastAsia" w:ascii="Times New Roman" w:hAnsi="Times New Roman" w:eastAsia="宋体" w:cs="Times New Roman"/>
                <w:b/>
                <w:color w:val="000000" w:themeColor="text1"/>
                <w:szCs w:val="21"/>
                <w:lang w:val="en-US" w:eastAsia="zh-CN"/>
                <w14:textFill>
                  <w14:solidFill>
                    <w14:schemeClr w14:val="tx1"/>
                  </w14:solidFill>
                </w14:textFill>
              </w:rPr>
              <w:t>5</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2A88645B">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级：</w:t>
            </w:r>
            <w:r>
              <w:rPr>
                <w:rFonts w:hint="eastAsia" w:ascii="Times New Roman" w:hAnsi="Times New Roman" w:eastAsia="宋体" w:cs="Times New Roman"/>
                <w:b/>
                <w:color w:val="000000" w:themeColor="text1"/>
                <w:szCs w:val="21"/>
                <w:lang w:val="en-US" w:eastAsia="zh-CN"/>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％≤Co&lt;</w:t>
            </w:r>
            <w:r>
              <w:rPr>
                <w:rFonts w:hint="eastAsia" w:ascii="Times New Roman" w:hAnsi="Times New Roman" w:eastAsia="宋体" w:cs="Times New Roman"/>
                <w:b/>
                <w:color w:val="000000" w:themeColor="text1"/>
                <w:szCs w:val="21"/>
                <w:lang w:val="en-US" w:eastAsia="zh-CN"/>
                <w14:textFill>
                  <w14:solidFill>
                    <w14:schemeClr w14:val="tx1"/>
                  </w14:solidFill>
                </w14:textFill>
              </w:rPr>
              <w:t>10</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无其他夹杂物。</w:t>
            </w:r>
          </w:p>
        </w:tc>
      </w:tr>
      <w:tr w14:paraId="1555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61DBB89C">
            <w:pPr>
              <w:widowControl/>
              <w:jc w:val="center"/>
              <w:rPr>
                <w:rFonts w:ascii="Times New Roman" w:hAnsi="Times New Roman" w:eastAsia="宋体" w:cs="Times New Roman"/>
                <w:color w:val="000000" w:themeColor="text1"/>
                <w:szCs w:val="21"/>
                <w:highlight w:val="yellow"/>
                <w14:textFill>
                  <w14:solidFill>
                    <w14:schemeClr w14:val="tx1"/>
                  </w14:solidFill>
                </w14:textFill>
                <w14:ligatures w14:val="standardContextual"/>
              </w:rPr>
            </w:pPr>
          </w:p>
        </w:tc>
        <w:tc>
          <w:tcPr>
            <w:tcW w:w="1723" w:type="dxa"/>
            <w:vAlign w:val="center"/>
          </w:tcPr>
          <w:p w14:paraId="04C3B1C0">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电池边角料</w:t>
            </w:r>
          </w:p>
        </w:tc>
        <w:tc>
          <w:tcPr>
            <w:tcW w:w="5380" w:type="dxa"/>
            <w:vAlign w:val="center"/>
          </w:tcPr>
          <w:p w14:paraId="14DDDFAB">
            <w:pPr>
              <w:widowControl/>
              <w:spacing w:line="240" w:lineRule="auto"/>
              <w:ind w:left="0" w:firstLine="0"/>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14:textFill>
                  <w14:solidFill>
                    <w14:schemeClr w14:val="tx1"/>
                  </w14:solidFill>
                </w14:textFill>
                <w14:ligatures w14:val="standardContextual"/>
              </w:rPr>
              <w:t>包括锂离子电池、聚合物电池、镍氢电池的边角料、废次材、切头、切尾料等。</w:t>
            </w:r>
          </w:p>
          <w:p w14:paraId="36C2F2AD">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ascii="Times New Roman" w:hAnsi="Times New Roman" w:eastAsia="宋体" w:cs="Times New Roman"/>
                <w:b/>
                <w:color w:val="000000" w:themeColor="text1"/>
                <w:szCs w:val="21"/>
                <w14:textFill>
                  <w14:solidFill>
                    <w14:schemeClr w14:val="tx1"/>
                  </w14:solidFill>
                </w14:textFill>
                <w14:ligatures w14:val="standardContextual"/>
              </w:rPr>
              <w:t>1</w:t>
            </w:r>
            <w:r>
              <w:rPr>
                <w:rFonts w:hint="eastAsia" w:ascii="Times New Roman" w:hAnsi="Times New Roman" w:eastAsia="宋体" w:cs="Times New Roman"/>
                <w:b/>
                <w:color w:val="000000" w:themeColor="text1"/>
                <w:szCs w:val="21"/>
                <w:lang w:val="en-US" w:eastAsia="zh-CN"/>
                <w14:textFill>
                  <w14:solidFill>
                    <w14:schemeClr w14:val="tx1"/>
                  </w14:solidFill>
                </w14:textFill>
                <w14:ligatures w14:val="standardContextual"/>
              </w:rPr>
              <w:t>0</w:t>
            </w:r>
            <w:r>
              <w:rPr>
                <w:rFonts w:ascii="Times New Roman" w:hAnsi="Times New Roman" w:eastAsia="宋体" w:cs="Times New Roman"/>
                <w:b/>
                <w:color w:val="000000" w:themeColor="text1"/>
                <w:szCs w:val="21"/>
                <w14:textFill>
                  <w14:solidFill>
                    <w14:schemeClr w14:val="tx1"/>
                  </w14:solidFill>
                </w14:textFill>
                <w14:ligatures w14:val="standardContextual"/>
              </w:rPr>
              <w:t>％≤Co&lt;1</w:t>
            </w:r>
            <w:r>
              <w:rPr>
                <w:rFonts w:hint="eastAsia" w:ascii="Times New Roman" w:hAnsi="Times New Roman" w:eastAsia="宋体" w:cs="Times New Roman"/>
                <w:b/>
                <w:color w:val="000000" w:themeColor="text1"/>
                <w:szCs w:val="21"/>
                <w:lang w:val="en-US" w:eastAsia="zh-CN"/>
                <w14:textFill>
                  <w14:solidFill>
                    <w14:schemeClr w14:val="tx1"/>
                  </w14:solidFill>
                </w14:textFill>
                <w14:ligatures w14:val="standardContextual"/>
              </w:rPr>
              <w:t>5</w:t>
            </w:r>
            <w:r>
              <w:rPr>
                <w:rFonts w:ascii="Times New Roman" w:hAnsi="Times New Roman" w:eastAsia="宋体" w:cs="Times New Roman"/>
                <w:b/>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22CCDE7D">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ascii="Times New Roman" w:hAnsi="Times New Roman" w:eastAsia="宋体" w:cs="Times New Roman"/>
                <w:b/>
                <w:color w:val="000000" w:themeColor="text1"/>
                <w:szCs w:val="21"/>
                <w14:textFill>
                  <w14:solidFill>
                    <w14:schemeClr w14:val="tx1"/>
                  </w14:solidFill>
                </w14:textFill>
                <w14:ligatures w14:val="standardContextual"/>
              </w:rPr>
              <w:t>1％≤Co&lt;10％</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tc>
      </w:tr>
      <w:tr w14:paraId="1308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14:paraId="1A62BE61">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rPr>
              <w:t>IV</w:t>
            </w:r>
            <w:r>
              <w:rPr>
                <w:rFonts w:ascii="Times New Roman" w:hAnsi="Times New Roman" w:eastAsia="宋体" w:cs="Times New Roman"/>
                <w:color w:val="000000" w:themeColor="text1"/>
                <w:szCs w:val="21"/>
                <w14:textFill>
                  <w14:solidFill>
                    <w14:schemeClr w14:val="tx1"/>
                  </w14:solidFill>
                </w14:textFill>
                <w14:ligatures w14:val="standardContextual"/>
              </w:rPr>
              <w:t>类：</w:t>
            </w:r>
          </w:p>
          <w:p w14:paraId="278E6E0B">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14:ligatures w14:val="standardContextual"/>
              </w:rPr>
              <w:t>催化剂废料</w:t>
            </w:r>
          </w:p>
        </w:tc>
        <w:tc>
          <w:tcPr>
            <w:tcW w:w="1723" w:type="dxa"/>
            <w:vAlign w:val="center"/>
          </w:tcPr>
          <w:p w14:paraId="15C7F941">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含钴催化剂废料</w:t>
            </w:r>
          </w:p>
        </w:tc>
        <w:tc>
          <w:tcPr>
            <w:tcW w:w="5380" w:type="dxa"/>
            <w:vAlign w:val="center"/>
          </w:tcPr>
          <w:p w14:paraId="5100956C">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包括废弃钴锰催化剂、钴钼催化剂、油墨催干剂等。</w:t>
            </w:r>
          </w:p>
          <w:p w14:paraId="4553AD65">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级：同一类型的催化剂，5％≤Co&lt;15％，无其他夹杂物。</w:t>
            </w:r>
          </w:p>
          <w:p w14:paraId="781E3815">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级：混合型催化剂，5％≤Co&lt;15％，无其他夹杂物。</w:t>
            </w:r>
          </w:p>
        </w:tc>
      </w:tr>
      <w:tr w14:paraId="2C42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218FCEEE">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rPr>
              <w:t>V</w:t>
            </w:r>
            <w:r>
              <w:rPr>
                <w:rFonts w:ascii="Times New Roman" w:hAnsi="Times New Roman" w:eastAsia="宋体" w:cs="Times New Roman"/>
                <w:color w:val="000000" w:themeColor="text1"/>
                <w:szCs w:val="21"/>
                <w14:textFill>
                  <w14:solidFill>
                    <w14:schemeClr w14:val="tx1"/>
                  </w14:solidFill>
                </w14:textFill>
                <w14:ligatures w14:val="standardContextual"/>
              </w:rPr>
              <w:t>类：</w:t>
            </w:r>
          </w:p>
          <w:p w14:paraId="011B167D">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14:ligatures w14:val="standardContextual"/>
              </w:rPr>
              <w:t>钴渣废料</w:t>
            </w:r>
          </w:p>
        </w:tc>
        <w:tc>
          <w:tcPr>
            <w:tcW w:w="1723" w:type="dxa"/>
            <w:vAlign w:val="center"/>
          </w:tcPr>
          <w:p w14:paraId="6AABBCF9">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含钴矿渣</w:t>
            </w:r>
          </w:p>
        </w:tc>
        <w:tc>
          <w:tcPr>
            <w:tcW w:w="5380" w:type="dxa"/>
            <w:vAlign w:val="center"/>
          </w:tcPr>
          <w:p w14:paraId="70199BF1">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包括含钴的矿渣等。</w:t>
            </w:r>
          </w:p>
          <w:p w14:paraId="4F514D18">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10</w:t>
            </w:r>
            <w:r>
              <w:rPr>
                <w:rFonts w:ascii="Times New Roman" w:hAnsi="Times New Roman" w:eastAsia="宋体" w:cs="Times New Roman"/>
                <w:b/>
                <w:bCs/>
                <w:color w:val="000000" w:themeColor="text1"/>
                <w:szCs w:val="21"/>
                <w14:textFill>
                  <w14:solidFill>
                    <w14:schemeClr w14:val="tx1"/>
                  </w14:solidFill>
                </w14:textFill>
                <w14:ligatures w14:val="standardContextual"/>
              </w:rPr>
              <w:t>％≤Co&lt;1</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5</w:t>
            </w:r>
            <w:r>
              <w:rPr>
                <w:rFonts w:ascii="Times New Roman" w:hAnsi="Times New Roman" w:eastAsia="宋体" w:cs="Times New Roman"/>
                <w:b/>
                <w:bCs/>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3B8478EB">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级：5％≤Co&lt;10％，无其他夹杂物。</w:t>
            </w:r>
          </w:p>
          <w:p w14:paraId="5EBCE716">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3</w:t>
            </w:r>
            <w:r>
              <w:rPr>
                <w:rFonts w:ascii="Times New Roman" w:hAnsi="Times New Roman" w:eastAsia="宋体" w:cs="Times New Roman"/>
                <w:color w:val="000000" w:themeColor="text1"/>
                <w:szCs w:val="21"/>
                <w14:textFill>
                  <w14:solidFill>
                    <w14:schemeClr w14:val="tx1"/>
                  </w14:solidFill>
                </w14:textFill>
                <w14:ligatures w14:val="standardContextual"/>
              </w:rPr>
              <w:t>级：0.5％≤Co&lt;5％，无其他夹杂物。</w:t>
            </w:r>
          </w:p>
        </w:tc>
      </w:tr>
      <w:tr w14:paraId="19BF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4265CF81">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p>
        </w:tc>
        <w:tc>
          <w:tcPr>
            <w:tcW w:w="1723" w:type="dxa"/>
            <w:vAlign w:val="center"/>
          </w:tcPr>
          <w:p w14:paraId="69207ACD">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冶炼渣</w:t>
            </w:r>
          </w:p>
        </w:tc>
        <w:tc>
          <w:tcPr>
            <w:tcW w:w="5380" w:type="dxa"/>
            <w:vAlign w:val="center"/>
          </w:tcPr>
          <w:p w14:paraId="6BF8DBF8">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包括镍钴渣、锰钴渣、锌钴渣等冶炼渣。</w:t>
            </w:r>
          </w:p>
          <w:p w14:paraId="27E8C38D">
            <w:pPr>
              <w:spacing w:line="259" w:lineRule="auto"/>
              <w:ind w:left="0" w:firstLine="0"/>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ascii="Times New Roman" w:hAnsi="Times New Roman" w:eastAsia="宋体" w:cs="Times New Roman"/>
                <w:b/>
                <w:bCs/>
                <w:color w:val="000000" w:themeColor="text1"/>
                <w:szCs w:val="21"/>
                <w14:textFill>
                  <w14:solidFill>
                    <w14:schemeClr w14:val="tx1"/>
                  </w14:solidFill>
                </w14:textFill>
                <w14:ligatures w14:val="standardContextual"/>
              </w:rPr>
              <w:t>5％≤Co&lt;</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15</w:t>
            </w:r>
            <w:r>
              <w:rPr>
                <w:rFonts w:ascii="Times New Roman" w:hAnsi="Times New Roman" w:eastAsia="宋体" w:cs="Times New Roman"/>
                <w:b/>
                <w:bCs/>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7305C842">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级：0.5％≤Co&lt;5％，无其他夹杂物。</w:t>
            </w:r>
          </w:p>
        </w:tc>
      </w:tr>
      <w:tr w14:paraId="0CAC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restart"/>
            <w:vAlign w:val="center"/>
          </w:tcPr>
          <w:p w14:paraId="2619BD78">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Ⅵ类：</w:t>
            </w:r>
          </w:p>
          <w:p w14:paraId="5700CE31">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其他</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14:ligatures w14:val="standardContextual"/>
              </w:rPr>
              <w:t>钴废料</w:t>
            </w:r>
          </w:p>
        </w:tc>
        <w:tc>
          <w:tcPr>
            <w:tcW w:w="1723" w:type="dxa"/>
            <w:vAlign w:val="center"/>
          </w:tcPr>
          <w:p w14:paraId="50C8B4DA">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废钴泥</w:t>
            </w:r>
          </w:p>
        </w:tc>
        <w:tc>
          <w:tcPr>
            <w:tcW w:w="5380" w:type="dxa"/>
            <w:vAlign w:val="center"/>
          </w:tcPr>
          <w:p w14:paraId="68496F7F">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包括颜铀料（钴黑，钴蓝等），粘合剂等废料。</w:t>
            </w:r>
          </w:p>
          <w:p w14:paraId="40354300">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级：5％≤Co&lt;15％，无其他夹杂物。</w:t>
            </w:r>
          </w:p>
          <w:p w14:paraId="7FB8E661">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级：0.5％≤Co&lt;5％，无其他夹杂物。</w:t>
            </w:r>
          </w:p>
        </w:tc>
      </w:tr>
      <w:tr w14:paraId="0E1D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298727C7">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p>
        </w:tc>
        <w:tc>
          <w:tcPr>
            <w:tcW w:w="1723" w:type="dxa"/>
            <w:vAlign w:val="center"/>
          </w:tcPr>
          <w:p w14:paraId="76D28733">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废钴屑</w:t>
            </w:r>
          </w:p>
        </w:tc>
        <w:tc>
          <w:tcPr>
            <w:tcW w:w="5380" w:type="dxa"/>
            <w:vAlign w:val="center"/>
          </w:tcPr>
          <w:p w14:paraId="084123D3">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包括钴玻璃碎片等屑状废弃物。</w:t>
            </w:r>
          </w:p>
          <w:p w14:paraId="206C27AF">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1</w:t>
            </w:r>
            <w:r>
              <w:rPr>
                <w:rFonts w:ascii="Times New Roman" w:hAnsi="Times New Roman" w:eastAsia="宋体" w:cs="Times New Roman"/>
                <w:color w:val="000000" w:themeColor="text1"/>
                <w:szCs w:val="21"/>
                <w14:textFill>
                  <w14:solidFill>
                    <w14:schemeClr w14:val="tx1"/>
                  </w14:solidFill>
                </w14:textFill>
                <w14:ligatures w14:val="standardContextual"/>
              </w:rPr>
              <w:t>级：</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10</w:t>
            </w:r>
            <w:r>
              <w:rPr>
                <w:rFonts w:ascii="Times New Roman" w:hAnsi="Times New Roman" w:eastAsia="宋体" w:cs="Times New Roman"/>
                <w:b/>
                <w:bCs/>
                <w:color w:val="000000" w:themeColor="text1"/>
                <w:szCs w:val="21"/>
                <w14:textFill>
                  <w14:solidFill>
                    <w14:schemeClr w14:val="tx1"/>
                  </w14:solidFill>
                </w14:textFill>
                <w14:ligatures w14:val="standardContextual"/>
              </w:rPr>
              <w:t>％≤Co&lt;1</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5</w:t>
            </w:r>
            <w:r>
              <w:rPr>
                <w:rFonts w:ascii="Times New Roman" w:hAnsi="Times New Roman" w:eastAsia="宋体" w:cs="Times New Roman"/>
                <w:b/>
                <w:bCs/>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无其他夹杂物。</w:t>
            </w:r>
          </w:p>
          <w:p w14:paraId="0030126F">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2</w:t>
            </w:r>
            <w:r>
              <w:rPr>
                <w:rFonts w:ascii="Times New Roman" w:hAnsi="Times New Roman" w:eastAsia="宋体" w:cs="Times New Roman"/>
                <w:color w:val="000000" w:themeColor="text1"/>
                <w:szCs w:val="21"/>
                <w14:textFill>
                  <w14:solidFill>
                    <w14:schemeClr w14:val="tx1"/>
                  </w14:solidFill>
                </w14:textFill>
                <w14:ligatures w14:val="standardContextual"/>
              </w:rPr>
              <w:t>级：5％≤Co&lt;10％，无其他夹杂物。</w:t>
            </w:r>
          </w:p>
          <w:p w14:paraId="45293CA4">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3</w:t>
            </w:r>
            <w:r>
              <w:rPr>
                <w:rFonts w:ascii="Times New Roman" w:hAnsi="Times New Roman" w:eastAsia="宋体" w:cs="Times New Roman"/>
                <w:color w:val="000000" w:themeColor="text1"/>
                <w:szCs w:val="21"/>
                <w14:textFill>
                  <w14:solidFill>
                    <w14:schemeClr w14:val="tx1"/>
                  </w14:solidFill>
                </w14:textFill>
                <w14:ligatures w14:val="standardContextual"/>
              </w:rPr>
              <w:t>级：0.5％≤Co&lt;5％，无其他夹杂物。</w:t>
            </w:r>
          </w:p>
        </w:tc>
      </w:tr>
      <w:tr w14:paraId="27F6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Merge w:val="continue"/>
            <w:vAlign w:val="center"/>
          </w:tcPr>
          <w:p w14:paraId="67974AA8">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p>
        </w:tc>
        <w:tc>
          <w:tcPr>
            <w:tcW w:w="1723" w:type="dxa"/>
            <w:vAlign w:val="center"/>
          </w:tcPr>
          <w:p w14:paraId="2B2562F6">
            <w:pPr>
              <w:widowControl/>
              <w:jc w:val="center"/>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废钴液</w:t>
            </w:r>
          </w:p>
        </w:tc>
        <w:tc>
          <w:tcPr>
            <w:tcW w:w="5380" w:type="dxa"/>
            <w:vAlign w:val="center"/>
          </w:tcPr>
          <w:p w14:paraId="7BFBF28A">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包括镀钴废水、含钴槽液等电镀废料。</w:t>
            </w:r>
          </w:p>
          <w:p w14:paraId="0A5E4F14">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1级：</w:t>
            </w:r>
            <w:r>
              <w:rPr>
                <w:rFonts w:ascii="Times New Roman" w:hAnsi="Times New Roman" w:eastAsia="宋体" w:cs="Times New Roman"/>
                <w:b/>
                <w:bCs/>
                <w:color w:val="000000" w:themeColor="text1"/>
                <w:szCs w:val="21"/>
                <w14:textFill>
                  <w14:solidFill>
                    <w14:schemeClr w14:val="tx1"/>
                  </w14:solidFill>
                </w14:textFill>
                <w14:ligatures w14:val="standardContextual"/>
              </w:rPr>
              <w:t>5％≤Co&lt;1</w:t>
            </w:r>
            <w:r>
              <w:rPr>
                <w:rFonts w:hint="eastAsia" w:ascii="Times New Roman" w:hAnsi="Times New Roman" w:eastAsia="宋体" w:cs="Times New Roman"/>
                <w:b/>
                <w:bCs/>
                <w:color w:val="000000" w:themeColor="text1"/>
                <w:szCs w:val="21"/>
                <w:lang w:val="en-US" w:eastAsia="zh-CN"/>
                <w14:textFill>
                  <w14:solidFill>
                    <w14:schemeClr w14:val="tx1"/>
                  </w14:solidFill>
                </w14:textFill>
                <w14:ligatures w14:val="standardContextual"/>
              </w:rPr>
              <w:t>5</w:t>
            </w:r>
            <w:r>
              <w:rPr>
                <w:rFonts w:ascii="Times New Roman" w:hAnsi="Times New Roman" w:eastAsia="宋体" w:cs="Times New Roman"/>
                <w:b/>
                <w:bCs/>
                <w:color w:val="000000" w:themeColor="text1"/>
                <w:szCs w:val="21"/>
                <w14:textFill>
                  <w14:solidFill>
                    <w14:schemeClr w14:val="tx1"/>
                  </w14:solidFill>
                </w14:textFill>
                <w14:ligatures w14:val="standardContextual"/>
              </w:rPr>
              <w:t>％</w:t>
            </w:r>
            <w:r>
              <w:rPr>
                <w:rFonts w:ascii="Times New Roman" w:hAnsi="Times New Roman" w:eastAsia="宋体" w:cs="Times New Roman"/>
                <w:color w:val="000000" w:themeColor="text1"/>
                <w:szCs w:val="21"/>
                <w14:textFill>
                  <w14:solidFill>
                    <w14:schemeClr w14:val="tx1"/>
                  </w14:solidFill>
                </w14:textFill>
                <w14:ligatures w14:val="standardContextual"/>
              </w:rPr>
              <w:t>的废钴液。</w:t>
            </w:r>
          </w:p>
          <w:p w14:paraId="025112B6">
            <w:pPr>
              <w:spacing w:line="259" w:lineRule="auto"/>
              <w:ind w:left="5" w:hanging="5"/>
              <w:jc w:val="left"/>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2级：1％≤Co&lt;5％的废钴液。</w:t>
            </w:r>
          </w:p>
          <w:p w14:paraId="72E1D85B">
            <w:pPr>
              <w:widowControl/>
              <w:rPr>
                <w:rFonts w:ascii="Times New Roman" w:hAnsi="Times New Roman" w:eastAsia="宋体" w:cs="Times New Roman"/>
                <w:color w:val="000000" w:themeColor="text1"/>
                <w:szCs w:val="21"/>
                <w14:textFill>
                  <w14:solidFill>
                    <w14:schemeClr w14:val="tx1"/>
                  </w14:solidFill>
                </w14:textFill>
                <w14:ligatures w14:val="standardContextual"/>
              </w:rPr>
            </w:pPr>
            <w:r>
              <w:rPr>
                <w:rFonts w:ascii="Times New Roman" w:hAnsi="Times New Roman" w:eastAsia="宋体" w:cs="Times New Roman"/>
                <w:color w:val="000000" w:themeColor="text1"/>
                <w:szCs w:val="21"/>
                <w14:textFill>
                  <w14:solidFill>
                    <w14:schemeClr w14:val="tx1"/>
                  </w14:solidFill>
                </w14:textFill>
                <w14:ligatures w14:val="standardContextual"/>
              </w:rPr>
              <w:t>3级：0.1％≤Co&lt;1％的废钴液。</w:t>
            </w:r>
          </w:p>
        </w:tc>
      </w:tr>
    </w:tbl>
    <w:p w14:paraId="0C2C7745">
      <w:pPr>
        <w:spacing w:after="156" w:afterLines="50" w:line="360" w:lineRule="auto"/>
        <w:rPr>
          <w:rFonts w:ascii="Times New Roman" w:hAnsi="Times New Roman" w:eastAsia="黑体" w:cs="Times New Roman"/>
          <w:szCs w:val="21"/>
        </w:rPr>
      </w:pPr>
      <w:bookmarkStart w:id="12" w:name="_GoBack"/>
      <w:bookmarkEnd w:id="12"/>
    </w:p>
    <w:p w14:paraId="7910C669">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5  技术要求</w:t>
      </w:r>
    </w:p>
    <w:p w14:paraId="1EE98165">
      <w:pPr>
        <w:widowControl/>
        <w:spacing w:line="360" w:lineRule="auto"/>
        <w:rPr>
          <w:rFonts w:ascii="Times New Roman" w:hAnsi="Times New Roman" w:eastAsia="宋体" w:cs="Times New Roman"/>
          <w:color w:val="000000"/>
          <w:szCs w:val="21"/>
          <w14:ligatures w14:val="standardContextual"/>
        </w:rPr>
      </w:pPr>
      <w:r>
        <w:rPr>
          <w:rFonts w:ascii="Times New Roman" w:hAnsi="Times New Roman" w:eastAsia="宋体" w:cs="Times New Roman"/>
          <w:szCs w:val="21"/>
        </w:rPr>
        <w:t>5.1 钴及钴合金回收</w:t>
      </w:r>
      <w:r>
        <w:rPr>
          <w:rFonts w:hint="eastAsia" w:ascii="Times New Roman" w:hAnsi="Times New Roman" w:eastAsia="宋体" w:cs="Times New Roman"/>
          <w:szCs w:val="21"/>
        </w:rPr>
        <w:t>原料</w:t>
      </w:r>
      <w:r>
        <w:rPr>
          <w:rFonts w:ascii="Times New Roman" w:hAnsi="Times New Roman" w:eastAsia="宋体" w:cs="Times New Roman"/>
          <w:szCs w:val="21"/>
        </w:rPr>
        <w:t>应按照本文件规定的类别、原料种类</w:t>
      </w:r>
      <w:r>
        <w:rPr>
          <w:rFonts w:hint="eastAsia" w:ascii="Times New Roman" w:hAnsi="Times New Roman" w:eastAsia="宋体" w:cs="Times New Roman"/>
          <w:szCs w:val="21"/>
        </w:rPr>
        <w:t>/名称和要求</w:t>
      </w:r>
      <w:r>
        <w:rPr>
          <w:rFonts w:ascii="Times New Roman" w:hAnsi="Times New Roman" w:eastAsia="宋体" w:cs="Times New Roman"/>
          <w:szCs w:val="21"/>
        </w:rPr>
        <w:t>进行回收和贸易，回收的不同类别、</w:t>
      </w:r>
      <w:r>
        <w:rPr>
          <w:rFonts w:hint="eastAsia" w:ascii="Times New Roman" w:hAnsi="Times New Roman" w:eastAsia="宋体" w:cs="Times New Roman"/>
          <w:szCs w:val="21"/>
        </w:rPr>
        <w:t>种类/名称</w:t>
      </w:r>
      <w:r>
        <w:rPr>
          <w:rFonts w:ascii="Times New Roman" w:hAnsi="Times New Roman" w:eastAsia="宋体" w:cs="Times New Roman"/>
          <w:szCs w:val="21"/>
        </w:rPr>
        <w:t>和级别要求（或 牌号）的</w:t>
      </w:r>
      <w:r>
        <w:rPr>
          <w:rFonts w:hint="eastAsia" w:ascii="Times New Roman" w:hAnsi="Times New Roman" w:eastAsia="宋体" w:cs="Times New Roman"/>
          <w:szCs w:val="21"/>
        </w:rPr>
        <w:t>钴</w:t>
      </w:r>
      <w:r>
        <w:rPr>
          <w:rFonts w:ascii="Times New Roman" w:hAnsi="Times New Roman" w:eastAsia="宋体" w:cs="Times New Roman"/>
          <w:szCs w:val="21"/>
        </w:rPr>
        <w:t>及</w:t>
      </w:r>
      <w:r>
        <w:rPr>
          <w:rFonts w:hint="eastAsia" w:ascii="Times New Roman" w:hAnsi="Times New Roman" w:eastAsia="宋体" w:cs="Times New Roman"/>
          <w:szCs w:val="21"/>
        </w:rPr>
        <w:t>钴</w:t>
      </w:r>
      <w:r>
        <w:rPr>
          <w:rFonts w:ascii="Times New Roman" w:hAnsi="Times New Roman" w:eastAsia="宋体" w:cs="Times New Roman"/>
          <w:szCs w:val="21"/>
        </w:rPr>
        <w:t>合金原料不应相互混合。</w:t>
      </w:r>
    </w:p>
    <w:p w14:paraId="2937DC38">
      <w:pPr>
        <w:widowControl/>
        <w:spacing w:line="360" w:lineRule="auto"/>
        <w:rPr>
          <w:rFonts w:ascii="Times New Roman" w:hAnsi="Times New Roman" w:eastAsia="宋体" w:cs="Times New Roman"/>
          <w:color w:val="000000"/>
          <w:szCs w:val="21"/>
          <w14:ligatures w14:val="standardContextual"/>
        </w:rPr>
      </w:pPr>
      <w:r>
        <w:rPr>
          <w:rFonts w:ascii="Times New Roman" w:hAnsi="Times New Roman" w:eastAsia="宋体" w:cs="Times New Roman"/>
          <w:color w:val="000000"/>
          <w:szCs w:val="21"/>
          <w14:ligatures w14:val="standardContextual"/>
        </w:rPr>
        <w:t>5</w:t>
      </w:r>
      <w:r>
        <w:rPr>
          <w:rFonts w:hint="eastAsia" w:ascii="Times New Roman" w:hAnsi="Times New Roman" w:eastAsia="宋体" w:cs="Times New Roman"/>
          <w:color w:val="000000"/>
          <w:szCs w:val="21"/>
          <w14:ligatures w14:val="standardContextual"/>
        </w:rPr>
        <w:t>.</w:t>
      </w:r>
      <w:r>
        <w:rPr>
          <w:rFonts w:ascii="Times New Roman" w:hAnsi="Times New Roman" w:eastAsia="宋体" w:cs="Times New Roman"/>
          <w:color w:val="000000"/>
          <w:szCs w:val="21"/>
          <w14:ligatures w14:val="standardContextual"/>
        </w:rPr>
        <w:t>2</w:t>
      </w:r>
      <w:r>
        <w:rPr>
          <w:rFonts w:hint="eastAsia" w:ascii="Times New Roman" w:hAnsi="Times New Roman" w:eastAsia="宋体" w:cs="Times New Roman"/>
          <w:color w:val="000000"/>
          <w:szCs w:val="21"/>
          <w14:ligatures w14:val="standardContextual"/>
        </w:rPr>
        <w:t xml:space="preserve"> </w:t>
      </w:r>
      <w:r>
        <w:rPr>
          <w:rFonts w:ascii="Times New Roman" w:hAnsi="Times New Roman" w:eastAsia="宋体" w:cs="Times New Roman"/>
          <w:color w:val="000000"/>
          <w:szCs w:val="21"/>
          <w14:ligatures w14:val="standardContextual"/>
        </w:rPr>
        <w:t>本</w:t>
      </w:r>
      <w:r>
        <w:rPr>
          <w:rFonts w:hint="eastAsia" w:ascii="Times New Roman" w:hAnsi="Times New Roman" w:eastAsia="宋体" w:cs="Times New Roman"/>
          <w:color w:val="000000"/>
          <w:szCs w:val="21"/>
          <w14:ligatures w14:val="standardContextual"/>
        </w:rPr>
        <w:t>文件</w:t>
      </w:r>
      <w:r>
        <w:rPr>
          <w:rFonts w:ascii="Times New Roman" w:hAnsi="Times New Roman" w:eastAsia="宋体" w:cs="Times New Roman"/>
          <w:color w:val="000000"/>
          <w:szCs w:val="21"/>
          <w14:ligatures w14:val="standardContextual"/>
        </w:rPr>
        <w:t>未列入的其他</w:t>
      </w:r>
      <w:r>
        <w:rPr>
          <w:rFonts w:hint="eastAsia" w:ascii="Times New Roman" w:hAnsi="Times New Roman" w:eastAsia="宋体" w:cs="Times New Roman"/>
          <w:color w:val="000000"/>
          <w:szCs w:val="21"/>
          <w:lang w:val="en-US" w:eastAsia="zh-CN"/>
          <w14:ligatures w14:val="standardContextual"/>
        </w:rPr>
        <w:t>回收</w:t>
      </w:r>
      <w:r>
        <w:rPr>
          <w:rFonts w:hint="eastAsia" w:ascii="Times New Roman" w:hAnsi="Times New Roman" w:eastAsia="宋体" w:cs="Times New Roman"/>
          <w:color w:val="000000"/>
          <w:szCs w:val="21"/>
          <w14:ligatures w14:val="standardContextual"/>
        </w:rPr>
        <w:t>钴</w:t>
      </w:r>
      <w:r>
        <w:rPr>
          <w:rFonts w:ascii="Times New Roman" w:hAnsi="Times New Roman" w:eastAsia="宋体" w:cs="Times New Roman"/>
          <w:color w:val="000000"/>
          <w:szCs w:val="21"/>
          <w14:ligatures w14:val="standardContextual"/>
        </w:rPr>
        <w:t>及钴合金</w:t>
      </w:r>
      <w:r>
        <w:rPr>
          <w:rFonts w:hint="eastAsia" w:ascii="Times New Roman" w:hAnsi="Times New Roman" w:eastAsia="宋体" w:cs="Times New Roman"/>
          <w:color w:val="000000"/>
          <w:szCs w:val="21"/>
          <w14:ligatures w14:val="standardContextual"/>
        </w:rPr>
        <w:t>原料，可</w:t>
      </w:r>
      <w:r>
        <w:rPr>
          <w:rFonts w:ascii="Times New Roman" w:hAnsi="Times New Roman" w:eastAsia="宋体" w:cs="Times New Roman"/>
          <w:color w:val="000000"/>
          <w:szCs w:val="21"/>
          <w14:ligatures w14:val="standardContextual"/>
        </w:rPr>
        <w:t>归入相近的类别中。</w:t>
      </w:r>
    </w:p>
    <w:p w14:paraId="43FFCA10">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 xml:space="preserve"> 回收</w:t>
      </w:r>
      <w:r>
        <w:rPr>
          <w:rFonts w:ascii="Times New Roman" w:hAnsi="Times New Roman" w:eastAsia="宋体" w:cs="Times New Roman"/>
          <w:szCs w:val="21"/>
        </w:rPr>
        <w:t>钴及钴合金</w:t>
      </w:r>
      <w:r>
        <w:rPr>
          <w:rFonts w:hint="eastAsia" w:ascii="Times New Roman" w:hAnsi="Times New Roman" w:eastAsia="宋体" w:cs="Times New Roman"/>
          <w:szCs w:val="21"/>
        </w:rPr>
        <w:t>原料</w:t>
      </w:r>
      <w:r>
        <w:rPr>
          <w:rFonts w:ascii="Times New Roman" w:hAnsi="Times New Roman" w:eastAsia="宋体" w:cs="Times New Roman"/>
          <w:szCs w:val="21"/>
        </w:rPr>
        <w:t>的</w:t>
      </w:r>
      <w:r>
        <w:rPr>
          <w:rFonts w:hint="eastAsia" w:ascii="Times New Roman" w:hAnsi="Times New Roman" w:eastAsia="宋体" w:cs="Times New Roman"/>
          <w:szCs w:val="21"/>
        </w:rPr>
        <w:t>形状和</w:t>
      </w:r>
      <w:r>
        <w:rPr>
          <w:rFonts w:ascii="Times New Roman" w:hAnsi="Times New Roman" w:eastAsia="宋体" w:cs="Times New Roman"/>
          <w:szCs w:val="21"/>
        </w:rPr>
        <w:t>尺寸</w:t>
      </w:r>
      <w:r>
        <w:rPr>
          <w:rFonts w:hint="eastAsia" w:ascii="Times New Roman" w:hAnsi="Times New Roman" w:eastAsia="宋体" w:cs="Times New Roman"/>
          <w:szCs w:val="21"/>
        </w:rPr>
        <w:t>，</w:t>
      </w:r>
      <w:r>
        <w:rPr>
          <w:rFonts w:ascii="Times New Roman" w:hAnsi="Times New Roman" w:eastAsia="宋体" w:cs="Times New Roman"/>
          <w:szCs w:val="21"/>
        </w:rPr>
        <w:t>本文件不作具体规定，</w:t>
      </w:r>
      <w:r>
        <w:rPr>
          <w:rFonts w:hint="eastAsia" w:ascii="Times New Roman" w:hAnsi="Times New Roman" w:eastAsia="宋体" w:cs="Times New Roman"/>
          <w:szCs w:val="21"/>
        </w:rPr>
        <w:t>应</w:t>
      </w:r>
      <w:r>
        <w:rPr>
          <w:rFonts w:ascii="Times New Roman" w:hAnsi="Times New Roman" w:eastAsia="宋体" w:cs="Times New Roman"/>
          <w:szCs w:val="21"/>
        </w:rPr>
        <w:t>在不妨碍运输的情况下，由供需双方协商确定，并在合同中注明。</w:t>
      </w:r>
    </w:p>
    <w:p w14:paraId="0AE64499">
      <w:pPr>
        <w:spacing w:line="360" w:lineRule="auto"/>
        <w:rPr>
          <w:rFonts w:ascii="Times New Roman" w:hAnsi="Times New Roman" w:eastAsia="宋体" w:cs="Times New Roman"/>
          <w:szCs w:val="21"/>
        </w:rPr>
      </w:pPr>
      <w:r>
        <w:rPr>
          <w:rFonts w:ascii="Times New Roman" w:hAnsi="Times New Roman" w:eastAsia="宋体" w:cs="Times New Roman"/>
          <w:szCs w:val="21"/>
        </w:rPr>
        <w:t>5.4 回收钴及钴合金原料中不</w:t>
      </w:r>
      <w:r>
        <w:rPr>
          <w:rFonts w:hint="eastAsia" w:ascii="Times New Roman" w:hAnsi="Times New Roman" w:eastAsia="宋体" w:cs="Times New Roman"/>
          <w:szCs w:val="21"/>
        </w:rPr>
        <w:t>应</w:t>
      </w:r>
      <w:r>
        <w:rPr>
          <w:rFonts w:ascii="Times New Roman" w:hAnsi="Times New Roman" w:eastAsia="宋体" w:cs="Times New Roman"/>
          <w:szCs w:val="21"/>
        </w:rPr>
        <w:t>混有易燃、易爆、有毒、有腐蚀性或带有放射性的物品，不</w:t>
      </w:r>
      <w:r>
        <w:rPr>
          <w:rFonts w:hint="eastAsia" w:ascii="Times New Roman" w:hAnsi="Times New Roman" w:eastAsia="宋体" w:cs="Times New Roman"/>
          <w:szCs w:val="21"/>
        </w:rPr>
        <w:t>应</w:t>
      </w:r>
      <w:r>
        <w:rPr>
          <w:rFonts w:ascii="Times New Roman" w:hAnsi="Times New Roman" w:eastAsia="宋体" w:cs="Times New Roman"/>
          <w:szCs w:val="21"/>
        </w:rPr>
        <w:t>混有医疗废物或密封容器。</w:t>
      </w:r>
    </w:p>
    <w:p w14:paraId="50FD93EB">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ascii="Times New Roman" w:hAnsi="Times New Roman" w:eastAsia="宋体" w:cs="Times New Roman"/>
          <w:szCs w:val="21"/>
        </w:rPr>
        <w:t>回收钴及钴合金原料表面的泥块、杂物应尽量予以清除。</w:t>
      </w:r>
    </w:p>
    <w:p w14:paraId="27FB3C30">
      <w:pPr>
        <w:spacing w:line="360" w:lineRule="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废旧武器零部件应由供方做安全检查处理后方可供货。</w:t>
      </w:r>
    </w:p>
    <w:p w14:paraId="53756A42">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7</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混</w:t>
      </w:r>
      <w:r>
        <w:rPr>
          <w:rFonts w:hint="eastAsia" w:ascii="Times New Roman" w:hAnsi="Times New Roman" w:eastAsia="宋体" w:cs="Times New Roman"/>
          <w:color w:val="000000" w:themeColor="text1"/>
          <w:szCs w:val="21"/>
          <w14:textFill>
            <w14:solidFill>
              <w14:schemeClr w14:val="tx1"/>
            </w14:solidFill>
          </w14:textFill>
        </w:rPr>
        <w:t>入</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hint="eastAsia" w:ascii="Times New Roman" w:hAnsi="Times New Roman" w:eastAsia="宋体" w:cs="Times New Roman"/>
          <w:color w:val="000000" w:themeColor="text1"/>
          <w:szCs w:val="21"/>
          <w14:textFill>
            <w14:solidFill>
              <w14:schemeClr w14:val="tx1"/>
            </w14:solidFill>
          </w14:textFill>
        </w:rPr>
        <w:t>钴</w:t>
      </w:r>
      <w:r>
        <w:rPr>
          <w:rFonts w:ascii="Times New Roman" w:hAnsi="Times New Roman" w:eastAsia="宋体" w:cs="Times New Roman"/>
          <w:color w:val="000000" w:themeColor="text1"/>
          <w:szCs w:val="21"/>
          <w14:textFill>
            <w14:solidFill>
              <w14:schemeClr w14:val="tx1"/>
            </w14:solidFill>
          </w14:textFill>
        </w:rPr>
        <w:t>及钴合金原料的国家文物，应按照国家有关规定处理。</w:t>
      </w:r>
    </w:p>
    <w:p w14:paraId="2ACCC93E">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5.8 如需方有其他特殊要求时，可由供需双方协商确定，并在合同中注明。</w:t>
      </w:r>
    </w:p>
    <w:p w14:paraId="56FC9906">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6  检验方法</w:t>
      </w:r>
    </w:p>
    <w:p w14:paraId="58ECB150">
      <w:pPr>
        <w:spacing w:line="360" w:lineRule="auto"/>
        <w:rPr>
          <w:rFonts w:ascii="Times New Roman" w:hAnsi="Times New Roman" w:eastAsia="宋体" w:cs="Times New Roman"/>
          <w:szCs w:val="21"/>
        </w:rPr>
      </w:pPr>
      <w:bookmarkStart w:id="2" w:name="bookmark13"/>
      <w:bookmarkEnd w:id="2"/>
      <w:r>
        <w:rPr>
          <w:rFonts w:ascii="Times New Roman" w:hAnsi="Times New Roman" w:eastAsia="宋体" w:cs="Times New Roman"/>
          <w:szCs w:val="21"/>
        </w:rPr>
        <w:t>6.1 回收钴及钴合金原料的洁净程度用目视法进行检査。</w:t>
      </w:r>
    </w:p>
    <w:p w14:paraId="2BC22D2C">
      <w:pPr>
        <w:spacing w:line="360" w:lineRule="auto"/>
        <w:rPr>
          <w:rFonts w:ascii="Times New Roman" w:hAnsi="Times New Roman" w:eastAsia="宋体" w:cs="Times New Roman"/>
          <w:szCs w:val="21"/>
        </w:rPr>
      </w:pPr>
      <w:r>
        <w:rPr>
          <w:rFonts w:ascii="Times New Roman" w:hAnsi="Times New Roman" w:eastAsia="宋体" w:cs="Times New Roman"/>
          <w:szCs w:val="21"/>
        </w:rPr>
        <w:t>6.2 回收钴及钴合金原料的化学成分应进行分析，分析方法由供需双方协商确定，并在合同中注明。未确定分析方法时，按国家标准或行业标准规定的相关牌号的分析方法进行。</w:t>
      </w:r>
      <w:r>
        <w:rPr>
          <w:rFonts w:hint="eastAsia" w:ascii="Times New Roman" w:hAnsi="Times New Roman" w:eastAsia="宋体" w:cs="Times New Roman"/>
          <w:szCs w:val="21"/>
        </w:rPr>
        <w:t>按</w:t>
      </w:r>
      <w:r>
        <w:rPr>
          <w:rFonts w:ascii="Times New Roman" w:hAnsi="Times New Roman" w:eastAsia="宋体" w:cs="Times New Roman"/>
          <w:szCs w:val="21"/>
        </w:rPr>
        <w:t>原料种类可参照GB/T 15679</w:t>
      </w:r>
      <w:r>
        <w:rPr>
          <w:rFonts w:hint="eastAsia" w:ascii="Times New Roman" w:hAnsi="Times New Roman" w:eastAsia="宋体" w:cs="Times New Roman"/>
          <w:szCs w:val="21"/>
        </w:rPr>
        <w:t>.1</w:t>
      </w:r>
      <w:r>
        <w:rPr>
          <w:rFonts w:ascii="Times New Roman" w:hAnsi="Times New Roman" w:eastAsia="宋体" w:cs="Times New Roman"/>
          <w:szCs w:val="21"/>
        </w:rPr>
        <w:t>、GB/T 5124</w:t>
      </w:r>
      <w:r>
        <w:rPr>
          <w:rFonts w:hint="eastAsia" w:ascii="Times New Roman" w:hAnsi="Times New Roman" w:eastAsia="宋体" w:cs="Times New Roman"/>
          <w:szCs w:val="21"/>
        </w:rPr>
        <w:t>.</w:t>
      </w:r>
      <w:r>
        <w:rPr>
          <w:rFonts w:ascii="Times New Roman" w:hAnsi="Times New Roman" w:eastAsia="宋体" w:cs="Times New Roman"/>
          <w:szCs w:val="21"/>
        </w:rPr>
        <w:t>3、SH/T 0345等的规定进行。</w:t>
      </w:r>
    </w:p>
    <w:p w14:paraId="329EF71F">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.3 回收钴及钴合金</w:t>
      </w:r>
      <w:r>
        <w:rPr>
          <w:rFonts w:hint="eastAsia" w:ascii="Times New Roman" w:hAnsi="Times New Roman" w:eastAsia="宋体" w:cs="Times New Roman"/>
          <w:szCs w:val="21"/>
        </w:rPr>
        <w:t>原料</w:t>
      </w:r>
      <w:r>
        <w:rPr>
          <w:rFonts w:ascii="Times New Roman" w:hAnsi="Times New Roman" w:eastAsia="宋体" w:cs="Times New Roman"/>
          <w:szCs w:val="21"/>
        </w:rPr>
        <w:t>对环境造成影响的夹杂物和放射性污染物的控制要求</w:t>
      </w:r>
      <w:r>
        <w:rPr>
          <w:rFonts w:hint="eastAsia" w:ascii="Times New Roman" w:hAnsi="Times New Roman" w:eastAsia="宋体" w:cs="Times New Roman"/>
          <w:szCs w:val="21"/>
        </w:rPr>
        <w:t>，</w:t>
      </w:r>
      <w:r>
        <w:rPr>
          <w:rFonts w:ascii="Times New Roman" w:hAnsi="Times New Roman" w:eastAsia="宋体" w:cs="Times New Roman"/>
          <w:szCs w:val="21"/>
        </w:rPr>
        <w:t>按照GB 16487</w:t>
      </w:r>
      <w:r>
        <w:rPr>
          <w:rFonts w:hint="eastAsia" w:ascii="Times New Roman" w:hAnsi="Times New Roman" w:eastAsia="宋体" w:cs="Times New Roman"/>
          <w:szCs w:val="21"/>
        </w:rPr>
        <w:t>.2</w:t>
      </w:r>
      <w:r>
        <w:rPr>
          <w:rFonts w:ascii="Times New Roman" w:hAnsi="Times New Roman" w:eastAsia="宋体" w:cs="Times New Roman"/>
          <w:szCs w:val="21"/>
        </w:rPr>
        <w:t>、GB 16487</w:t>
      </w:r>
      <w:r>
        <w:rPr>
          <w:rFonts w:hint="eastAsia" w:ascii="Times New Roman" w:hAnsi="Times New Roman" w:eastAsia="宋体" w:cs="Times New Roman"/>
          <w:szCs w:val="21"/>
        </w:rPr>
        <w:t>.7</w:t>
      </w:r>
      <w:r>
        <w:rPr>
          <w:rFonts w:ascii="Times New Roman" w:hAnsi="Times New Roman" w:eastAsia="宋体" w:cs="Times New Roman"/>
          <w:szCs w:val="21"/>
        </w:rPr>
        <w:t>、 GB 16487</w:t>
      </w:r>
      <w:r>
        <w:rPr>
          <w:rFonts w:hint="eastAsia" w:ascii="Times New Roman" w:hAnsi="Times New Roman" w:eastAsia="宋体" w:cs="Times New Roman"/>
          <w:szCs w:val="21"/>
        </w:rPr>
        <w:t>.8</w:t>
      </w:r>
      <w:r>
        <w:rPr>
          <w:rFonts w:ascii="Times New Roman" w:hAnsi="Times New Roman" w:eastAsia="宋体" w:cs="Times New Roman"/>
          <w:szCs w:val="21"/>
        </w:rPr>
        <w:t>的规定进行。</w:t>
      </w:r>
    </w:p>
    <w:p w14:paraId="5D558A46">
      <w:pPr>
        <w:spacing w:line="360" w:lineRule="auto"/>
        <w:rPr>
          <w:rFonts w:ascii="Times New Roman" w:hAnsi="Times New Roman" w:eastAsia="宋体" w:cs="Times New Roman"/>
          <w:szCs w:val="21"/>
        </w:rPr>
      </w:pPr>
      <w:bookmarkStart w:id="3" w:name="bookmark14"/>
      <w:bookmarkEnd w:id="3"/>
      <w:r>
        <w:rPr>
          <w:rFonts w:ascii="Times New Roman" w:hAnsi="Times New Roman" w:eastAsia="宋体" w:cs="Times New Roman"/>
          <w:szCs w:val="21"/>
        </w:rPr>
        <w:t>6.4 回收</w:t>
      </w:r>
      <w:r>
        <w:rPr>
          <w:rFonts w:hint="eastAsia" w:ascii="Times New Roman" w:hAnsi="Times New Roman" w:eastAsia="宋体" w:cs="Times New Roman"/>
          <w:szCs w:val="21"/>
        </w:rPr>
        <w:t>钴</w:t>
      </w:r>
      <w:r>
        <w:rPr>
          <w:rFonts w:ascii="Times New Roman" w:hAnsi="Times New Roman" w:eastAsia="宋体" w:cs="Times New Roman"/>
          <w:szCs w:val="21"/>
        </w:rPr>
        <w:t>及钴合金原料的供应方式、杂质的扣除方法、扣除杂质的方法、外形尺寸及单块重量的测量等</w:t>
      </w:r>
      <w:r>
        <w:rPr>
          <w:rFonts w:hint="eastAsia" w:ascii="Times New Roman" w:hAnsi="Times New Roman" w:eastAsia="宋体" w:cs="Times New Roman"/>
          <w:szCs w:val="21"/>
        </w:rPr>
        <w:t>，</w:t>
      </w:r>
      <w:r>
        <w:rPr>
          <w:rFonts w:ascii="Times New Roman" w:hAnsi="Times New Roman" w:eastAsia="宋体" w:cs="Times New Roman"/>
          <w:szCs w:val="21"/>
        </w:rPr>
        <w:t>本文件未规定的检验方法</w:t>
      </w:r>
      <w:r>
        <w:rPr>
          <w:rFonts w:hint="eastAsia" w:ascii="Times New Roman" w:hAnsi="Times New Roman" w:eastAsia="宋体" w:cs="Times New Roman"/>
          <w:szCs w:val="21"/>
        </w:rPr>
        <w:t>，</w:t>
      </w:r>
      <w:r>
        <w:rPr>
          <w:rFonts w:ascii="Times New Roman" w:hAnsi="Times New Roman" w:eastAsia="宋体" w:cs="Times New Roman"/>
          <w:szCs w:val="21"/>
        </w:rPr>
        <w:t>由供需双方协商确定</w:t>
      </w:r>
      <w:r>
        <w:rPr>
          <w:rFonts w:hint="eastAsia" w:ascii="Times New Roman" w:hAnsi="Times New Roman" w:eastAsia="宋体" w:cs="Times New Roman"/>
          <w:szCs w:val="21"/>
        </w:rPr>
        <w:t>。</w:t>
      </w:r>
    </w:p>
    <w:p w14:paraId="1492113F">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7检验规则</w:t>
      </w:r>
    </w:p>
    <w:p w14:paraId="6971FF49">
      <w:pPr>
        <w:spacing w:line="360" w:lineRule="auto"/>
        <w:rPr>
          <w:rFonts w:ascii="Times New Roman" w:hAnsi="Times New Roman" w:eastAsia="宋体" w:cs="Times New Roman"/>
          <w:color w:val="000000" w:themeColor="text1"/>
          <w:szCs w:val="21"/>
          <w14:textFill>
            <w14:solidFill>
              <w14:schemeClr w14:val="tx1"/>
            </w14:solidFill>
          </w14:textFill>
        </w:rPr>
      </w:pPr>
      <w:bookmarkStart w:id="4" w:name="bookmark15"/>
      <w:bookmarkEnd w:id="4"/>
      <w:r>
        <w:rPr>
          <w:rFonts w:ascii="Times New Roman" w:hAnsi="Times New Roman" w:eastAsia="宋体" w:cs="Times New Roman"/>
          <w:color w:val="000000" w:themeColor="text1"/>
          <w:szCs w:val="21"/>
          <w14:textFill>
            <w14:solidFill>
              <w14:schemeClr w14:val="tx1"/>
            </w14:solidFill>
          </w14:textFill>
        </w:rPr>
        <w:t>7.1 检查和验收</w:t>
      </w:r>
    </w:p>
    <w:p w14:paraId="65B3FA25">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5" w:name="bookmark16"/>
      <w:bookmarkEnd w:id="5"/>
      <w:r>
        <w:rPr>
          <w:rFonts w:ascii="Times New Roman" w:hAnsi="Times New Roman" w:eastAsia="宋体" w:cs="Times New Roman"/>
          <w:color w:val="000000" w:themeColor="text1"/>
          <w:szCs w:val="21"/>
          <w14:textFill>
            <w14:solidFill>
              <w14:schemeClr w14:val="tx1"/>
            </w14:solidFill>
          </w14:textFill>
        </w:rPr>
        <w:t>7.1.1回收钴及钴合金原料应由供方或第三方检验机构进行检验，应保证其质量符合本文件及订货单的规定，并填写质量证明书。</w:t>
      </w:r>
    </w:p>
    <w:p w14:paraId="075A0486">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7.1.2需方</w:t>
      </w:r>
      <w:r>
        <w:rPr>
          <w:rFonts w:hint="eastAsia" w:ascii="Times New Roman" w:hAnsi="Times New Roman" w:eastAsia="宋体" w:cs="Times New Roman"/>
          <w:color w:val="000000" w:themeColor="text1"/>
          <w:szCs w:val="21"/>
          <w14:textFill>
            <w14:solidFill>
              <w14:schemeClr w14:val="tx1"/>
            </w14:solidFill>
          </w14:textFill>
        </w:rPr>
        <w:t>应</w:t>
      </w:r>
      <w:r>
        <w:rPr>
          <w:rFonts w:ascii="Times New Roman" w:hAnsi="Times New Roman" w:eastAsia="宋体" w:cs="Times New Roman"/>
          <w:color w:val="000000" w:themeColor="text1"/>
          <w:szCs w:val="21"/>
          <w14:textFill>
            <w14:solidFill>
              <w14:schemeClr w14:val="tx1"/>
            </w14:solidFill>
          </w14:textFill>
        </w:rPr>
        <w:t>对收到的</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hint="eastAsia" w:ascii="Times New Roman" w:hAnsi="Times New Roman" w:eastAsia="宋体" w:cs="Times New Roman"/>
          <w:color w:val="000000" w:themeColor="text1"/>
          <w:szCs w:val="21"/>
          <w14:textFill>
            <w14:solidFill>
              <w14:schemeClr w14:val="tx1"/>
            </w14:solidFill>
          </w14:textFill>
        </w:rPr>
        <w:t>钴</w:t>
      </w:r>
      <w:r>
        <w:rPr>
          <w:rFonts w:ascii="Times New Roman" w:hAnsi="Times New Roman" w:eastAsia="宋体" w:cs="Times New Roman"/>
          <w:color w:val="000000" w:themeColor="text1"/>
          <w:szCs w:val="21"/>
          <w14:textFill>
            <w14:solidFill>
              <w14:schemeClr w14:val="tx1"/>
            </w14:solidFill>
          </w14:textFill>
        </w:rPr>
        <w:t>及钴合金原料</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按照本文件或订货单的规定进行检验</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如检验结果与本文件或</w:t>
      </w:r>
      <w:r>
        <w:rPr>
          <w:rFonts w:hint="eastAsia" w:ascii="Times New Roman" w:hAnsi="Times New Roman" w:eastAsia="宋体" w:cs="Times New Roman"/>
          <w:color w:val="000000" w:themeColor="text1"/>
          <w:szCs w:val="21"/>
          <w14:textFill>
            <w14:solidFill>
              <w14:schemeClr w14:val="tx1"/>
            </w14:solidFill>
          </w14:textFill>
        </w:rPr>
        <w:t>订货单</w:t>
      </w:r>
      <w:r>
        <w:rPr>
          <w:rFonts w:ascii="Times New Roman" w:hAnsi="Times New Roman" w:eastAsia="宋体" w:cs="Times New Roman"/>
          <w:color w:val="000000" w:themeColor="text1"/>
          <w:szCs w:val="21"/>
          <w14:textFill>
            <w14:solidFill>
              <w14:schemeClr w14:val="tx1"/>
            </w14:solidFill>
          </w14:textFill>
        </w:rPr>
        <w:t>的规定不符时，应单独封存</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应在收到</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钴及钴合金原料之日起一个月内向供方提出</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由供需双方协商解决。如需仲裁，应由供需双方在需方共同取样</w:t>
      </w:r>
      <w:r>
        <w:rPr>
          <w:rFonts w:hint="eastAsia" w:ascii="Times New Roman" w:hAnsi="Times New Roman" w:eastAsia="宋体" w:cs="Times New Roman"/>
          <w:color w:val="000000" w:themeColor="text1"/>
          <w:szCs w:val="21"/>
          <w14:textFill>
            <w14:solidFill>
              <w14:schemeClr w14:val="tx1"/>
            </w14:solidFill>
          </w14:textFill>
        </w:rPr>
        <w:t>处理</w:t>
      </w:r>
      <w:r>
        <w:rPr>
          <w:rFonts w:ascii="Times New Roman" w:hAnsi="Times New Roman" w:eastAsia="宋体" w:cs="Times New Roman"/>
          <w:color w:val="000000" w:themeColor="text1"/>
          <w:szCs w:val="21"/>
          <w14:textFill>
            <w14:solidFill>
              <w14:schemeClr w14:val="tx1"/>
            </w14:solidFill>
          </w14:textFill>
        </w:rPr>
        <w:t>。</w:t>
      </w:r>
    </w:p>
    <w:p w14:paraId="3146A432">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r>
        <w:rPr>
          <w:rFonts w:hint="eastAsia" w:ascii="Times New Roman" w:hAnsi="Times New Roman" w:eastAsia="宋体" w:cs="Times New Roman"/>
          <w:color w:val="000000" w:themeColor="text1"/>
          <w:szCs w:val="21"/>
          <w14:textFill>
            <w14:solidFill>
              <w14:schemeClr w14:val="tx1"/>
            </w14:solidFill>
          </w14:textFill>
        </w:rPr>
        <w:t xml:space="preserve">.2  </w:t>
      </w:r>
      <w:r>
        <w:rPr>
          <w:rFonts w:ascii="Times New Roman" w:hAnsi="Times New Roman" w:eastAsia="宋体" w:cs="Times New Roman"/>
          <w:color w:val="000000" w:themeColor="text1"/>
          <w:szCs w:val="21"/>
          <w14:textFill>
            <w14:solidFill>
              <w14:schemeClr w14:val="tx1"/>
            </w14:solidFill>
          </w14:textFill>
        </w:rPr>
        <w:t>组批</w:t>
      </w:r>
    </w:p>
    <w:p w14:paraId="59E5E2E7">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废钴应成批提交检验，每批应由同一类别，同一种类</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名称和同一要求的</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组成，批重不限。</w:t>
      </w:r>
    </w:p>
    <w:p w14:paraId="52E23347">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7.3 检验项目</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取样以及其他</w:t>
      </w:r>
    </w:p>
    <w:p w14:paraId="01DB8949">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钴及钴合金原料的检验项目</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取制及其他有关事宜</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由供需双方协商确定</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并在订货单注明。</w:t>
      </w:r>
    </w:p>
    <w:p w14:paraId="341F4F49">
      <w:pPr>
        <w:spacing w:before="312" w:beforeLines="100" w:after="312" w:afterLines="100" w:line="420" w:lineRule="exact"/>
        <w:rPr>
          <w:rFonts w:ascii="黑体" w:hAnsi="黑体" w:eastAsia="黑体" w:cs="Times New Roman"/>
          <w:szCs w:val="24"/>
        </w:rPr>
      </w:pPr>
      <w:r>
        <w:rPr>
          <w:rFonts w:ascii="黑体" w:hAnsi="黑体" w:eastAsia="黑体" w:cs="Times New Roman"/>
          <w:color w:val="000000" w:themeColor="text1"/>
          <w:szCs w:val="24"/>
          <w14:textFill>
            <w14:solidFill>
              <w14:schemeClr w14:val="tx1"/>
            </w14:solidFill>
          </w14:textFill>
        </w:rPr>
        <w:t>8 标志、包装、运输、贮存及</w:t>
      </w:r>
      <w:r>
        <w:rPr>
          <w:rFonts w:ascii="黑体" w:hAnsi="黑体" w:eastAsia="黑体" w:cs="Times New Roman"/>
          <w:szCs w:val="24"/>
        </w:rPr>
        <w:t>随行文件</w:t>
      </w:r>
    </w:p>
    <w:p w14:paraId="1C231E5B">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8.1 标志</w:t>
      </w:r>
    </w:p>
    <w:p w14:paraId="72FB5BEE">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经检验的每批</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应在附有标志，其上注明：</w:t>
      </w:r>
    </w:p>
    <w:p w14:paraId="7148DFE2">
      <w:pPr>
        <w:pStyle w:val="22"/>
        <w:numPr>
          <w:ilvl w:val="0"/>
          <w:numId w:val="1"/>
        </w:numPr>
        <w:spacing w:line="360" w:lineRule="auto"/>
        <w:ind w:firstLineChars="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供方名称；</w:t>
      </w:r>
    </w:p>
    <w:p w14:paraId="3D7572C4">
      <w:pPr>
        <w:pStyle w:val="22"/>
        <w:numPr>
          <w:ilvl w:val="0"/>
          <w:numId w:val="1"/>
        </w:numPr>
        <w:spacing w:line="360" w:lineRule="auto"/>
        <w:ind w:firstLineChars="0"/>
        <w:rPr>
          <w:rFonts w:ascii="Times New Roman" w:hAnsi="Times New Roman" w:eastAsia="宋体" w:cs="Times New Roman"/>
          <w:color w:val="000000" w:themeColor="text1"/>
          <w:szCs w:val="21"/>
          <w14:textFill>
            <w14:solidFill>
              <w14:schemeClr w14:val="tx1"/>
            </w14:solidFill>
          </w14:textFill>
        </w:rPr>
      </w:pPr>
      <w:r>
        <w:rPr>
          <w:rFonts w:ascii="宋体" w:hAnsi="宋体" w:eastAsia="宋体" w:cs="Arial"/>
          <w:snapToGrid w:val="0"/>
          <w:color w:val="000000" w:themeColor="text1"/>
          <w:kern w:val="0"/>
          <w:szCs w:val="21"/>
          <w14:textFill>
            <w14:solidFill>
              <w14:schemeClr w14:val="tx1"/>
            </w14:solidFill>
          </w14:textFill>
        </w:rPr>
        <w:t>供方质量监督部门的印记</w:t>
      </w:r>
      <w:r>
        <w:rPr>
          <w:rFonts w:hint="eastAsia" w:ascii="宋体" w:hAnsi="宋体" w:eastAsia="宋体" w:cs="Arial"/>
          <w:snapToGrid w:val="0"/>
          <w:color w:val="000000" w:themeColor="text1"/>
          <w:kern w:val="0"/>
          <w:szCs w:val="21"/>
          <w14:textFill>
            <w14:solidFill>
              <w14:schemeClr w14:val="tx1"/>
            </w14:solidFill>
          </w14:textFill>
        </w:rPr>
        <w:t>；</w:t>
      </w:r>
    </w:p>
    <w:p w14:paraId="73903274">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名称；</w:t>
      </w:r>
    </w:p>
    <w:p w14:paraId="65362402">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类别和级别要求；</w:t>
      </w:r>
    </w:p>
    <w:p w14:paraId="42E1B012">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e）</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批号；</w:t>
      </w:r>
    </w:p>
    <w:p w14:paraId="56407645">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批重；</w:t>
      </w:r>
    </w:p>
    <w:p w14:paraId="2334E22B">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8.2包装</w:t>
      </w:r>
    </w:p>
    <w:p w14:paraId="46937E10">
      <w:pPr>
        <w:ind w:firstLine="420" w:firstLineChars="200"/>
        <w:rPr>
          <w:rFonts w:ascii="Times New Roman" w:hAnsi="Times New Roman" w:eastAsia="宋体" w:cs="Times New Roman"/>
          <w:szCs w:val="21"/>
        </w:rPr>
      </w:pPr>
      <w:bookmarkStart w:id="6" w:name="bookmark23"/>
      <w:bookmarkEnd w:id="6"/>
      <w:r>
        <w:rPr>
          <w:rFonts w:ascii="Times New Roman" w:hAnsi="Times New Roman" w:eastAsia="宋体" w:cs="Times New Roman"/>
          <w:szCs w:val="21"/>
        </w:rPr>
        <w:t xml:space="preserve">8.2.1 </w:t>
      </w:r>
      <w:r>
        <w:rPr>
          <w:rFonts w:hint="eastAsia" w:ascii="Times New Roman" w:hAnsi="Times New Roman" w:eastAsia="宋体" w:cs="Times New Roman"/>
          <w:color w:val="000000"/>
          <w:szCs w:val="21"/>
          <w:lang w:val="en-US" w:eastAsia="zh-CN"/>
          <w14:ligatures w14:val="standardContextual"/>
        </w:rPr>
        <w:t>回收</w:t>
      </w:r>
      <w:r>
        <w:rPr>
          <w:rFonts w:ascii="Times New Roman" w:hAnsi="Times New Roman" w:eastAsia="宋体" w:cs="Times New Roman"/>
          <w:szCs w:val="21"/>
        </w:rPr>
        <w:t>钴及钴合金原料</w:t>
      </w:r>
      <w:r>
        <w:rPr>
          <w:rFonts w:hint="eastAsia" w:ascii="Times New Roman" w:hAnsi="Times New Roman" w:eastAsia="宋体" w:cs="Times New Roman"/>
          <w:szCs w:val="21"/>
        </w:rPr>
        <w:t>，</w:t>
      </w:r>
      <w:r>
        <w:rPr>
          <w:rFonts w:ascii="宋体" w:hAnsi="宋体" w:eastAsia="宋体" w:cs="Times New Roman"/>
          <w:szCs w:val="24"/>
        </w:rPr>
        <w:t>经供需双方协商确定，可以打包或压块方式供货</w:t>
      </w:r>
      <w:r>
        <w:rPr>
          <w:rFonts w:hint="eastAsia" w:ascii="宋体" w:hAnsi="宋体" w:eastAsia="宋体" w:cs="Times New Roman"/>
          <w:szCs w:val="24"/>
        </w:rPr>
        <w:t>，</w:t>
      </w:r>
      <w:r>
        <w:rPr>
          <w:rFonts w:ascii="宋体" w:hAnsi="宋体" w:eastAsia="宋体" w:cs="Times New Roman"/>
          <w:szCs w:val="24"/>
        </w:rPr>
        <w:t>粉状及散碎的金属</w:t>
      </w:r>
      <w:r>
        <w:rPr>
          <w:rFonts w:ascii="Times New Roman" w:hAnsi="Times New Roman" w:eastAsia="宋体" w:cs="Times New Roman"/>
          <w:szCs w:val="21"/>
        </w:rPr>
        <w:t>均应包装</w:t>
      </w:r>
      <w:r>
        <w:rPr>
          <w:rFonts w:ascii="宋体" w:hAnsi="宋体" w:eastAsia="宋体" w:cs="Times New Roman"/>
          <w:szCs w:val="24"/>
        </w:rPr>
        <w:t>后交货</w:t>
      </w:r>
      <w:r>
        <w:rPr>
          <w:rFonts w:ascii="Times New Roman" w:hAnsi="Times New Roman" w:eastAsia="宋体" w:cs="Times New Roman"/>
          <w:szCs w:val="21"/>
        </w:rPr>
        <w:t>。</w:t>
      </w:r>
    </w:p>
    <w:p w14:paraId="0C45784A">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8.2.2 包装方式、尺寸和重量由供需双方协商确定，并在合同中注明。</w:t>
      </w:r>
    </w:p>
    <w:p w14:paraId="6EA79F09">
      <w:pPr>
        <w:spacing w:line="360" w:lineRule="auto"/>
        <w:rPr>
          <w:rFonts w:ascii="Times New Roman" w:hAnsi="Times New Roman" w:eastAsia="宋体" w:cs="Times New Roman"/>
          <w:szCs w:val="21"/>
        </w:rPr>
      </w:pPr>
      <w:r>
        <w:rPr>
          <w:rFonts w:ascii="Times New Roman" w:hAnsi="Times New Roman" w:eastAsia="宋体" w:cs="Times New Roman"/>
          <w:szCs w:val="21"/>
        </w:rPr>
        <w:t>8.3运输和贮存</w:t>
      </w:r>
    </w:p>
    <w:p w14:paraId="3C291C6D">
      <w:pPr>
        <w:spacing w:line="360" w:lineRule="auto"/>
        <w:ind w:firstLine="420"/>
        <w:rPr>
          <w:rFonts w:ascii="Times New Roman" w:hAnsi="Times New Roman" w:eastAsia="宋体" w:cs="Times New Roman"/>
          <w:szCs w:val="21"/>
        </w:rPr>
      </w:pPr>
      <w:bookmarkStart w:id="7" w:name="bookmark24"/>
      <w:bookmarkEnd w:id="7"/>
      <w:r>
        <w:rPr>
          <w:rFonts w:ascii="Times New Roman" w:hAnsi="Times New Roman" w:eastAsia="宋体" w:cs="Times New Roman"/>
          <w:szCs w:val="21"/>
        </w:rPr>
        <w:t>8.3.1不同类别的</w:t>
      </w:r>
      <w:r>
        <w:rPr>
          <w:rFonts w:hint="eastAsia" w:ascii="Times New Roman" w:hAnsi="Times New Roman" w:eastAsia="宋体" w:cs="Times New Roman"/>
          <w:color w:val="000000"/>
          <w:szCs w:val="21"/>
          <w:lang w:val="en-US" w:eastAsia="zh-CN"/>
          <w14:ligatures w14:val="standardContextual"/>
        </w:rPr>
        <w:t>回收</w:t>
      </w:r>
      <w:r>
        <w:rPr>
          <w:rFonts w:ascii="Times New Roman" w:hAnsi="Times New Roman" w:eastAsia="宋体" w:cs="Times New Roman"/>
          <w:szCs w:val="21"/>
        </w:rPr>
        <w:t>钴及钴合金原料在运输过程中不应混装。</w:t>
      </w:r>
    </w:p>
    <w:p w14:paraId="1B7E5660">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8.3.2</w:t>
      </w:r>
      <w:r>
        <w:rPr>
          <w:rFonts w:hint="eastAsia" w:ascii="Times New Roman" w:hAnsi="Times New Roman" w:eastAsia="宋体" w:cs="Times New Roman"/>
          <w:color w:val="000000"/>
          <w:szCs w:val="21"/>
          <w:lang w:val="en-US" w:eastAsia="zh-CN"/>
          <w14:ligatures w14:val="standardContextual"/>
        </w:rPr>
        <w:t>回收</w:t>
      </w:r>
      <w:r>
        <w:rPr>
          <w:rFonts w:ascii="Times New Roman" w:hAnsi="Times New Roman" w:eastAsia="宋体" w:cs="Times New Roman"/>
          <w:szCs w:val="21"/>
        </w:rPr>
        <w:t>钴及钴合金原料在运输、装卸、堆放过程中，应严禁混入爆炸物、易燃物、垃圾、腐蚀物和有毒、放射性物品，也不得用被以上物品污染的装卸工具装运，应有必要的</w:t>
      </w:r>
      <w:r>
        <w:rPr>
          <w:rFonts w:ascii="Times New Roman" w:hAnsi="Times New Roman" w:eastAsia="宋体" w:cs="Times New Roman"/>
          <w:color w:val="000000" w:themeColor="text1"/>
          <w:szCs w:val="21"/>
          <w14:textFill>
            <w14:solidFill>
              <w14:schemeClr w14:val="tx1"/>
            </w14:solidFill>
          </w14:textFill>
        </w:rPr>
        <w:t>防雨、防雪、防水设施。</w:t>
      </w:r>
    </w:p>
    <w:p w14:paraId="5B37589D">
      <w:pPr>
        <w:spacing w:line="360" w:lineRule="auto"/>
        <w:rPr>
          <w:rFonts w:ascii="Times New Roman" w:hAnsi="Times New Roman" w:eastAsia="宋体" w:cs="Times New Roman"/>
          <w:color w:val="000000" w:themeColor="text1"/>
          <w:szCs w:val="21"/>
          <w14:textFill>
            <w14:solidFill>
              <w14:schemeClr w14:val="tx1"/>
            </w14:solidFill>
          </w14:textFill>
        </w:rPr>
      </w:pPr>
      <w:bookmarkStart w:id="8" w:name="bookmark18"/>
      <w:bookmarkEnd w:id="8"/>
      <w:r>
        <w:rPr>
          <w:rFonts w:ascii="Times New Roman" w:hAnsi="Times New Roman" w:eastAsia="宋体" w:cs="Times New Roman"/>
          <w:color w:val="000000" w:themeColor="text1"/>
          <w:szCs w:val="21"/>
          <w14:textFill>
            <w14:solidFill>
              <w14:schemeClr w14:val="tx1"/>
            </w14:solidFill>
          </w14:textFill>
        </w:rPr>
        <w:t>8.4 随行文件</w:t>
      </w:r>
    </w:p>
    <w:p w14:paraId="2ACC5BB5">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每批</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钴及钴合金原料应附有</w:t>
      </w:r>
      <w:r>
        <w:rPr>
          <w:rFonts w:hint="eastAsia" w:ascii="Times New Roman" w:hAnsi="Times New Roman" w:eastAsia="宋体" w:cs="Times New Roman"/>
          <w:color w:val="000000" w:themeColor="text1"/>
          <w:szCs w:val="21"/>
          <w14:textFill>
            <w14:solidFill>
              <w14:schemeClr w14:val="tx1"/>
            </w14:solidFill>
          </w14:textFill>
        </w:rPr>
        <w:t>随行</w:t>
      </w:r>
      <w:r>
        <w:rPr>
          <w:rFonts w:ascii="Times New Roman" w:hAnsi="Times New Roman" w:eastAsia="宋体" w:cs="Times New Roman"/>
          <w:color w:val="000000" w:themeColor="text1"/>
          <w:szCs w:val="21"/>
          <w14:textFill>
            <w14:solidFill>
              <w14:schemeClr w14:val="tx1"/>
            </w14:solidFill>
          </w14:textFill>
        </w:rPr>
        <w:t>文件，其中除应包括供方信息、</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信息、本文件编号、出厂日期或包装日期外，还宜包括：</w:t>
      </w:r>
    </w:p>
    <w:p w14:paraId="7004DFE1">
      <w:pPr>
        <w:spacing w:line="360" w:lineRule="auto"/>
        <w:ind w:left="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w:t>
      </w:r>
      <w:r>
        <w:rPr>
          <w:rFonts w:hint="eastAsia"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钴及钴合金原料质量保证书：</w:t>
      </w:r>
    </w:p>
    <w:p w14:paraId="149D2260">
      <w:pPr>
        <w:pStyle w:val="22"/>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特点（主要来源）；</w:t>
      </w:r>
    </w:p>
    <w:p w14:paraId="68DCAA7E">
      <w:pPr>
        <w:pStyle w:val="22"/>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类别、种类</w:t>
      </w:r>
      <w:r>
        <w:rPr>
          <w:rFonts w:hint="eastAsia" w:ascii="Times New Roman" w:hAnsi="Times New Roman" w:eastAsia="宋体" w:cs="Times New Roman"/>
          <w:color w:val="000000" w:themeColor="text1"/>
          <w:szCs w:val="21"/>
          <w14:textFill>
            <w14:solidFill>
              <w14:schemeClr w14:val="tx1"/>
            </w14:solidFill>
          </w14:textFill>
        </w:rPr>
        <w:t>/名称</w:t>
      </w:r>
      <w:r>
        <w:rPr>
          <w:rFonts w:ascii="Times New Roman" w:hAnsi="Times New Roman" w:eastAsia="宋体" w:cs="Times New Roman"/>
          <w:color w:val="000000" w:themeColor="text1"/>
          <w:szCs w:val="21"/>
          <w14:textFill>
            <w14:solidFill>
              <w14:schemeClr w14:val="tx1"/>
            </w14:solidFill>
          </w14:textFill>
        </w:rPr>
        <w:t>、级别要求；</w:t>
      </w:r>
    </w:p>
    <w:p w14:paraId="6BE87B55">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w:t>
      </w:r>
      <w:r>
        <w:rPr>
          <w:rFonts w:hint="eastAsia"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钴及钴合金原料质量合格证：</w:t>
      </w:r>
    </w:p>
    <w:p w14:paraId="1209D794">
      <w:pPr>
        <w:pStyle w:val="22"/>
        <w:spacing w:line="360" w:lineRule="auto"/>
        <w:ind w:left="780" w:firstLine="0" w:firstLineChars="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w:t>
      </w:r>
      <w:r>
        <w:rPr>
          <w:rFonts w:hint="eastAsia" w:ascii="Times New Roman" w:hAnsi="Times New Roman" w:eastAsia="宋体" w:cs="Times New Roman"/>
          <w:color w:val="000000" w:themeColor="text1"/>
          <w:szCs w:val="21"/>
          <w14:textFill>
            <w14:solidFill>
              <w14:schemeClr w14:val="tx1"/>
            </w14:solidFill>
          </w14:textFill>
        </w:rPr>
        <w:t>原料</w:t>
      </w:r>
      <w:r>
        <w:rPr>
          <w:rFonts w:ascii="Times New Roman" w:hAnsi="Times New Roman" w:eastAsia="宋体" w:cs="Times New Roman"/>
          <w:color w:val="000000" w:themeColor="text1"/>
          <w:szCs w:val="21"/>
          <w14:textFill>
            <w14:solidFill>
              <w14:schemeClr w14:val="tx1"/>
            </w14:solidFill>
          </w14:textFill>
        </w:rPr>
        <w:t>供方或第三方检验机构检验结果。</w:t>
      </w:r>
    </w:p>
    <w:p w14:paraId="0B9364E1">
      <w:pPr>
        <w:spacing w:line="360" w:lineRule="auto"/>
        <w:ind w:left="420"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批号及批量</w:t>
      </w:r>
    </w:p>
    <w:p w14:paraId="12F55EF7">
      <w:pPr>
        <w:spacing w:line="360" w:lineRule="auto"/>
        <w:ind w:firstLine="840" w:firstLineChars="4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检验日期；</w:t>
      </w:r>
    </w:p>
    <w:p w14:paraId="163DD54A">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检验员签章或盖章；</w:t>
      </w:r>
    </w:p>
    <w:p w14:paraId="7692903B">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发货日期；</w:t>
      </w:r>
    </w:p>
    <w:p w14:paraId="507CEAEE">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w:t>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hint="eastAsia" w:ascii="Times New Roman" w:hAnsi="Times New Roman" w:eastAsia="宋体" w:cs="Times New Roman"/>
          <w:color w:val="000000" w:themeColor="text1"/>
          <w:szCs w:val="21"/>
          <w14:textFill>
            <w14:solidFill>
              <w14:schemeClr w14:val="tx1"/>
            </w14:solidFill>
          </w14:textFill>
        </w:rPr>
        <w:t>钴</w:t>
      </w:r>
      <w:r>
        <w:rPr>
          <w:rFonts w:ascii="Times New Roman" w:hAnsi="Times New Roman" w:eastAsia="宋体" w:cs="Times New Roman"/>
          <w:color w:val="000000" w:themeColor="text1"/>
          <w:szCs w:val="21"/>
          <w14:textFill>
            <w14:solidFill>
              <w14:schemeClr w14:val="tx1"/>
            </w14:solidFill>
          </w14:textFill>
        </w:rPr>
        <w:t>及钴合金原料搬运、使用、贮存方法等；</w:t>
      </w:r>
    </w:p>
    <w:p w14:paraId="5E256A6A">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其他</w:t>
      </w:r>
      <w:r>
        <w:rPr>
          <w:rFonts w:hint="eastAsia" w:ascii="Times New Roman" w:hAnsi="Times New Roman" w:eastAsia="宋体" w:cs="Times New Roman"/>
          <w:color w:val="000000" w:themeColor="text1"/>
          <w:szCs w:val="21"/>
          <w14:textFill>
            <w14:solidFill>
              <w14:schemeClr w14:val="tx1"/>
            </w14:solidFill>
          </w14:textFill>
        </w:rPr>
        <w:t>。</w:t>
      </w:r>
    </w:p>
    <w:p w14:paraId="34DE814F">
      <w:pPr>
        <w:spacing w:before="312" w:beforeLines="100" w:after="312" w:afterLines="100" w:line="420" w:lineRule="exact"/>
        <w:rPr>
          <w:rFonts w:ascii="黑体" w:hAnsi="黑体" w:eastAsia="黑体" w:cs="Times New Roman"/>
          <w:szCs w:val="24"/>
        </w:rPr>
      </w:pPr>
      <w:r>
        <w:rPr>
          <w:rFonts w:ascii="黑体" w:hAnsi="黑体" w:eastAsia="黑体" w:cs="Times New Roman"/>
          <w:szCs w:val="24"/>
        </w:rPr>
        <w:t>9 订货单内容</w:t>
      </w:r>
    </w:p>
    <w:p w14:paraId="460CECD6">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需方可根据自身的需要，在订购本文件所列产品的订货单内，列出以下内容：</w:t>
      </w:r>
    </w:p>
    <w:p w14:paraId="50EBBF51">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9" w:name="bookmark32"/>
      <w:r>
        <w:rPr>
          <w:rFonts w:ascii="Times New Roman" w:hAnsi="Times New Roman" w:eastAsia="宋体" w:cs="Times New Roman"/>
          <w:color w:val="000000" w:themeColor="text1"/>
          <w:szCs w:val="21"/>
          <w14:textFill>
            <w14:solidFill>
              <w14:schemeClr w14:val="tx1"/>
            </w14:solidFill>
          </w14:textFill>
        </w:rPr>
        <w:t>a</w:t>
      </w:r>
      <w:bookmarkEnd w:id="9"/>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hint="eastAsia" w:ascii="Times New Roman" w:hAnsi="Times New Roman" w:eastAsia="宋体" w:cs="Times New Roman"/>
          <w:color w:val="000000" w:themeColor="text1"/>
          <w:szCs w:val="21"/>
          <w:lang w:val="en-US" w:eastAsia="zh-CN"/>
          <w14:textFill>
            <w14:solidFill>
              <w14:schemeClr w14:val="tx1"/>
            </w14:solidFill>
          </w14:textFill>
          <w14:ligatures w14:val="standardContextual"/>
        </w:rPr>
        <w:t>回收</w:t>
      </w:r>
      <w:r>
        <w:rPr>
          <w:rFonts w:ascii="Times New Roman" w:hAnsi="Times New Roman" w:eastAsia="宋体" w:cs="Times New Roman"/>
          <w:color w:val="000000" w:themeColor="text1"/>
          <w:szCs w:val="21"/>
          <w14:textFill>
            <w14:solidFill>
              <w14:schemeClr w14:val="tx1"/>
            </w14:solidFill>
          </w14:textFill>
        </w:rPr>
        <w:t>钴及钴合金原料名称；</w:t>
      </w:r>
    </w:p>
    <w:p w14:paraId="5D592163">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bookmarkStart w:id="10" w:name="bookmark33"/>
      <w:r>
        <w:rPr>
          <w:rFonts w:ascii="Times New Roman" w:hAnsi="Times New Roman" w:eastAsia="宋体" w:cs="Times New Roman"/>
          <w:color w:val="000000" w:themeColor="text1"/>
          <w:szCs w:val="21"/>
          <w14:textFill>
            <w14:solidFill>
              <w14:schemeClr w14:val="tx1"/>
            </w14:solidFill>
          </w14:textFill>
        </w:rPr>
        <w:t>b</w:t>
      </w:r>
      <w:bookmarkEnd w:id="10"/>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类别、种类</w:t>
      </w:r>
      <w:r>
        <w:rPr>
          <w:rFonts w:hint="eastAsia" w:ascii="Times New Roman" w:hAnsi="Times New Roman" w:eastAsia="宋体" w:cs="Times New Roman"/>
          <w:color w:val="000000" w:themeColor="text1"/>
          <w:szCs w:val="21"/>
          <w14:textFill>
            <w14:solidFill>
              <w14:schemeClr w14:val="tx1"/>
            </w14:solidFill>
          </w14:textFill>
        </w:rPr>
        <w:t>/名称</w:t>
      </w:r>
      <w:r>
        <w:rPr>
          <w:rFonts w:ascii="Times New Roman" w:hAnsi="Times New Roman" w:eastAsia="宋体" w:cs="Times New Roman"/>
          <w:color w:val="000000" w:themeColor="text1"/>
          <w:szCs w:val="21"/>
          <w14:textFill>
            <w14:solidFill>
              <w14:schemeClr w14:val="tx1"/>
            </w14:solidFill>
          </w14:textFill>
        </w:rPr>
        <w:t>、级别要求；</w:t>
      </w:r>
    </w:p>
    <w:p w14:paraId="520F65FA">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形状、尺寸、杂质含量等要求；</w:t>
      </w:r>
    </w:p>
    <w:p w14:paraId="69770B2F">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 净重</w:t>
      </w:r>
      <w:r>
        <w:rPr>
          <w:rFonts w:hint="eastAsia" w:ascii="Times New Roman" w:hAnsi="Times New Roman" w:eastAsia="宋体" w:cs="Times New Roman"/>
          <w:color w:val="000000" w:themeColor="text1"/>
          <w:szCs w:val="21"/>
          <w14:textFill>
            <w14:solidFill>
              <w14:schemeClr w14:val="tx1"/>
            </w14:solidFill>
          </w14:textFill>
        </w:rPr>
        <w:t>或</w:t>
      </w:r>
      <w:r>
        <w:rPr>
          <w:rFonts w:ascii="Times New Roman" w:hAnsi="Times New Roman" w:eastAsia="宋体" w:cs="Times New Roman"/>
          <w:color w:val="000000" w:themeColor="text1"/>
          <w:szCs w:val="21"/>
          <w14:textFill>
            <w14:solidFill>
              <w14:schemeClr w14:val="tx1"/>
            </w14:solidFill>
          </w14:textFill>
        </w:rPr>
        <w:t>件数；</w:t>
      </w:r>
    </w:p>
    <w:p w14:paraId="18307338">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 xml:space="preserve">本文件编号； </w:t>
      </w:r>
    </w:p>
    <w:p w14:paraId="2EC560B2">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本文件中供需双方协商确定的其他特殊要求；</w:t>
      </w:r>
    </w:p>
    <w:p w14:paraId="5F943204">
      <w:pPr>
        <w:spacing w:line="360" w:lineRule="auto"/>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  其他。</w:t>
      </w:r>
    </w:p>
    <w:p w14:paraId="60F9F67E">
      <w:pPr>
        <w:spacing w:line="360" w:lineRule="auto"/>
        <w:ind w:firstLine="420"/>
        <w:rPr>
          <w:rFonts w:ascii="Times New Roman" w:hAnsi="Times New Roman" w:eastAsia="宋体" w:cs="Times New Roman"/>
          <w:color w:val="C00000"/>
          <w:szCs w:val="21"/>
        </w:rPr>
      </w:pPr>
    </w:p>
    <w:p w14:paraId="68350BDA">
      <w:pPr>
        <w:spacing w:line="360" w:lineRule="auto"/>
        <w:ind w:firstLine="420"/>
        <w:rPr>
          <w:rFonts w:ascii="Times New Roman" w:hAnsi="Times New Roman" w:eastAsia="宋体" w:cs="Times New Roman"/>
          <w:color w:val="C00000"/>
          <w:szCs w:val="21"/>
        </w:rPr>
      </w:pPr>
    </w:p>
    <w:p w14:paraId="3E46751F">
      <w:pPr>
        <w:spacing w:line="360" w:lineRule="auto"/>
        <w:ind w:firstLine="420"/>
        <w:rPr>
          <w:rFonts w:ascii="Times New Roman" w:hAnsi="Times New Roman" w:eastAsia="宋体" w:cs="Times New Roman"/>
          <w:color w:val="C00000"/>
          <w:szCs w:val="21"/>
        </w:rPr>
      </w:pPr>
    </w:p>
    <w:p w14:paraId="30E0D56B">
      <w:pPr>
        <w:spacing w:line="360" w:lineRule="auto"/>
        <w:ind w:firstLine="420"/>
        <w:rPr>
          <w:rFonts w:ascii="Times New Roman" w:hAnsi="Times New Roman" w:eastAsia="宋体" w:cs="Times New Roman"/>
          <w:color w:val="C00000"/>
          <w:szCs w:val="21"/>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-441960</wp:posOffset>
                </wp:positionV>
                <wp:extent cx="2733675" cy="19050"/>
                <wp:effectExtent l="0" t="0" r="28575" b="19050"/>
                <wp:wrapNone/>
                <wp:docPr id="5" name="直接连接符 5"/>
                <wp:cNvGraphicFramePr/>
                <a:graphic xmlns:a="http://schemas.openxmlformats.org/drawingml/2006/main">
                  <a:graphicData uri="http://schemas.microsoft.com/office/word/2010/wordprocessingShape">
                    <wps:wsp>
                      <wps:cNvCnPr/>
                      <wps:spPr>
                        <a:xfrm flipV="1">
                          <a:off x="0" y="0"/>
                          <a:ext cx="2733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75pt;margin-top:-34.8pt;height:1.5pt;width:215.25pt;z-index:251659264;mso-width-relative:page;mso-height-relative:page;" filled="f" stroked="t" coordsize="21600,21600" o:gfxdata="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b3I7toAAAALAQAADwAAAAAAAAABACAAAAAiAAAAZHJzL2Rvd25yZXYueG1s&#10;UEsBAhQAFAAAAAgAh07iQE7OSFL2AQAAvwMAAA4AAAAAAAAAAQAgAAAAKQEAAGRycy9lMm9Eb2Mu&#10;eG1sUEsFBgAAAAAGAAYAWQEAAJEFAAAAAA==&#10;">
                <v:fill on="f" focussize="0,0"/>
                <v:stroke weight="0.5pt" color="#5B9BD5 [3204]" miterlimit="8" joinstyle="miter"/>
                <v:imagedata o:title=""/>
                <o:lock v:ext="edit" aspectratio="f"/>
              </v:line>
            </w:pict>
          </mc:Fallback>
        </mc:AlternateConten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91D1">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8DA4">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14:paraId="003A0A65">
    <w:pPr>
      <w:pStyle w:val="6"/>
      <w:framePr w:wrap="around" w:vAnchor="text" w:hAnchor="margin" w:xAlign="right" w:y="1"/>
      <w:ind w:right="360" w:firstLine="360"/>
      <w:rPr>
        <w:rStyle w:val="12"/>
      </w:rPr>
    </w:pPr>
  </w:p>
  <w:p w14:paraId="011866E2">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8681">
    <w:pPr>
      <w:keepNext/>
      <w:jc w:val="right"/>
      <w:rPr>
        <w:b/>
        <w:bCs/>
      </w:rPr>
    </w:pPr>
    <w:r>
      <w:rPr>
        <w:rFonts w:hint="eastAsia"/>
        <w:b/>
        <w:bCs/>
      </w:rPr>
      <w:t>GB/T16866－XXXX</w:t>
    </w:r>
  </w:p>
  <w:p w14:paraId="4124DD9C">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1367">
    <w:pPr>
      <w:pStyle w:val="7"/>
    </w:pPr>
    <w:r>
      <w:ptab w:relativeTo="margin" w:alignment="center" w:leader="none"/>
    </w:r>
    <w:r>
      <w:ptab w:relativeTo="margin" w:alignment="right" w:leader="none"/>
    </w:r>
    <w:r>
      <w:t>GB/T 25954—20XX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65F3F"/>
    <w:multiLevelType w:val="multilevel"/>
    <w:tmpl w:val="5E465F3F"/>
    <w:lvl w:ilvl="0" w:tentative="0">
      <w:start w:val="1"/>
      <w:numFmt w:val="lowerLetter"/>
      <w:lvlText w:val="%1）"/>
      <w:lvlJc w:val="left"/>
      <w:pPr>
        <w:ind w:left="780" w:hanging="360"/>
      </w:pPr>
      <w:rPr>
        <w:rFonts w:hint="default" w:ascii="宋体" w:hAnsi="宋体" w:cs="Arial"/>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ZDRkZmU2ZmJiMzQ1MTRkNjFlMmE5NTMzN2E5ZjkifQ=="/>
    <w:docVar w:name="KSO_WPS_MARK_KEY" w:val="1a87ee8e-ee4e-4ef9-b4d7-7da9b6f1cd23"/>
  </w:docVars>
  <w:rsids>
    <w:rsidRoot w:val="00167335"/>
    <w:rsid w:val="00005F67"/>
    <w:rsid w:val="00006AB9"/>
    <w:rsid w:val="0001744D"/>
    <w:rsid w:val="0002411D"/>
    <w:rsid w:val="000857C3"/>
    <w:rsid w:val="00087551"/>
    <w:rsid w:val="000952FD"/>
    <w:rsid w:val="000B3990"/>
    <w:rsid w:val="000C0A5E"/>
    <w:rsid w:val="000C3D76"/>
    <w:rsid w:val="000D1497"/>
    <w:rsid w:val="000D4C9C"/>
    <w:rsid w:val="000F14CE"/>
    <w:rsid w:val="000F2789"/>
    <w:rsid w:val="000F5B42"/>
    <w:rsid w:val="00126D6C"/>
    <w:rsid w:val="001355DF"/>
    <w:rsid w:val="001422CF"/>
    <w:rsid w:val="0015377A"/>
    <w:rsid w:val="00157A54"/>
    <w:rsid w:val="00161F8D"/>
    <w:rsid w:val="00166479"/>
    <w:rsid w:val="00167335"/>
    <w:rsid w:val="00172932"/>
    <w:rsid w:val="001744B2"/>
    <w:rsid w:val="0019056E"/>
    <w:rsid w:val="001977F9"/>
    <w:rsid w:val="001A1A04"/>
    <w:rsid w:val="001A6D55"/>
    <w:rsid w:val="001B253F"/>
    <w:rsid w:val="001D0CC4"/>
    <w:rsid w:val="001D6AF9"/>
    <w:rsid w:val="001F5049"/>
    <w:rsid w:val="002068B2"/>
    <w:rsid w:val="00231099"/>
    <w:rsid w:val="002344F4"/>
    <w:rsid w:val="002537DE"/>
    <w:rsid w:val="00255C11"/>
    <w:rsid w:val="00263072"/>
    <w:rsid w:val="00281B1F"/>
    <w:rsid w:val="00287ACF"/>
    <w:rsid w:val="00287B23"/>
    <w:rsid w:val="002B2576"/>
    <w:rsid w:val="002D2428"/>
    <w:rsid w:val="002E0934"/>
    <w:rsid w:val="002E1B31"/>
    <w:rsid w:val="002F0FB5"/>
    <w:rsid w:val="002F1D48"/>
    <w:rsid w:val="002F7166"/>
    <w:rsid w:val="00305ABF"/>
    <w:rsid w:val="00321486"/>
    <w:rsid w:val="00331C2D"/>
    <w:rsid w:val="00374FCE"/>
    <w:rsid w:val="00383843"/>
    <w:rsid w:val="00391FCA"/>
    <w:rsid w:val="003A1D9A"/>
    <w:rsid w:val="003A5599"/>
    <w:rsid w:val="003B4221"/>
    <w:rsid w:val="003C0BD9"/>
    <w:rsid w:val="003C6669"/>
    <w:rsid w:val="003D008A"/>
    <w:rsid w:val="003E10E6"/>
    <w:rsid w:val="003E2CDD"/>
    <w:rsid w:val="003F4B07"/>
    <w:rsid w:val="003F7E89"/>
    <w:rsid w:val="004062E9"/>
    <w:rsid w:val="004076DA"/>
    <w:rsid w:val="004301A1"/>
    <w:rsid w:val="0043341E"/>
    <w:rsid w:val="00435FF6"/>
    <w:rsid w:val="00437AD3"/>
    <w:rsid w:val="00443B84"/>
    <w:rsid w:val="00445900"/>
    <w:rsid w:val="00446074"/>
    <w:rsid w:val="0045420F"/>
    <w:rsid w:val="00471ADB"/>
    <w:rsid w:val="00475626"/>
    <w:rsid w:val="00480756"/>
    <w:rsid w:val="00493B4C"/>
    <w:rsid w:val="004A5EE0"/>
    <w:rsid w:val="004D31AB"/>
    <w:rsid w:val="004E42BE"/>
    <w:rsid w:val="004E6C06"/>
    <w:rsid w:val="004E6E55"/>
    <w:rsid w:val="004F44A5"/>
    <w:rsid w:val="004F5DD8"/>
    <w:rsid w:val="00513D4B"/>
    <w:rsid w:val="0052379F"/>
    <w:rsid w:val="00526A42"/>
    <w:rsid w:val="00536B17"/>
    <w:rsid w:val="00540931"/>
    <w:rsid w:val="00547079"/>
    <w:rsid w:val="005703D3"/>
    <w:rsid w:val="00574BED"/>
    <w:rsid w:val="00577AE9"/>
    <w:rsid w:val="005916F4"/>
    <w:rsid w:val="005C45BA"/>
    <w:rsid w:val="005D43E8"/>
    <w:rsid w:val="005E3863"/>
    <w:rsid w:val="005F212E"/>
    <w:rsid w:val="0060381F"/>
    <w:rsid w:val="006244B5"/>
    <w:rsid w:val="00635EEC"/>
    <w:rsid w:val="0063695B"/>
    <w:rsid w:val="006472E2"/>
    <w:rsid w:val="00667820"/>
    <w:rsid w:val="00675E61"/>
    <w:rsid w:val="00681F80"/>
    <w:rsid w:val="006A766F"/>
    <w:rsid w:val="006C5F94"/>
    <w:rsid w:val="006E21E3"/>
    <w:rsid w:val="006E7750"/>
    <w:rsid w:val="006F51AD"/>
    <w:rsid w:val="00704C39"/>
    <w:rsid w:val="00706ECE"/>
    <w:rsid w:val="00711FF7"/>
    <w:rsid w:val="00725054"/>
    <w:rsid w:val="00730986"/>
    <w:rsid w:val="007325AB"/>
    <w:rsid w:val="00745B78"/>
    <w:rsid w:val="00745CFF"/>
    <w:rsid w:val="00746CEE"/>
    <w:rsid w:val="00752802"/>
    <w:rsid w:val="00755CF8"/>
    <w:rsid w:val="007757F1"/>
    <w:rsid w:val="007772BC"/>
    <w:rsid w:val="0078493C"/>
    <w:rsid w:val="00786C6A"/>
    <w:rsid w:val="007A3963"/>
    <w:rsid w:val="007B0A86"/>
    <w:rsid w:val="007B2D41"/>
    <w:rsid w:val="007C1EAB"/>
    <w:rsid w:val="007E0739"/>
    <w:rsid w:val="007F0E87"/>
    <w:rsid w:val="00803F4E"/>
    <w:rsid w:val="00816080"/>
    <w:rsid w:val="00830B6B"/>
    <w:rsid w:val="00831D85"/>
    <w:rsid w:val="00841170"/>
    <w:rsid w:val="00856CCF"/>
    <w:rsid w:val="00867623"/>
    <w:rsid w:val="008715A5"/>
    <w:rsid w:val="00872DE9"/>
    <w:rsid w:val="0087436D"/>
    <w:rsid w:val="00874F41"/>
    <w:rsid w:val="00896D23"/>
    <w:rsid w:val="008A1C26"/>
    <w:rsid w:val="008B2970"/>
    <w:rsid w:val="008B76ED"/>
    <w:rsid w:val="008C2107"/>
    <w:rsid w:val="008D54E5"/>
    <w:rsid w:val="008E423F"/>
    <w:rsid w:val="008E7DE8"/>
    <w:rsid w:val="008F292C"/>
    <w:rsid w:val="008F341E"/>
    <w:rsid w:val="008F6DEA"/>
    <w:rsid w:val="008F7A3F"/>
    <w:rsid w:val="00904F7E"/>
    <w:rsid w:val="00906661"/>
    <w:rsid w:val="00911942"/>
    <w:rsid w:val="00916047"/>
    <w:rsid w:val="009219D8"/>
    <w:rsid w:val="009352AA"/>
    <w:rsid w:val="00941012"/>
    <w:rsid w:val="0095098E"/>
    <w:rsid w:val="009823AD"/>
    <w:rsid w:val="00985CBD"/>
    <w:rsid w:val="009B42B1"/>
    <w:rsid w:val="009B7EFD"/>
    <w:rsid w:val="009C66AE"/>
    <w:rsid w:val="009E3CEA"/>
    <w:rsid w:val="00A0009A"/>
    <w:rsid w:val="00A14E17"/>
    <w:rsid w:val="00A15082"/>
    <w:rsid w:val="00A24291"/>
    <w:rsid w:val="00A31EC5"/>
    <w:rsid w:val="00A324D8"/>
    <w:rsid w:val="00A32E11"/>
    <w:rsid w:val="00A61D12"/>
    <w:rsid w:val="00A672F5"/>
    <w:rsid w:val="00A95CF9"/>
    <w:rsid w:val="00AA0BFA"/>
    <w:rsid w:val="00AA3D40"/>
    <w:rsid w:val="00AC114A"/>
    <w:rsid w:val="00AC5DAE"/>
    <w:rsid w:val="00AD60FD"/>
    <w:rsid w:val="00AE1425"/>
    <w:rsid w:val="00AE2BC1"/>
    <w:rsid w:val="00AE49E1"/>
    <w:rsid w:val="00B1624E"/>
    <w:rsid w:val="00B24EC5"/>
    <w:rsid w:val="00B30347"/>
    <w:rsid w:val="00B35D7A"/>
    <w:rsid w:val="00B54AE2"/>
    <w:rsid w:val="00B56468"/>
    <w:rsid w:val="00B96E78"/>
    <w:rsid w:val="00BA0446"/>
    <w:rsid w:val="00BA4B40"/>
    <w:rsid w:val="00BA69DA"/>
    <w:rsid w:val="00BC32FB"/>
    <w:rsid w:val="00BD7F01"/>
    <w:rsid w:val="00BE0341"/>
    <w:rsid w:val="00BF4057"/>
    <w:rsid w:val="00BF4D8F"/>
    <w:rsid w:val="00BF508B"/>
    <w:rsid w:val="00C00470"/>
    <w:rsid w:val="00C22996"/>
    <w:rsid w:val="00C349AF"/>
    <w:rsid w:val="00C51020"/>
    <w:rsid w:val="00C520D4"/>
    <w:rsid w:val="00C57CB5"/>
    <w:rsid w:val="00C82DF9"/>
    <w:rsid w:val="00C904BC"/>
    <w:rsid w:val="00C922B9"/>
    <w:rsid w:val="00C97588"/>
    <w:rsid w:val="00CA5AB6"/>
    <w:rsid w:val="00CB43DA"/>
    <w:rsid w:val="00CB55D0"/>
    <w:rsid w:val="00CC1B11"/>
    <w:rsid w:val="00CD2A6C"/>
    <w:rsid w:val="00CE09E1"/>
    <w:rsid w:val="00CE1B93"/>
    <w:rsid w:val="00CE2811"/>
    <w:rsid w:val="00D11609"/>
    <w:rsid w:val="00D1341E"/>
    <w:rsid w:val="00D514CF"/>
    <w:rsid w:val="00D62E69"/>
    <w:rsid w:val="00D70542"/>
    <w:rsid w:val="00D71351"/>
    <w:rsid w:val="00D872B1"/>
    <w:rsid w:val="00DA0E81"/>
    <w:rsid w:val="00DA282D"/>
    <w:rsid w:val="00DE6708"/>
    <w:rsid w:val="00DF673C"/>
    <w:rsid w:val="00E002FD"/>
    <w:rsid w:val="00E014E1"/>
    <w:rsid w:val="00E0189E"/>
    <w:rsid w:val="00E02A0B"/>
    <w:rsid w:val="00E05E22"/>
    <w:rsid w:val="00E126B4"/>
    <w:rsid w:val="00E12F56"/>
    <w:rsid w:val="00E20089"/>
    <w:rsid w:val="00E20BEB"/>
    <w:rsid w:val="00E244D4"/>
    <w:rsid w:val="00E45C2E"/>
    <w:rsid w:val="00E510EF"/>
    <w:rsid w:val="00E55F83"/>
    <w:rsid w:val="00E579A1"/>
    <w:rsid w:val="00E73CF7"/>
    <w:rsid w:val="00E75E22"/>
    <w:rsid w:val="00E92534"/>
    <w:rsid w:val="00E93966"/>
    <w:rsid w:val="00EB6882"/>
    <w:rsid w:val="00EC6165"/>
    <w:rsid w:val="00EC7834"/>
    <w:rsid w:val="00ED736F"/>
    <w:rsid w:val="00EE7853"/>
    <w:rsid w:val="00EF56D4"/>
    <w:rsid w:val="00F14EF7"/>
    <w:rsid w:val="00F32B58"/>
    <w:rsid w:val="00F4256B"/>
    <w:rsid w:val="00F500CC"/>
    <w:rsid w:val="00F54F75"/>
    <w:rsid w:val="00F6489A"/>
    <w:rsid w:val="00F64FFC"/>
    <w:rsid w:val="00F658D4"/>
    <w:rsid w:val="00F90959"/>
    <w:rsid w:val="00FA029B"/>
    <w:rsid w:val="00FA2F4A"/>
    <w:rsid w:val="00FB5AC3"/>
    <w:rsid w:val="00FB5BA3"/>
    <w:rsid w:val="00FB6BF1"/>
    <w:rsid w:val="00FC3921"/>
    <w:rsid w:val="00FD27AB"/>
    <w:rsid w:val="04195D6F"/>
    <w:rsid w:val="0FEF1303"/>
    <w:rsid w:val="14C746EF"/>
    <w:rsid w:val="23FC66E6"/>
    <w:rsid w:val="2F0B0A25"/>
    <w:rsid w:val="3ABF6272"/>
    <w:rsid w:val="43704253"/>
    <w:rsid w:val="43985DFC"/>
    <w:rsid w:val="43A527B9"/>
    <w:rsid w:val="49FA5FEB"/>
    <w:rsid w:val="4EC73C49"/>
    <w:rsid w:val="62B53760"/>
    <w:rsid w:val="62E65AEF"/>
    <w:rsid w:val="6612673F"/>
    <w:rsid w:val="6E1D02A4"/>
    <w:rsid w:val="6F1D0632"/>
    <w:rsid w:val="730D09BA"/>
    <w:rsid w:val="7DF3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6"/>
    <w:unhideWhenUsed/>
    <w:qFormat/>
    <w:uiPriority w:val="99"/>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rPr>
      <w:rFonts w:ascii="宋体" w:hAnsi="宋体"/>
      <w:caps/>
      <w:color w:val="0000FF"/>
      <w:sz w:val="18"/>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正文文本 Char"/>
    <w:basedOn w:val="11"/>
    <w:link w:val="3"/>
    <w:qFormat/>
    <w:uiPriority w:val="99"/>
  </w:style>
  <w:style w:type="character" w:customStyle="1" w:styleId="17">
    <w:name w:val="正文文本缩进 Char"/>
    <w:basedOn w:val="11"/>
    <w:link w:val="4"/>
    <w:semiHidden/>
    <w:qFormat/>
    <w:uiPriority w:val="99"/>
  </w:style>
  <w:style w:type="character" w:customStyle="1" w:styleId="18">
    <w:name w:val="Body text|4_"/>
    <w:basedOn w:val="11"/>
    <w:link w:val="19"/>
    <w:qFormat/>
    <w:uiPriority w:val="0"/>
    <w:rPr>
      <w:sz w:val="20"/>
      <w:szCs w:val="20"/>
    </w:rPr>
  </w:style>
  <w:style w:type="paragraph" w:customStyle="1" w:styleId="19">
    <w:name w:val="Body text|4"/>
    <w:basedOn w:val="1"/>
    <w:link w:val="18"/>
    <w:qFormat/>
    <w:uiPriority w:val="0"/>
    <w:pPr>
      <w:spacing w:after="30"/>
      <w:jc w:val="left"/>
    </w:pPr>
    <w:rPr>
      <w:sz w:val="20"/>
      <w:szCs w:val="20"/>
    </w:rPr>
  </w:style>
  <w:style w:type="character" w:customStyle="1" w:styleId="20">
    <w:name w:val="Body text|1_"/>
    <w:basedOn w:val="11"/>
    <w:link w:val="21"/>
    <w:qFormat/>
    <w:uiPriority w:val="0"/>
    <w:rPr>
      <w:rFonts w:ascii="宋体" w:hAnsi="宋体" w:eastAsia="宋体" w:cs="宋体"/>
      <w:sz w:val="18"/>
      <w:szCs w:val="18"/>
      <w:lang w:val="zh-TW" w:eastAsia="zh-TW" w:bidi="zh-TW"/>
    </w:rPr>
  </w:style>
  <w:style w:type="paragraph" w:customStyle="1" w:styleId="21">
    <w:name w:val="Body text|1"/>
    <w:basedOn w:val="1"/>
    <w:link w:val="20"/>
    <w:qFormat/>
    <w:uiPriority w:val="0"/>
    <w:pPr>
      <w:spacing w:line="360" w:lineRule="auto"/>
      <w:jc w:val="left"/>
    </w:pPr>
    <w:rPr>
      <w:rFonts w:ascii="宋体" w:hAnsi="宋体" w:eastAsia="宋体" w:cs="宋体"/>
      <w:sz w:val="18"/>
      <w:szCs w:val="18"/>
      <w:lang w:val="zh-TW" w:eastAsia="zh-TW" w:bidi="zh-TW"/>
    </w:rPr>
  </w:style>
  <w:style w:type="paragraph" w:styleId="22">
    <w:name w:val="List Paragraph"/>
    <w:basedOn w:val="1"/>
    <w:qFormat/>
    <w:uiPriority w:val="34"/>
    <w:pPr>
      <w:ind w:firstLine="420" w:firstLineChars="200"/>
    </w:pPr>
  </w:style>
  <w:style w:type="paragraph" w:customStyle="1" w:styleId="23">
    <w:name w:val="篇"/>
    <w:basedOn w:val="1"/>
    <w:next w:val="1"/>
    <w:qFormat/>
    <w:uiPriority w:val="0"/>
    <w:pPr>
      <w:jc w:val="center"/>
    </w:pPr>
    <w:rPr>
      <w:rFonts w:eastAsia="黑体"/>
    </w:rPr>
  </w:style>
  <w:style w:type="paragraph" w:customStyle="1" w:styleId="2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5">
    <w:name w:val="发布"/>
    <w:basedOn w:val="11"/>
    <w:qFormat/>
    <w:uiPriority w:val="0"/>
    <w:rPr>
      <w:rFonts w:ascii="黑体" w:eastAsia="黑体"/>
      <w:spacing w:val="22"/>
      <w:w w:val="100"/>
      <w:position w:val="3"/>
      <w:sz w:val="28"/>
    </w:rPr>
  </w:style>
  <w:style w:type="character" w:customStyle="1" w:styleId="26">
    <w:name w:val="批注框文本 Char"/>
    <w:basedOn w:val="11"/>
    <w:link w:val="5"/>
    <w:semiHidden/>
    <w:qFormat/>
    <w:uiPriority w:val="99"/>
    <w:rPr>
      <w:kern w:val="2"/>
      <w:sz w:val="18"/>
      <w:szCs w:val="18"/>
    </w:rPr>
  </w:style>
  <w:style w:type="character" w:customStyle="1" w:styleId="27">
    <w:name w:val="apple-converted-space"/>
    <w:basedOn w:val="11"/>
    <w:qFormat/>
    <w:uiPriority w:val="0"/>
  </w:style>
  <w:style w:type="character" w:customStyle="1" w:styleId="28">
    <w:name w:val="tran"/>
    <w:basedOn w:val="11"/>
    <w:qFormat/>
    <w:uiPriority w:val="0"/>
  </w:style>
  <w:style w:type="table" w:customStyle="1" w:styleId="29">
    <w:name w:val="网格型1"/>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4.bin"/><Relationship Id="rId12" Type="http://schemas.openxmlformats.org/officeDocument/2006/relationships/image" Target="media/image2.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C612B-D493-4CE4-A312-C889FEDDA55B}">
  <ds:schemaRefs/>
</ds:datastoreItem>
</file>

<file path=docProps/app.xml><?xml version="1.0" encoding="utf-8"?>
<Properties xmlns="http://schemas.openxmlformats.org/officeDocument/2006/extended-properties" xmlns:vt="http://schemas.openxmlformats.org/officeDocument/2006/docPropsVTypes">
  <Template>Normal.dotm</Template>
  <Company>JNMC</Company>
  <Pages>10</Pages>
  <Words>4798</Words>
  <Characters>5433</Characters>
  <Lines>39</Lines>
  <Paragraphs>11</Paragraphs>
  <TotalTime>22</TotalTime>
  <ScaleCrop>false</ScaleCrop>
  <LinksUpToDate>false</LinksUpToDate>
  <CharactersWithSpaces>5664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2024-01-22T03:37:00Z</dcterms:created>
  <dc:creator>魏琼</dc:creator>
  <cp:lastModifiedBy>浮生若梦</cp:lastModifiedBy>
  <dcterms:modified xsi:type="dcterms:W3CDTF">2024-10-08T06:07:14Z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7696331979CA4199AE530268F498B096</vt:lpwstr>
  </property>
</Properties>
</file>