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059094C">
      <w:pPr>
        <w:pStyle w:val="78"/>
        <w:rPr>
          <w:rFonts w:hint="eastAsia"/>
        </w:rPr>
      </w:pPr>
      <w:bookmarkStart w:id="0" w:name="SectionMark0"/>
      <w:r>
        <w:rPr>
          <w:rFonts w:hint="eastAsia"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8889365</wp:posOffset>
                </wp:positionV>
                <wp:extent cx="6121400" cy="0"/>
                <wp:effectExtent l="0" t="0" r="0" b="0"/>
                <wp:wrapSquare wrapText="bothSides"/>
                <wp:docPr id="1678597108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" o:spid="_x0000_s1026" o:spt="20" style="position:absolute;left:0pt;margin-left:0pt;margin-top:699.95pt;height:0pt;width:482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AZ47s1AAAAAoBAAAPAAAAAAAAAAEAIAAAACIAAABkcnMvZG93bnJldi54bWxQ&#10;SwECFAAUAAAACACHTuJA0iE93fsBAADxAwAADgAAAAAAAAABACAAAAAjAQAAZHJzL2Uyb0RvYy54&#10;bWxQSwUGAAAAAAYABgBZAQAAkAUAAAAA&#10;">
                <v:fill on="f" focussize="0,0"/>
                <v:stroke weight="1pt" color="#800008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363220"/>
                <wp:effectExtent l="0" t="0" r="0" b="0"/>
                <wp:wrapNone/>
                <wp:docPr id="1595319718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2347B73B">
                            <w:pPr>
                              <w:pStyle w:val="74"/>
                            </w:pPr>
                            <w:r>
                              <w:rPr>
                                <w:rFonts w:hint="eastAsia"/>
                              </w:rPr>
                              <w:t>中华人民共和国工业和信息化部</w:t>
                            </w:r>
                            <w:r>
                              <w:rPr>
                                <w:rStyle w:val="62"/>
                                <w:rFonts w:hint="eastAsia"/>
                              </w:rPr>
                              <w:t xml:space="preserve"> 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0pt;margin-top:717.2pt;height:28.6pt;width:481.9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VYG&#10;69gAAAAKAQAADwAAAAAAAAABACAAAAAiAAAAZHJzL2Rvd25yZXYueG1sUEsBAhQAFAAAAAgAh07i&#10;QESEoh7pAQAAxgMAAA4AAAAAAAAAAQAgAAAAJwEAAGRycy9lMm9Eb2MueG1sUEsFBgAAAAAGAAYA&#10;WQEAAIIFAAAAAA==&#10;">
                <v:fill on="t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 w14:paraId="2347B73B">
                      <w:pPr>
                        <w:pStyle w:val="74"/>
                      </w:pPr>
                      <w:r>
                        <w:rPr>
                          <w:rFonts w:hint="eastAsia"/>
                        </w:rPr>
                        <w:t>中华人民共和国工业和信息化部</w:t>
                      </w:r>
                      <w:r>
                        <w:rPr>
                          <w:rStyle w:val="62"/>
                          <w:rFonts w:hint="eastAsia"/>
                        </w:rPr>
                        <w:t xml:space="preserve"> 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0"/>
                <wp:wrapNone/>
                <wp:docPr id="101468626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4EDD441D">
                            <w:pPr>
                              <w:pStyle w:val="91"/>
                            </w:pPr>
                            <w:r>
                              <w:rPr>
                                <w:rFonts w:hint="eastAsia"/>
                              </w:rPr>
                              <w:t>20××-××-××实施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322.9pt;margin-top:674.3pt;height:24.6pt;width:159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v2q19oAAAANAQAADwAAAAAAAAABACAAAAAiAAAAZHJzL2Rvd25yZXYueG1sUEsBAhQAFAAAAAgA&#10;h07iQMO89mbqAQAAxgMAAA4AAAAAAAAAAQAgAAAAKQEAAGRycy9lMm9Eb2MueG1sUEsFBgAAAAAG&#10;AAYAWQEAAIUFAAAAAA==&#10;">
                <v:fill on="t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 w14:paraId="4EDD441D">
                      <w:pPr>
                        <w:pStyle w:val="91"/>
                      </w:pPr>
                      <w:r>
                        <w:rPr>
                          <w:rFonts w:hint="eastAsia"/>
                        </w:rPr>
                        <w:t>20××-××-××实施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0"/>
                <wp:wrapNone/>
                <wp:docPr id="1878214220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18C791B7">
                            <w:pPr>
                              <w:pStyle w:val="92"/>
                            </w:pPr>
                            <w:r>
                              <w:rPr>
                                <w:rFonts w:hint="eastAsia"/>
                              </w:rPr>
                              <w:t>20××-××-××发布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0pt;margin-top:674.3pt;height:24.6pt;width:159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zbKiNgA&#10;AAAKAQAADwAAAAAAAAABACAAAAAiAAAAZHJzL2Rvd25yZXYueG1sUEsBAhQAFAAAAAgAh07iQAMx&#10;PvPmAQAAxgMAAA4AAAAAAAAAAQAgAAAAJwEAAGRycy9lMm9Eb2MueG1sUEsFBgAAAAAGAAYAWQEA&#10;AH8FAAAAAA==&#10;">
                <v:fill on="t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 w14:paraId="18C791B7">
                      <w:pPr>
                        <w:pStyle w:val="92"/>
                      </w:pPr>
                      <w:r>
                        <w:rPr>
                          <w:rFonts w:hint="eastAsia"/>
                        </w:rPr>
                        <w:t>20××-××-××发布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47" w:name="_GoBack"/>
      <w:bookmarkEnd w:id="47"/>
      <w:r>
        <w:rPr>
          <w:rFonts w:hint="eastAsia"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0" r="0" b="0"/>
                <wp:wrapNone/>
                <wp:docPr id="184944291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13F9D4B2">
                            <w:pPr>
                              <w:pStyle w:val="136"/>
                              <w:ind w:left="720" w:firstLine="1560" w:firstLineChars="300"/>
                              <w:rPr>
                                <w:rFonts w:ascii="宋体" w:eastAsia="黑体"/>
                                <w:sz w:val="48"/>
                                <w:lang w:val="de-DE"/>
                              </w:rPr>
                            </w:pPr>
                            <w:r>
                              <w:rPr>
                                <w:rFonts w:hint="eastAsia" w:eastAsia="黑体"/>
                                <w:sz w:val="52"/>
                              </w:rPr>
                              <w:t>超细晶锡青铜带箔材</w:t>
                            </w:r>
                          </w:p>
                          <w:p w14:paraId="5BF50286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spacing w:after="100" w:line="93" w:lineRule="atLeast"/>
                              <w:ind w:left="0"/>
                            </w:pPr>
                          </w:p>
                          <w:p w14:paraId="5DF40566">
                            <w:pPr>
                              <w:pStyle w:val="7"/>
                              <w:rPr>
                                <w:rFonts w:hint="eastAsia" w:ascii="黑体" w:hAnsi="黑体" w:eastAsia="黑体" w:cs="黑体"/>
                                <w:lang w:bidi="ar"/>
                                <w:rPrChange w:id="0" w:author="韩知为" w:date="2024-10-21T13:22:56Z">
                                  <w:rPr>
                                    <w:lang w:bidi="ar"/>
                                  </w:rPr>
                                </w:rPrChange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24"/>
                                <w:shd w:val="clear" w:color="auto" w:fill="FFFFFF"/>
                                <w:lang w:bidi="ar"/>
                                <w:rPrChange w:id="1" w:author="韩知为" w:date="2024-10-21T13:22:56Z">
                                  <w:rPr>
                                    <w:rFonts w:hint="eastAsia" w:ascii="Roboto" w:hAnsi="Roboto" w:eastAsia="Roboto" w:cs="Roboto"/>
                                    <w:color w:val="000000"/>
                                    <w:kern w:val="0"/>
                                    <w:sz w:val="24"/>
                                    <w:shd w:val="clear" w:color="auto" w:fill="FFFFFF"/>
                                    <w:lang w:bidi="ar"/>
                                  </w:rPr>
                                </w:rPrChange>
                              </w:rPr>
                              <w:t>Super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24"/>
                                <w:shd w:val="clear" w:color="auto" w:fill="FFFFFF"/>
                                <w:lang w:bidi="ar"/>
                                <w:rPrChange w:id="2" w:author="韩知为" w:date="2024-10-21T13:22:56Z">
                                  <w:rPr>
                                    <w:rFonts w:hint="eastAsia" w:ascii="Roboto" w:hAnsi="Roboto" w:cs="Roboto" w:eastAsiaTheme="minorEastAsia"/>
                                    <w:color w:val="000000"/>
                                    <w:kern w:val="0"/>
                                    <w:sz w:val="24"/>
                                    <w:shd w:val="clear" w:color="auto" w:fill="FFFFFF"/>
                                    <w:lang w:bidi="ar"/>
                                  </w:rPr>
                                </w:rPrChange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24"/>
                                <w:shd w:val="clear" w:color="auto" w:fill="FFFFFF"/>
                                <w:lang w:bidi="ar"/>
                                <w:rPrChange w:id="3" w:author="韩知为" w:date="2024-10-21T13:22:56Z">
                                  <w:rPr>
                                    <w:rFonts w:hint="eastAsia" w:ascii="Roboto" w:hAnsi="Roboto" w:eastAsia="Roboto" w:cs="Roboto"/>
                                    <w:color w:val="000000"/>
                                    <w:kern w:val="0"/>
                                    <w:sz w:val="24"/>
                                    <w:shd w:val="clear" w:color="auto" w:fill="FFFFFF"/>
                                    <w:lang w:bidi="ar"/>
                                  </w:rPr>
                                </w:rPrChange>
                              </w:rPr>
                              <w:t>fine grain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24"/>
                                <w:shd w:val="clear" w:color="auto" w:fill="FFFFFF"/>
                                <w:lang w:bidi="ar"/>
                                <w:rPrChange w:id="4" w:author="韩知为" w:date="2024-10-21T13:22:56Z">
                                  <w:rPr>
                                    <w:rFonts w:ascii="Roboto" w:hAnsi="Roboto" w:eastAsia="Roboto" w:cs="Roboto"/>
                                    <w:color w:val="000000"/>
                                    <w:kern w:val="0"/>
                                    <w:sz w:val="24"/>
                                    <w:shd w:val="clear" w:color="auto" w:fill="FFFFFF"/>
                                    <w:lang w:bidi="ar"/>
                                  </w:rPr>
                                </w:rPrChange>
                              </w:rPr>
                              <w:t xml:space="preserve"> ceruminous copper strip and foil</w:t>
                            </w:r>
                          </w:p>
                          <w:p w14:paraId="77A3CBE1">
                            <w:pPr>
                              <w:pStyle w:val="7"/>
                              <w:jc w:val="both"/>
                              <w:rPr>
                                <w:lang w:bidi="ar"/>
                              </w:rPr>
                            </w:pPr>
                          </w:p>
                          <w:p w14:paraId="234266BD">
                            <w:pPr>
                              <w:widowControl/>
                              <w:numPr>
                                <w:ilvl w:val="255"/>
                                <w:numId w:val="0"/>
                              </w:numPr>
                              <w:spacing w:after="100" w:line="93" w:lineRule="atLeast"/>
                              <w:ind w:left="-360"/>
                            </w:pPr>
                          </w:p>
                          <w:p w14:paraId="456C2D7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218E8AC"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（讨论稿）</w:t>
                            </w:r>
                          </w:p>
                          <w:p w14:paraId="70A30265">
                            <w:pPr>
                              <w:pStyle w:val="119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0pt;margin-top:286.25pt;height:368.6pt;width:470pt;mso-position-horizontal-relative:margin;mso-position-vertical-relative:margin;z-index:251665408;mso-width-relative:page;mso-height-relative:page;" fillcolor="#FFFFFF" filled="t" stroked="f" coordsize="21600,21600" o:gfxdata="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U&#10;V59x2AAAAAkBAAAPAAAAAAAAAAEAIAAAACIAAABkcnMvZG93bnJldi54bWxQSwECFAAUAAAACACH&#10;TuJAzUaaIOsBAADGAwAADgAAAAAAAAABACAAAAAnAQAAZHJzL2Uyb0RvYy54bWxQSwUGAAAAAAYA&#10;BgBZAQAAhAUAAAAA&#10;">
                <v:fill on="t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 w14:paraId="13F9D4B2">
                      <w:pPr>
                        <w:pStyle w:val="136"/>
                        <w:ind w:left="720" w:firstLine="1560" w:firstLineChars="300"/>
                        <w:rPr>
                          <w:rFonts w:ascii="宋体" w:eastAsia="黑体"/>
                          <w:sz w:val="48"/>
                          <w:lang w:val="de-DE"/>
                        </w:rPr>
                      </w:pPr>
                      <w:r>
                        <w:rPr>
                          <w:rFonts w:hint="eastAsia" w:eastAsia="黑体"/>
                          <w:sz w:val="52"/>
                        </w:rPr>
                        <w:t>超细晶锡青铜带箔材</w:t>
                      </w:r>
                    </w:p>
                    <w:p w14:paraId="5BF50286">
                      <w:pPr>
                        <w:widowControl/>
                        <w:numPr>
                          <w:ilvl w:val="0"/>
                          <w:numId w:val="13"/>
                        </w:numPr>
                        <w:spacing w:after="100" w:line="93" w:lineRule="atLeast"/>
                        <w:ind w:left="0"/>
                      </w:pPr>
                    </w:p>
                    <w:p w14:paraId="5DF40566">
                      <w:pPr>
                        <w:pStyle w:val="7"/>
                        <w:rPr>
                          <w:rFonts w:hint="eastAsia" w:ascii="黑体" w:hAnsi="黑体" w:eastAsia="黑体" w:cs="黑体"/>
                          <w:lang w:bidi="ar"/>
                          <w:rPrChange w:id="5" w:author="韩知为" w:date="2024-10-21T13:22:56Z">
                            <w:rPr>
                              <w:lang w:bidi="ar"/>
                            </w:rPr>
                          </w:rPrChange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/>
                          <w:kern w:val="0"/>
                          <w:sz w:val="24"/>
                          <w:shd w:val="clear" w:color="auto" w:fill="FFFFFF"/>
                          <w:lang w:bidi="ar"/>
                          <w:rPrChange w:id="6" w:author="韩知为" w:date="2024-10-21T13:22:56Z">
                            <w:rPr>
                              <w:rFonts w:hint="eastAsia" w:ascii="Roboto" w:hAnsi="Roboto" w:eastAsia="Roboto" w:cs="Roboto"/>
                              <w:color w:val="000000"/>
                              <w:kern w:val="0"/>
                              <w:sz w:val="24"/>
                              <w:shd w:val="clear" w:color="auto" w:fill="FFFFFF"/>
                              <w:lang w:bidi="ar"/>
                            </w:rPr>
                          </w:rPrChange>
                        </w:rPr>
                        <w:t>Super</w:t>
                      </w:r>
                      <w:r>
                        <w:rPr>
                          <w:rFonts w:hint="eastAsia" w:ascii="黑体" w:hAnsi="黑体" w:eastAsia="黑体" w:cs="黑体"/>
                          <w:color w:val="000000"/>
                          <w:kern w:val="0"/>
                          <w:sz w:val="24"/>
                          <w:shd w:val="clear" w:color="auto" w:fill="FFFFFF"/>
                          <w:lang w:bidi="ar"/>
                          <w:rPrChange w:id="7" w:author="韩知为" w:date="2024-10-21T13:22:56Z">
                            <w:rPr>
                              <w:rFonts w:hint="eastAsia" w:ascii="Roboto" w:hAnsi="Roboto" w:cs="Roboto" w:eastAsiaTheme="minorEastAsia"/>
                              <w:color w:val="000000"/>
                              <w:kern w:val="0"/>
                              <w:sz w:val="24"/>
                              <w:shd w:val="clear" w:color="auto" w:fill="FFFFFF"/>
                              <w:lang w:bidi="ar"/>
                            </w:rPr>
                          </w:rPrChange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color w:val="000000"/>
                          <w:kern w:val="0"/>
                          <w:sz w:val="24"/>
                          <w:shd w:val="clear" w:color="auto" w:fill="FFFFFF"/>
                          <w:lang w:bidi="ar"/>
                          <w:rPrChange w:id="8" w:author="韩知为" w:date="2024-10-21T13:22:56Z">
                            <w:rPr>
                              <w:rFonts w:hint="eastAsia" w:ascii="Roboto" w:hAnsi="Roboto" w:eastAsia="Roboto" w:cs="Roboto"/>
                              <w:color w:val="000000"/>
                              <w:kern w:val="0"/>
                              <w:sz w:val="24"/>
                              <w:shd w:val="clear" w:color="auto" w:fill="FFFFFF"/>
                              <w:lang w:bidi="ar"/>
                            </w:rPr>
                          </w:rPrChange>
                        </w:rPr>
                        <w:t>fine grain</w:t>
                      </w:r>
                      <w:r>
                        <w:rPr>
                          <w:rFonts w:hint="eastAsia" w:ascii="黑体" w:hAnsi="黑体" w:eastAsia="黑体" w:cs="黑体"/>
                          <w:color w:val="000000"/>
                          <w:kern w:val="0"/>
                          <w:sz w:val="24"/>
                          <w:shd w:val="clear" w:color="auto" w:fill="FFFFFF"/>
                          <w:lang w:bidi="ar"/>
                          <w:rPrChange w:id="9" w:author="韩知为" w:date="2024-10-21T13:22:56Z">
                            <w:rPr>
                              <w:rFonts w:ascii="Roboto" w:hAnsi="Roboto" w:eastAsia="Roboto" w:cs="Roboto"/>
                              <w:color w:val="000000"/>
                              <w:kern w:val="0"/>
                              <w:sz w:val="24"/>
                              <w:shd w:val="clear" w:color="auto" w:fill="FFFFFF"/>
                              <w:lang w:bidi="ar"/>
                            </w:rPr>
                          </w:rPrChange>
                        </w:rPr>
                        <w:t xml:space="preserve"> ceruminous copper strip and foil</w:t>
                      </w:r>
                    </w:p>
                    <w:p w14:paraId="77A3CBE1">
                      <w:pPr>
                        <w:pStyle w:val="7"/>
                        <w:jc w:val="both"/>
                        <w:rPr>
                          <w:lang w:bidi="ar"/>
                        </w:rPr>
                      </w:pPr>
                    </w:p>
                    <w:p w14:paraId="234266BD">
                      <w:pPr>
                        <w:widowControl/>
                        <w:numPr>
                          <w:ilvl w:val="255"/>
                          <w:numId w:val="0"/>
                        </w:numPr>
                        <w:spacing w:after="100" w:line="93" w:lineRule="atLeast"/>
                        <w:ind w:left="-360"/>
                      </w:pPr>
                    </w:p>
                    <w:p w14:paraId="456C2D7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218E8AC"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（讨论稿）</w:t>
                      </w:r>
                    </w:p>
                    <w:p w14:paraId="70A30265">
                      <w:pPr>
                        <w:pStyle w:val="119"/>
                        <w:rPr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margin">
                  <wp:posOffset>2549525</wp:posOffset>
                </wp:positionH>
                <wp:positionV relativeFrom="margin">
                  <wp:posOffset>107315</wp:posOffset>
                </wp:positionV>
                <wp:extent cx="3175000" cy="720090"/>
                <wp:effectExtent l="0" t="0" r="0" b="0"/>
                <wp:wrapNone/>
                <wp:docPr id="63463485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33CF91B1">
                            <w:pPr>
                              <w:pStyle w:val="108"/>
                            </w:pPr>
                            <w:r>
                              <w:rPr>
                                <w:rFonts w:hint="eastAsia"/>
                              </w:rPr>
                              <w:t>YS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00.75pt;margin-top:8.45pt;height:56.7pt;width:250pt;mso-position-horizontal-relative:margin;mso-position-vertical-relative:margin;z-index:251666432;mso-width-relative:page;mso-height-relative:page;" fillcolor="#FFFFFF" filled="t" stroked="f" coordsize="21600,21600" o:gfxdata="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Vk7&#10;PNgAAAAKAQAADwAAAAAAAAABACAAAAAiAAAAZHJzL2Rvd25yZXYueG1sUEsBAhQAFAAAAAgAh07i&#10;QNKS3GvpAQAAxAMAAA4AAAAAAAAAAQAgAAAAJwEAAGRycy9lMm9Eb2MueG1sUEsFBgAAAAAGAAYA&#10;WQEAAIIFAAAAAA==&#10;">
                <v:fill on="t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 w14:paraId="33CF91B1">
                      <w:pPr>
                        <w:pStyle w:val="108"/>
                      </w:pPr>
                      <w:r>
                        <w:rPr>
                          <w:rFonts w:hint="eastAsia"/>
                        </w:rPr>
                        <w:t>YS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0"/>
                <wp:wrapNone/>
                <wp:docPr id="169012220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72CD077B">
                            <w:pPr>
                              <w:pStyle w:val="10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中华人民共和国有色金属行业标准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0pt;margin-top:79.6pt;height:30.8pt;width:481.9pt;mso-position-horizontal-relative:margin;mso-position-vertical-relative:margin;z-index:251667456;mso-width-relative:page;mso-height-relative:page;" fillcolor="#FFFFFF" filled="t" stroked="f" coordsize="21600,21600" o:gfxdata="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GDkcF&#10;1wAAAAgBAAAPAAAAAAAAAAEAIAAAACIAAABkcnMvZG93bnJldi54bWxQSwECFAAUAAAACACHTuJA&#10;uxw85OkBAADFAwAADgAAAAAAAAABACAAAAAmAQAAZHJzL2Uyb0RvYy54bWxQSwUGAAAAAAYABgBZ&#10;AQAAgQUAAAAA&#10;">
                <v:fill on="t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 w14:paraId="72CD077B">
                      <w:pPr>
                        <w:pStyle w:val="10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中华人民共和国有色金属行业标准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>ICS 77.150.30</w:t>
      </w:r>
    </w:p>
    <w:p w14:paraId="74D1C1EA">
      <w:pPr>
        <w:pStyle w:val="78"/>
        <w:rPr>
          <w:rFonts w:hint="eastAsia"/>
        </w:rPr>
      </w:pPr>
      <w:r>
        <w:rPr>
          <w:rFonts w:hint="eastAsia"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1808480</wp:posOffset>
                </wp:positionV>
                <wp:extent cx="6121400" cy="0"/>
                <wp:effectExtent l="0" t="0" r="0" b="0"/>
                <wp:wrapSquare wrapText="bothSides"/>
                <wp:docPr id="2034316398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top:142.4pt;height:0pt;width:482pt;mso-position-horizontal:right;mso-position-horizontal-relative:margin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RQvjy1AAAAAgBAAAPAAAAAAAAAAEAIAAAACIAAABkcnMvZG93bnJldi54bWxQ&#10;SwECFAAUAAAACACHTuJA7HJ2m/sBAADwAwAADgAAAAAAAAABACAAAAAjAQAAZHJzL2Uyb0RvYy54&#10;bWxQSwUGAAAAAAYABgBZAQAAkAUAAAAA&#10;">
                <v:fill on="f" focussize="0,0"/>
                <v:stroke weight="1pt" color="#800008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1136015</wp:posOffset>
                </wp:positionV>
                <wp:extent cx="2444115" cy="487680"/>
                <wp:effectExtent l="0" t="0" r="0" b="0"/>
                <wp:wrapSquare wrapText="bothSides"/>
                <wp:docPr id="48044084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4F86C1C">
                            <w:pPr>
                              <w:jc w:val="center"/>
                              <w:rPr>
                                <w:kern w:val="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8"/>
                                <w:szCs w:val="20"/>
                              </w:rPr>
                              <w:t>YS/T XXXX-XXXX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" o:spid="_x0000_s1026" o:spt="202" type="#_x0000_t202" style="position:absolute;left:0pt;margin-top:89.45pt;height:38.4pt;width:192.45pt;mso-position-horizontal:right;mso-position-horizontal-relative:margin;mso-wrap-distance-bottom:3.6pt;mso-wrap-distance-left:9pt;mso-wrap-distance-right:9pt;mso-wrap-distance-top:3.6pt;z-index:251669504;mso-width-relative:margin;mso-height-relative:margin;mso-width-percent:400;mso-height-percent:200;" fillcolor="#FFFFFF" filled="t" stroked="f" coordsize="21600,21600" o:gfxdata="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akYmF2QAAAAgBAAAPAAAAAAAAAAEAIAAAACIA&#10;AABkcnMvZG93bnJldi54bWxQSwECFAAUAAAACACHTuJAzKCGzUECAABaBAAADgAAAAAAAAABACAA&#10;AAAoAQAAZHJzL2Uyb0RvYy54bWxQSwUGAAAAAAYABgBZAQAA2w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44F86C1C">
                      <w:pPr>
                        <w:jc w:val="center"/>
                        <w:rPr>
                          <w:kern w:val="0"/>
                          <w:sz w:val="28"/>
                          <w:szCs w:val="20"/>
                        </w:rPr>
                      </w:pPr>
                      <w:r>
                        <w:rPr>
                          <w:rFonts w:hint="eastAsia"/>
                          <w:kern w:val="0"/>
                          <w:sz w:val="28"/>
                          <w:szCs w:val="20"/>
                        </w:rPr>
                        <w:t>YS/T XXXX-XXXX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CCS H62</w:t>
      </w:r>
    </w:p>
    <w:p w14:paraId="1B50B170">
      <w:pPr>
        <w:pStyle w:val="78"/>
        <w:rPr>
          <w:rFonts w:hint="eastAsia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7" w:h="16839"/>
          <w:pgMar w:top="567" w:right="851" w:bottom="1361" w:left="1418" w:header="0" w:footer="0" w:gutter="0"/>
          <w:pgNumType w:fmt="upperRoman" w:start="1"/>
          <w:cols w:space="720" w:num="1"/>
          <w:titlePg/>
          <w:docGrid w:type="lines" w:linePitch="312" w:charSpace="0"/>
        </w:sectPr>
      </w:pPr>
      <w:r>
        <w:rPr>
          <w:rFonts w:hint="eastAsia"/>
        </w:rPr>
        <w:t xml:space="preserve"> </w:t>
      </w:r>
      <w:r>
        <w:t xml:space="preserve"> </w:t>
      </w:r>
    </w:p>
    <w:bookmarkEnd w:id="0"/>
    <w:p w14:paraId="72F51AFC">
      <w:pPr>
        <w:pStyle w:val="73"/>
        <w:spacing w:line="360" w:lineRule="auto"/>
        <w:contextualSpacing/>
        <w:rPr>
          <w:rFonts w:ascii="Times New Roman"/>
        </w:rPr>
      </w:pPr>
      <w:r>
        <w:rPr>
          <w:rFonts w:hint="eastAsia" w:ascii="Times New Roman"/>
        </w:rPr>
        <w:t>前</w:t>
      </w:r>
      <w:r>
        <w:rPr>
          <w:rFonts w:ascii="Times New Roman"/>
        </w:rPr>
        <w:t xml:space="preserve">   </w:t>
      </w:r>
      <w:r>
        <w:rPr>
          <w:rFonts w:hint="eastAsia" w:ascii="Times New Roman"/>
        </w:rPr>
        <w:t>言</w:t>
      </w:r>
    </w:p>
    <w:p w14:paraId="40191F59">
      <w:pPr>
        <w:spacing w:line="240" w:lineRule="atLeast"/>
        <w:ind w:firstLine="420"/>
        <w:contextualSpacing/>
        <w:rPr>
          <w:szCs w:val="21"/>
        </w:rPr>
      </w:pPr>
      <w:r>
        <w:rPr>
          <w:rFonts w:hint="eastAsia"/>
          <w:szCs w:val="21"/>
        </w:rPr>
        <w:t>本文件按照</w:t>
      </w:r>
      <w:r>
        <w:rPr>
          <w:szCs w:val="21"/>
        </w:rPr>
        <w:t>GB/T 1.1-2020</w:t>
      </w:r>
      <w:r>
        <w:rPr>
          <w:rFonts w:hint="eastAsia"/>
          <w:szCs w:val="21"/>
        </w:rPr>
        <w:t>《标准化工作导则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第</w:t>
      </w:r>
      <w:r>
        <w:rPr>
          <w:szCs w:val="21"/>
        </w:rPr>
        <w:t>1</w:t>
      </w:r>
      <w:r>
        <w:rPr>
          <w:rFonts w:hint="eastAsia"/>
          <w:szCs w:val="21"/>
        </w:rPr>
        <w:t>部分：标准化文件的结构和起草规则》的规定起草。</w:t>
      </w:r>
    </w:p>
    <w:p w14:paraId="1ED45F18">
      <w:pPr>
        <w:spacing w:line="240" w:lineRule="atLeast"/>
        <w:ind w:firstLine="420"/>
        <w:contextualSpacing/>
        <w:rPr>
          <w:szCs w:val="21"/>
        </w:rPr>
      </w:pPr>
      <w:r>
        <w:rPr>
          <w:rFonts w:hint="eastAsia"/>
          <w:szCs w:val="21"/>
        </w:rPr>
        <w:t>请注意本文件的某些内容可能涉及专利。本文件的发布机构不承担识别专利的责任。</w:t>
      </w:r>
    </w:p>
    <w:p w14:paraId="5450D351">
      <w:pPr>
        <w:spacing w:line="240" w:lineRule="atLeast"/>
        <w:ind w:firstLine="420" w:firstLineChars="200"/>
        <w:contextualSpacing/>
      </w:pPr>
      <w:r>
        <w:rPr>
          <w:rFonts w:hint="eastAsia"/>
        </w:rPr>
        <w:t>本文件由全国有色金属标准化技术委员会</w:t>
      </w:r>
      <w:r>
        <w:rPr>
          <w:rFonts w:hint="eastAsia"/>
          <w:szCs w:val="21"/>
        </w:rPr>
        <w:t>（</w:t>
      </w:r>
      <w:r>
        <w:rPr>
          <w:szCs w:val="21"/>
        </w:rPr>
        <w:t>SAC/TC 243</w:t>
      </w:r>
      <w:r>
        <w:rPr>
          <w:rFonts w:hint="eastAsia"/>
          <w:szCs w:val="21"/>
        </w:rPr>
        <w:t>）</w:t>
      </w:r>
      <w:r>
        <w:rPr>
          <w:rFonts w:hint="eastAsia"/>
        </w:rPr>
        <w:t>提出并归口。</w:t>
      </w:r>
    </w:p>
    <w:p w14:paraId="3BC79BB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240" w:lineRule="atLeast"/>
        <w:ind w:firstLine="420" w:firstLineChars="200"/>
        <w:contextualSpacing/>
        <w:rPr>
          <w:kern w:val="0"/>
          <w:szCs w:val="20"/>
        </w:rPr>
      </w:pPr>
      <w:r>
        <w:rPr>
          <w:rFonts w:hint="eastAsia"/>
          <w:kern w:val="0"/>
          <w:szCs w:val="20"/>
        </w:rPr>
        <w:t>本文件起草单位：</w:t>
      </w:r>
    </w:p>
    <w:p w14:paraId="560810E3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240" w:lineRule="atLeast"/>
        <w:ind w:firstLine="420" w:firstLineChars="200"/>
        <w:contextualSpacing/>
        <w:rPr>
          <w:kern w:val="0"/>
          <w:szCs w:val="21"/>
          <w:lang w:bidi="ar"/>
        </w:rPr>
      </w:pPr>
      <w:r>
        <w:rPr>
          <w:rFonts w:hint="eastAsia"/>
          <w:kern w:val="0"/>
          <w:szCs w:val="20"/>
        </w:rPr>
        <w:t>本文件主要起草人：</w:t>
      </w:r>
    </w:p>
    <w:p w14:paraId="1578D9E4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240" w:lineRule="atLeast"/>
        <w:ind w:firstLine="420" w:firstLineChars="200"/>
        <w:contextualSpacing/>
        <w:rPr>
          <w:szCs w:val="21"/>
        </w:rPr>
      </w:pPr>
    </w:p>
    <w:p w14:paraId="584BBE18">
      <w:pPr>
        <w:spacing w:line="360" w:lineRule="auto"/>
        <w:ind w:firstLine="420" w:firstLineChars="200"/>
        <w:contextualSpacing/>
        <w:rPr>
          <w:szCs w:val="21"/>
        </w:rPr>
      </w:pPr>
    </w:p>
    <w:p w14:paraId="6CC87662">
      <w:pPr>
        <w:spacing w:line="360" w:lineRule="auto"/>
        <w:ind w:firstLine="420" w:firstLineChars="200"/>
        <w:contextualSpacing/>
        <w:rPr>
          <w:szCs w:val="21"/>
        </w:rPr>
      </w:pPr>
    </w:p>
    <w:p w14:paraId="61727B5F">
      <w:pPr>
        <w:spacing w:line="360" w:lineRule="auto"/>
        <w:ind w:firstLine="420" w:firstLineChars="200"/>
        <w:contextualSpacing/>
        <w:rPr>
          <w:szCs w:val="21"/>
        </w:rPr>
      </w:pPr>
    </w:p>
    <w:p w14:paraId="7FF3C965">
      <w:pPr>
        <w:spacing w:line="360" w:lineRule="auto"/>
        <w:contextualSpacing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65599B">
      <w:pPr>
        <w:spacing w:line="360" w:lineRule="auto"/>
        <w:ind w:firstLine="420" w:firstLineChars="200"/>
        <w:contextualSpacing/>
        <w:rPr>
          <w:szCs w:val="21"/>
        </w:rPr>
        <w:sectPr>
          <w:footerReference r:id="rId7" w:type="default"/>
          <w:footerReference r:id="rId8" w:type="even"/>
          <w:pgSz w:w="11906" w:h="16838"/>
          <w:pgMar w:top="1440" w:right="1417" w:bottom="1440" w:left="1417" w:header="851" w:footer="992" w:gutter="0"/>
          <w:pgNumType w:fmt="upperRoman" w:start="1"/>
          <w:cols w:space="720" w:num="1"/>
          <w:docGrid w:type="lines" w:linePitch="312" w:charSpace="0"/>
        </w:sectPr>
      </w:pPr>
    </w:p>
    <w:p w14:paraId="7F249DA2">
      <w:pPr>
        <w:spacing w:line="360" w:lineRule="auto"/>
        <w:contextualSpacing/>
        <w:jc w:val="center"/>
        <w:rPr>
          <w:rFonts w:hint="eastAsia" w:ascii="黑体" w:hAnsi="黑体" w:eastAsia="黑体"/>
          <w:sz w:val="32"/>
          <w:szCs w:val="32"/>
        </w:rPr>
      </w:pPr>
      <w:bookmarkStart w:id="1" w:name="_Toc430680185"/>
      <w:bookmarkStart w:id="2" w:name="_Toc431105881"/>
      <w:r>
        <w:rPr>
          <w:rFonts w:hint="eastAsia" w:ascii="黑体" w:hAnsi="黑体" w:eastAsia="黑体"/>
          <w:sz w:val="32"/>
          <w:szCs w:val="32"/>
        </w:rPr>
        <w:t>超细晶锡青铜带箔材</w:t>
      </w:r>
    </w:p>
    <w:p w14:paraId="3AC04B42"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hint="eastAsia" w:ascii="黑体" w:hAnsi="黑体" w:eastAsia="黑体" w:cs="黑体"/>
          <w:caps/>
          <w:szCs w:val="21"/>
        </w:rPr>
      </w:pPr>
      <w:r>
        <w:rPr>
          <w:rFonts w:ascii="黑体" w:hAnsi="黑体" w:eastAsia="黑体" w:cs="黑体"/>
          <w:caps/>
          <w:szCs w:val="21"/>
        </w:rPr>
        <w:t>1</w:t>
      </w:r>
      <w:r>
        <w:rPr>
          <w:rFonts w:hint="eastAsia" w:ascii="黑体" w:hAnsi="黑体" w:eastAsia="黑体" w:cs="黑体"/>
          <w:caps/>
          <w:szCs w:val="21"/>
        </w:rPr>
        <w:t>范围</w:t>
      </w:r>
      <w:bookmarkEnd w:id="1"/>
      <w:bookmarkEnd w:id="2"/>
    </w:p>
    <w:p w14:paraId="7E14031B">
      <w:pPr>
        <w:pStyle w:val="24"/>
        <w:ind w:firstLine="420" w:firstLineChars="200"/>
        <w:contextualSpacing/>
        <w:rPr>
          <w:rFonts w:ascii="Times New Roman" w:hAnsi="Times New Roman" w:cs="Times New Roman" w:eastAsiaTheme="minorEastAsia"/>
          <w:color w:val="000000"/>
        </w:rPr>
      </w:pPr>
      <w:r>
        <w:rPr>
          <w:rFonts w:hint="eastAsia" w:ascii="Times New Roman" w:hAnsi="Times New Roman" w:cs="Times New Roman"/>
        </w:rPr>
        <w:t>本文件</w:t>
      </w:r>
      <w:r>
        <w:rPr>
          <w:rFonts w:hint="eastAsia" w:ascii="Times New Roman" w:hAnsi="Times New Roman" w:cs="Times New Roman" w:eastAsiaTheme="minorEastAsia"/>
          <w:kern w:val="0"/>
          <w:lang w:bidi="ar"/>
        </w:rPr>
        <w:t>规</w:t>
      </w:r>
      <w:r>
        <w:rPr>
          <w:rFonts w:hint="eastAsia" w:ascii="Times New Roman" w:hAnsi="Times New Roman" w:cs="Times New Roman" w:eastAsiaTheme="minorEastAsia"/>
        </w:rPr>
        <w:t>定了</w:t>
      </w:r>
      <w:bookmarkStart w:id="3" w:name="OLE_LINK9"/>
      <w:r>
        <w:rPr>
          <w:rFonts w:hint="eastAsia" w:hAnsi="Calibri"/>
          <w:szCs w:val="22"/>
        </w:rPr>
        <w:t>超细晶锡青铜带箔材（</w:t>
      </w:r>
      <w:r>
        <w:rPr>
          <w:rFonts w:hint="eastAsia" w:ascii="Times New Roman" w:hAnsi="Times New Roman" w:cs="Times New Roman" w:eastAsiaTheme="minorEastAsia"/>
        </w:rPr>
        <w:t>以下简称带箔材）的</w:t>
      </w:r>
      <w:r>
        <w:rPr>
          <w:rFonts w:hint="eastAsia" w:ascii="Times New Roman" w:hAnsi="Times New Roman" w:cs="Times New Roman" w:eastAsiaTheme="minorEastAsia"/>
          <w:color w:val="000000"/>
        </w:rPr>
        <w:t>分类和标记、技术</w:t>
      </w:r>
      <w:r>
        <w:rPr>
          <w:rFonts w:ascii="Times New Roman" w:hAnsi="Times New Roman" w:cs="Times New Roman" w:eastAsiaTheme="minorEastAsia"/>
          <w:color w:val="000000"/>
        </w:rPr>
        <w:t>要求、试验方法、检验规则</w:t>
      </w:r>
      <w:r>
        <w:rPr>
          <w:rFonts w:hint="eastAsia" w:ascii="Times New Roman" w:hAnsi="Times New Roman" w:cs="Times New Roman" w:eastAsiaTheme="minorEastAsia"/>
          <w:color w:val="000000"/>
        </w:rPr>
        <w:t>、</w:t>
      </w:r>
      <w:r>
        <w:rPr>
          <w:rFonts w:ascii="Times New Roman" w:hAnsi="Times New Roman" w:cs="Times New Roman" w:eastAsiaTheme="minorEastAsia"/>
          <w:color w:val="000000"/>
        </w:rPr>
        <w:t>标志、包装、运输、贮存、随行文件</w:t>
      </w:r>
      <w:r>
        <w:rPr>
          <w:rFonts w:hint="eastAsia" w:ascii="Times New Roman" w:hAnsi="Times New Roman" w:cs="Times New Roman" w:eastAsiaTheme="minorEastAsia"/>
          <w:color w:val="000000"/>
        </w:rPr>
        <w:t>及</w:t>
      </w:r>
      <w:r>
        <w:rPr>
          <w:rFonts w:ascii="Times New Roman" w:hAnsi="Times New Roman" w:cs="Times New Roman" w:eastAsiaTheme="minorEastAsia"/>
          <w:color w:val="000000"/>
        </w:rPr>
        <w:t>订货单内容。</w:t>
      </w:r>
      <w:bookmarkEnd w:id="3"/>
    </w:p>
    <w:p w14:paraId="60C824BC">
      <w:pPr>
        <w:pStyle w:val="24"/>
        <w:ind w:firstLine="420" w:firstLineChars="200"/>
        <w:contextualSpacing/>
      </w:pPr>
      <w:r>
        <w:rPr>
          <w:rFonts w:hint="eastAsia" w:ascii="Times New Roman" w:hAnsi="Times New Roman" w:cs="Times New Roman" w:eastAsiaTheme="minorEastAsia"/>
        </w:rPr>
        <w:t>本文件适用于</w:t>
      </w:r>
      <w:r>
        <w:rPr>
          <w:rFonts w:hint="eastAsia" w:hAnsi="Calibri"/>
          <w:szCs w:val="22"/>
        </w:rPr>
        <w:t>制造</w:t>
      </w:r>
      <w:r>
        <w:rPr>
          <w:rFonts w:hint="eastAsia"/>
        </w:rPr>
        <w:t>连接器、</w:t>
      </w:r>
      <w:r>
        <w:rPr>
          <w:rFonts w:hint="eastAsia" w:hAnsi="Calibri"/>
          <w:szCs w:val="22"/>
        </w:rPr>
        <w:t>开关、继电器等行业用超细晶锡青铜带箔材(以下简称带箔材）</w:t>
      </w:r>
      <w:r>
        <w:rPr>
          <w:rFonts w:hint="eastAsia" w:ascii="Times New Roman" w:hAnsi="Times New Roman" w:cs="Times New Roman" w:eastAsiaTheme="minorEastAsia"/>
        </w:rPr>
        <w:t>。</w:t>
      </w:r>
    </w:p>
    <w:p w14:paraId="793618EF"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hint="eastAsia" w:ascii="黑体" w:hAnsi="黑体" w:eastAsia="黑体" w:cs="黑体"/>
          <w:caps/>
          <w:szCs w:val="21"/>
        </w:rPr>
      </w:pPr>
      <w:bookmarkStart w:id="4" w:name="_Toc431105882"/>
      <w:bookmarkStart w:id="5" w:name="_Toc430680186"/>
      <w:r>
        <w:rPr>
          <w:rFonts w:ascii="黑体" w:hAnsi="黑体" w:eastAsia="黑体" w:cs="黑体"/>
          <w:caps/>
          <w:szCs w:val="21"/>
        </w:rPr>
        <w:t>2</w:t>
      </w:r>
      <w:r>
        <w:rPr>
          <w:rFonts w:hint="eastAsia" w:ascii="黑体" w:hAnsi="黑体" w:eastAsia="黑体" w:cs="黑体"/>
          <w:caps/>
          <w:szCs w:val="21"/>
        </w:rPr>
        <w:t>规范性引用</w:t>
      </w:r>
      <w:bookmarkEnd w:id="4"/>
      <w:bookmarkEnd w:id="5"/>
      <w:r>
        <w:rPr>
          <w:rFonts w:hint="eastAsia" w:ascii="黑体" w:hAnsi="黑体" w:eastAsia="黑体" w:cs="黑体"/>
          <w:caps/>
          <w:szCs w:val="21"/>
        </w:rPr>
        <w:t>文件</w:t>
      </w:r>
    </w:p>
    <w:p w14:paraId="2B678475">
      <w:pPr>
        <w:ind w:firstLine="420" w:firstLineChars="200"/>
        <w:contextualSpacing/>
        <w:rPr>
          <w:color w:val="000000"/>
        </w:rPr>
      </w:pPr>
      <w:r>
        <w:rPr>
          <w:color w:val="000000"/>
        </w:rPr>
        <w:t>下列文件</w:t>
      </w:r>
      <w:r>
        <w:rPr>
          <w:rFonts w:hint="eastAsia"/>
          <w:color w:val="000000"/>
        </w:rPr>
        <w:t>中的内容通过文中的规范性引用而构成本文件必不可少的条款</w:t>
      </w:r>
      <w:r>
        <w:rPr>
          <w:color w:val="000000"/>
        </w:rPr>
        <w:t>。</w:t>
      </w:r>
      <w:r>
        <w:rPr>
          <w:rFonts w:hint="eastAsia"/>
          <w:color w:val="000000"/>
        </w:rPr>
        <w:t>其中，</w:t>
      </w:r>
      <w:r>
        <w:rPr>
          <w:color w:val="000000"/>
        </w:rPr>
        <w:t>注日期的引用文件，仅</w:t>
      </w:r>
      <w:r>
        <w:rPr>
          <w:rFonts w:hint="eastAsia"/>
          <w:color w:val="000000"/>
        </w:rPr>
        <w:t>该</w:t>
      </w:r>
      <w:r>
        <w:rPr>
          <w:color w:val="000000"/>
        </w:rPr>
        <w:t>日期</w:t>
      </w:r>
      <w:r>
        <w:rPr>
          <w:rFonts w:hint="eastAsia"/>
          <w:color w:val="000000"/>
        </w:rPr>
        <w:t>对应</w:t>
      </w:r>
      <w:r>
        <w:rPr>
          <w:color w:val="000000"/>
        </w:rPr>
        <w:t>的版本适用于本文件</w:t>
      </w:r>
      <w:r>
        <w:rPr>
          <w:rFonts w:hint="eastAsia"/>
          <w:color w:val="000000"/>
        </w:rPr>
        <w:t>；</w:t>
      </w:r>
      <w:r>
        <w:rPr>
          <w:color w:val="000000"/>
        </w:rPr>
        <w:t>不注日期的引用文件，其最新版本（包括所有的修改单）适用于本文件。</w:t>
      </w:r>
    </w:p>
    <w:p w14:paraId="30BC2555">
      <w:pPr>
        <w:autoSpaceDE w:val="0"/>
        <w:autoSpaceDN w:val="0"/>
        <w:adjustRightInd w:val="0"/>
        <w:ind w:firstLine="420" w:firstLineChars="200"/>
        <w:contextualSpacing/>
        <w:jc w:val="left"/>
        <w:rPr>
          <w:kern w:val="0"/>
          <w:szCs w:val="46"/>
        </w:rPr>
      </w:pPr>
      <w:bookmarkStart w:id="6" w:name="_Hlk152585554"/>
      <w:r>
        <w:rPr>
          <w:rFonts w:hint="eastAsia"/>
          <w:kern w:val="0"/>
          <w:szCs w:val="46"/>
        </w:rPr>
        <w:t>GB/T 351  金属材料电阻系数测量方法</w:t>
      </w:r>
    </w:p>
    <w:p w14:paraId="3CF104A5">
      <w:pPr>
        <w:autoSpaceDE w:val="0"/>
        <w:autoSpaceDN w:val="0"/>
        <w:adjustRightInd w:val="0"/>
        <w:ind w:firstLine="420" w:firstLineChars="200"/>
        <w:contextualSpacing/>
        <w:jc w:val="left"/>
        <w:rPr>
          <w:kern w:val="0"/>
          <w:szCs w:val="46"/>
        </w:rPr>
      </w:pPr>
      <w:r>
        <w:rPr>
          <w:rFonts w:hint="eastAsia"/>
          <w:kern w:val="0"/>
          <w:szCs w:val="46"/>
        </w:rPr>
        <w:t>GB/T 4340.1  金属材料 维氏硬度试验 第1部分：试验方法</w:t>
      </w:r>
    </w:p>
    <w:p w14:paraId="054C14D2">
      <w:pPr>
        <w:autoSpaceDE w:val="0"/>
        <w:autoSpaceDN w:val="0"/>
        <w:adjustRightInd w:val="0"/>
        <w:ind w:firstLine="420" w:firstLineChars="200"/>
        <w:contextualSpacing/>
        <w:jc w:val="left"/>
        <w:rPr>
          <w:kern w:val="0"/>
          <w:szCs w:val="46"/>
        </w:rPr>
      </w:pPr>
      <w:r>
        <w:rPr>
          <w:rFonts w:hint="eastAsia"/>
          <w:kern w:val="0"/>
          <w:szCs w:val="46"/>
        </w:rPr>
        <w:t>GB/T 5121  （所有部分） 铜及铜合金化学分析方法</w:t>
      </w:r>
    </w:p>
    <w:p w14:paraId="52C77ED3">
      <w:pPr>
        <w:autoSpaceDE w:val="0"/>
        <w:autoSpaceDN w:val="0"/>
        <w:adjustRightInd w:val="0"/>
        <w:ind w:firstLine="420" w:firstLineChars="200"/>
        <w:contextualSpacing/>
        <w:jc w:val="left"/>
        <w:rPr>
          <w:kern w:val="0"/>
          <w:szCs w:val="46"/>
        </w:rPr>
      </w:pPr>
      <w:r>
        <w:rPr>
          <w:rFonts w:hint="eastAsia"/>
          <w:kern w:val="0"/>
          <w:szCs w:val="46"/>
        </w:rPr>
        <w:t>GB/T 5231  加工铜及铜合金牌号和化学成分</w:t>
      </w:r>
    </w:p>
    <w:p w14:paraId="4A5949E1">
      <w:pPr>
        <w:autoSpaceDE w:val="0"/>
        <w:autoSpaceDN w:val="0"/>
        <w:adjustRightInd w:val="0"/>
        <w:ind w:firstLine="420" w:firstLineChars="200"/>
        <w:contextualSpacing/>
        <w:jc w:val="left"/>
        <w:rPr>
          <w:kern w:val="0"/>
          <w:szCs w:val="46"/>
        </w:rPr>
      </w:pPr>
      <w:r>
        <w:rPr>
          <w:rFonts w:hint="eastAsia"/>
          <w:kern w:val="0"/>
          <w:szCs w:val="46"/>
        </w:rPr>
        <w:t>GB/T 8170  数值修约规则与极限数值的表示和判定</w:t>
      </w:r>
    </w:p>
    <w:p w14:paraId="5E7425C9">
      <w:pPr>
        <w:autoSpaceDE w:val="0"/>
        <w:autoSpaceDN w:val="0"/>
        <w:adjustRightInd w:val="0"/>
        <w:ind w:firstLine="420" w:firstLineChars="200"/>
        <w:contextualSpacing/>
        <w:jc w:val="left"/>
        <w:rPr>
          <w:kern w:val="0"/>
          <w:szCs w:val="46"/>
        </w:rPr>
      </w:pPr>
      <w:r>
        <w:rPr>
          <w:rFonts w:hint="eastAsia"/>
          <w:kern w:val="0"/>
          <w:szCs w:val="46"/>
        </w:rPr>
        <w:t>GB/T 8888  重有色金属加工产品的包装、标志、运输、贮存和质量证明书</w:t>
      </w:r>
    </w:p>
    <w:p w14:paraId="61E782E1">
      <w:pPr>
        <w:autoSpaceDE w:val="0"/>
        <w:autoSpaceDN w:val="0"/>
        <w:adjustRightInd w:val="0"/>
        <w:ind w:firstLine="420" w:firstLineChars="200"/>
        <w:contextualSpacing/>
        <w:jc w:val="left"/>
        <w:rPr>
          <w:kern w:val="0"/>
          <w:szCs w:val="46"/>
        </w:rPr>
      </w:pPr>
      <w:r>
        <w:rPr>
          <w:rFonts w:hint="eastAsia"/>
          <w:kern w:val="0"/>
          <w:szCs w:val="46"/>
        </w:rPr>
        <w:t>GB/T 26303.3  铜及铜合金加工材外形尺寸检测方法 第3部分：板带材</w:t>
      </w:r>
    </w:p>
    <w:p w14:paraId="0994E5A8">
      <w:pPr>
        <w:autoSpaceDE w:val="0"/>
        <w:autoSpaceDN w:val="0"/>
        <w:adjustRightInd w:val="0"/>
        <w:ind w:firstLine="420" w:firstLineChars="200"/>
        <w:contextualSpacing/>
        <w:jc w:val="left"/>
        <w:rPr>
          <w:kern w:val="0"/>
          <w:szCs w:val="46"/>
        </w:rPr>
      </w:pPr>
      <w:r>
        <w:rPr>
          <w:rFonts w:hint="eastAsia"/>
          <w:kern w:val="0"/>
          <w:szCs w:val="46"/>
        </w:rPr>
        <w:t xml:space="preserve">GB/T 32791  </w:t>
      </w:r>
      <w:bookmarkStart w:id="7" w:name="_Hlk179964896"/>
      <w:r>
        <w:rPr>
          <w:rFonts w:hint="eastAsia"/>
          <w:kern w:val="0"/>
          <w:szCs w:val="46"/>
        </w:rPr>
        <w:t>铜及铜合金导电率涡流测试方法</w:t>
      </w:r>
      <w:bookmarkEnd w:id="7"/>
    </w:p>
    <w:p w14:paraId="303B116F">
      <w:pPr>
        <w:autoSpaceDE w:val="0"/>
        <w:autoSpaceDN w:val="0"/>
        <w:adjustRightInd w:val="0"/>
        <w:ind w:firstLine="420" w:firstLineChars="200"/>
        <w:contextualSpacing/>
        <w:jc w:val="left"/>
        <w:rPr>
          <w:kern w:val="0"/>
          <w:szCs w:val="46"/>
        </w:rPr>
      </w:pPr>
      <w:r>
        <w:rPr>
          <w:rFonts w:hint="eastAsia"/>
          <w:kern w:val="0"/>
          <w:szCs w:val="46"/>
        </w:rPr>
        <w:t>GB/T 34505  铜及铜合金材料 室温拉伸试验方法</w:t>
      </w:r>
    </w:p>
    <w:p w14:paraId="65189A07">
      <w:pPr>
        <w:autoSpaceDE w:val="0"/>
        <w:autoSpaceDN w:val="0"/>
        <w:adjustRightInd w:val="0"/>
        <w:ind w:firstLine="420" w:firstLineChars="200"/>
        <w:contextualSpacing/>
        <w:jc w:val="left"/>
        <w:rPr>
          <w:kern w:val="0"/>
          <w:szCs w:val="46"/>
        </w:rPr>
      </w:pPr>
      <w:r>
        <w:rPr>
          <w:rFonts w:hint="eastAsia"/>
          <w:kern w:val="0"/>
          <w:szCs w:val="46"/>
        </w:rPr>
        <w:t>YS/T 347  铜及铜合金 平均晶粒度测定方法</w:t>
      </w:r>
    </w:p>
    <w:p w14:paraId="6E095DF8">
      <w:pPr>
        <w:autoSpaceDE w:val="0"/>
        <w:autoSpaceDN w:val="0"/>
        <w:adjustRightInd w:val="0"/>
        <w:ind w:firstLine="420" w:firstLineChars="200"/>
        <w:contextualSpacing/>
        <w:jc w:val="left"/>
        <w:rPr>
          <w:kern w:val="0"/>
          <w:szCs w:val="46"/>
        </w:rPr>
      </w:pPr>
      <w:r>
        <w:rPr>
          <w:rFonts w:hint="eastAsia"/>
          <w:kern w:val="0"/>
          <w:szCs w:val="46"/>
        </w:rPr>
        <w:t>YS/T 482  铜及铜合金分析方法 光电发射光谱法</w:t>
      </w:r>
    </w:p>
    <w:p w14:paraId="5FAEFB5B">
      <w:pPr>
        <w:autoSpaceDE w:val="0"/>
        <w:autoSpaceDN w:val="0"/>
        <w:adjustRightInd w:val="0"/>
        <w:ind w:firstLine="420" w:firstLineChars="200"/>
        <w:contextualSpacing/>
        <w:jc w:val="left"/>
        <w:rPr>
          <w:kern w:val="0"/>
          <w:szCs w:val="46"/>
        </w:rPr>
      </w:pPr>
      <w:r>
        <w:rPr>
          <w:rFonts w:hint="eastAsia"/>
          <w:kern w:val="0"/>
          <w:szCs w:val="46"/>
        </w:rPr>
        <w:t>YS/T 483  铜及铜合金分析方法 X射线荧光光谱法(波长色散型)</w:t>
      </w:r>
    </w:p>
    <w:p w14:paraId="5F381089">
      <w:pPr>
        <w:autoSpaceDE w:val="0"/>
        <w:autoSpaceDN w:val="0"/>
        <w:adjustRightInd w:val="0"/>
        <w:ind w:firstLine="420" w:firstLineChars="200"/>
        <w:contextualSpacing/>
        <w:jc w:val="left"/>
        <w:rPr>
          <w:kern w:val="0"/>
          <w:szCs w:val="46"/>
        </w:rPr>
      </w:pPr>
      <w:r>
        <w:rPr>
          <w:rFonts w:hint="eastAsia"/>
          <w:kern w:val="0"/>
          <w:szCs w:val="46"/>
        </w:rPr>
        <w:t>YS/T 668  铜及铜合金理化检测取样方法</w:t>
      </w:r>
    </w:p>
    <w:p w14:paraId="5990362F">
      <w:pPr>
        <w:autoSpaceDE w:val="0"/>
        <w:autoSpaceDN w:val="0"/>
        <w:adjustRightInd w:val="0"/>
        <w:ind w:firstLine="420" w:firstLineChars="200"/>
        <w:contextualSpacing/>
        <w:jc w:val="left"/>
        <w:rPr>
          <w:kern w:val="0"/>
          <w:szCs w:val="46"/>
        </w:rPr>
      </w:pPr>
      <w:r>
        <w:rPr>
          <w:rFonts w:hint="eastAsia"/>
          <w:kern w:val="0"/>
          <w:szCs w:val="46"/>
        </w:rPr>
        <w:t xml:space="preserve">YS/T xxxx </w:t>
      </w:r>
      <w:bookmarkStart w:id="8" w:name="_Hlk179964065"/>
      <w:r>
        <w:rPr>
          <w:rFonts w:hint="eastAsia"/>
          <w:kern w:val="0"/>
          <w:szCs w:val="46"/>
        </w:rPr>
        <w:t>铜及铜合金带箔材弯曲试验方法</w:t>
      </w:r>
      <w:bookmarkEnd w:id="8"/>
    </w:p>
    <w:bookmarkEnd w:id="6"/>
    <w:p w14:paraId="17B785A9"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hint="eastAsia" w:ascii="黑体" w:hAnsi="黑体" w:eastAsia="黑体" w:cs="黑体"/>
          <w:caps/>
          <w:szCs w:val="21"/>
        </w:rPr>
      </w:pPr>
      <w:r>
        <w:rPr>
          <w:rFonts w:ascii="黑体" w:hAnsi="黑体" w:eastAsia="黑体" w:cs="黑体"/>
          <w:caps/>
          <w:szCs w:val="21"/>
        </w:rPr>
        <w:t>3</w:t>
      </w:r>
      <w:r>
        <w:rPr>
          <w:rFonts w:hint="eastAsia" w:ascii="黑体" w:hAnsi="黑体" w:eastAsia="黑体" w:cs="黑体"/>
          <w:caps/>
          <w:szCs w:val="21"/>
        </w:rPr>
        <w:t>术语和定义</w:t>
      </w:r>
    </w:p>
    <w:p w14:paraId="027C92A2">
      <w:pPr>
        <w:spacing w:line="360" w:lineRule="auto"/>
        <w:ind w:firstLine="420"/>
        <w:contextualSpacing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3.1</w:t>
      </w:r>
    </w:p>
    <w:p w14:paraId="0025D9E5">
      <w:pPr>
        <w:spacing w:line="360" w:lineRule="auto"/>
        <w:ind w:firstLine="420"/>
        <w:contextualSpacing/>
        <w:rPr>
          <w:szCs w:val="22"/>
        </w:rPr>
      </w:pPr>
      <w:r>
        <w:rPr>
          <w:rFonts w:hint="eastAsia" w:ascii="黑体" w:hAnsi="黑体" w:eastAsia="黑体"/>
          <w:color w:val="000000"/>
        </w:rPr>
        <w:t>超细晶 Super</w:t>
      </w:r>
      <w:r>
        <w:rPr>
          <w:rFonts w:hint="eastAsia"/>
          <w:szCs w:val="22"/>
        </w:rPr>
        <w:t xml:space="preserve"> fine</w:t>
      </w:r>
      <w:r>
        <w:rPr>
          <w:rFonts w:hint="eastAsia"/>
          <w:szCs w:val="22"/>
          <w:lang w:val="de-DE"/>
        </w:rPr>
        <w:t xml:space="preserve"> </w:t>
      </w:r>
      <w:r>
        <w:rPr>
          <w:rFonts w:hint="eastAsia"/>
          <w:szCs w:val="22"/>
        </w:rPr>
        <w:t>grain</w:t>
      </w:r>
    </w:p>
    <w:p w14:paraId="62A098ED"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ind w:firstLine="420" w:firstLineChars="200"/>
        <w:jc w:val="left"/>
        <w:textAlignment w:val="baseline"/>
        <w:rPr>
          <w:rFonts w:hAnsi="Calibri"/>
          <w:szCs w:val="22"/>
        </w:rPr>
      </w:pPr>
      <w:r>
        <w:rPr>
          <w:rFonts w:hint="eastAsia" w:hAnsi="Calibri"/>
          <w:szCs w:val="22"/>
        </w:rPr>
        <w:t>铜及铜合金在完全退火状态下，平均晶粒大小在</w:t>
      </w:r>
      <w:r>
        <w:rPr>
          <w:rFonts w:ascii="Times New Roman"/>
          <w:szCs w:val="22"/>
        </w:rPr>
        <w:t>0.00</w:t>
      </w:r>
      <w:r>
        <w:rPr>
          <w:rFonts w:ascii="Times New Roman"/>
          <w:szCs w:val="21"/>
        </w:rPr>
        <w:t>1mm</w:t>
      </w:r>
      <w:r>
        <w:rPr>
          <w:rFonts w:ascii="Times New Roman" w:eastAsiaTheme="minorEastAsia"/>
          <w:sz w:val="18"/>
          <w:szCs w:val="18"/>
        </w:rPr>
        <w:t>～</w:t>
      </w:r>
      <w:r>
        <w:rPr>
          <w:rFonts w:ascii="Times New Roman"/>
          <w:szCs w:val="22"/>
        </w:rPr>
        <w:t>0.003</w:t>
      </w:r>
      <w:r>
        <w:rPr>
          <w:rFonts w:ascii="Times New Roman"/>
          <w:szCs w:val="21"/>
        </w:rPr>
        <w:t>mm</w:t>
      </w:r>
      <w:r>
        <w:rPr>
          <w:rFonts w:hint="eastAsia" w:hAnsi="Calibri"/>
          <w:szCs w:val="22"/>
        </w:rPr>
        <w:t>之间（简称SG）。</w:t>
      </w:r>
    </w:p>
    <w:p w14:paraId="775E12D3"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hint="eastAsia" w:ascii="黑体" w:hAnsi="黑体" w:eastAsia="黑体" w:cs="黑体"/>
          <w:caps/>
          <w:szCs w:val="21"/>
        </w:rPr>
      </w:pPr>
      <w:r>
        <w:rPr>
          <w:rFonts w:ascii="黑体" w:hAnsi="黑体" w:eastAsia="黑体" w:cs="黑体"/>
          <w:caps/>
          <w:szCs w:val="21"/>
        </w:rPr>
        <w:t>4</w:t>
      </w:r>
      <w:r>
        <w:rPr>
          <w:rFonts w:hint="eastAsia" w:ascii="黑体" w:hAnsi="黑体" w:eastAsia="黑体" w:cs="黑体"/>
          <w:caps/>
          <w:szCs w:val="21"/>
        </w:rPr>
        <w:t>分类和标记</w:t>
      </w:r>
    </w:p>
    <w:p w14:paraId="6F0510E0"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hint="eastAsia" w:ascii="黑体" w:hAnsi="黑体" w:eastAsia="黑体" w:cs="黑体"/>
          <w:caps/>
          <w:szCs w:val="21"/>
        </w:rPr>
      </w:pPr>
      <w:r>
        <w:rPr>
          <w:rFonts w:ascii="黑体" w:hAnsi="黑体" w:eastAsia="黑体" w:cs="黑体"/>
          <w:caps/>
          <w:szCs w:val="21"/>
        </w:rPr>
        <w:t>4.1</w:t>
      </w:r>
      <w:r>
        <w:rPr>
          <w:rFonts w:hint="eastAsia" w:ascii="黑体" w:hAnsi="黑体" w:eastAsia="黑体" w:cs="黑体"/>
          <w:caps/>
          <w:szCs w:val="21"/>
        </w:rPr>
        <w:t>产品分类</w:t>
      </w:r>
    </w:p>
    <w:p w14:paraId="306554B1">
      <w:pPr>
        <w:pStyle w:val="66"/>
        <w:ind w:firstLine="420" w:firstLineChars="200"/>
        <w:jc w:val="left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带箔</w:t>
      </w:r>
      <w:r>
        <w:rPr>
          <w:rFonts w:eastAsia="宋体"/>
          <w:sz w:val="21"/>
          <w:szCs w:val="21"/>
        </w:rPr>
        <w:t>材的牌号、</w:t>
      </w:r>
      <w:r>
        <w:rPr>
          <w:rFonts w:hint="eastAsia" w:eastAsia="宋体"/>
          <w:sz w:val="21"/>
          <w:szCs w:val="21"/>
        </w:rPr>
        <w:t>代号、</w:t>
      </w:r>
      <w:r>
        <w:rPr>
          <w:rFonts w:eastAsia="宋体"/>
          <w:sz w:val="21"/>
          <w:szCs w:val="21"/>
        </w:rPr>
        <w:t>状态、规格应符合表1的规定。</w:t>
      </w:r>
    </w:p>
    <w:p w14:paraId="3A6ED2C2">
      <w:pPr>
        <w:pStyle w:val="111"/>
        <w:numPr>
          <w:ilvl w:val="0"/>
          <w:numId w:val="0"/>
        </w:numPr>
        <w:contextualSpacing/>
        <w:rPr>
          <w:rFonts w:ascii="Times New Roman"/>
        </w:rPr>
      </w:pPr>
      <w:r>
        <w:rPr>
          <w:rFonts w:hint="eastAsia" w:ascii="Times New Roman"/>
        </w:rPr>
        <w:t>表</w:t>
      </w:r>
      <w:r>
        <w:rPr>
          <w:rFonts w:ascii="Times New Roman"/>
        </w:rPr>
        <w:t xml:space="preserve">1 </w:t>
      </w:r>
      <w:r>
        <w:rPr>
          <w:rFonts w:hint="eastAsia" w:ascii="Times New Roman"/>
        </w:rPr>
        <w:t>带箔材的牌号、代号、状态、规格</w:t>
      </w:r>
    </w:p>
    <w:tbl>
      <w:tblPr>
        <w:tblStyle w:val="37"/>
        <w:tblW w:w="94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21"/>
        <w:gridCol w:w="3118"/>
        <w:gridCol w:w="1560"/>
        <w:gridCol w:w="1624"/>
      </w:tblGrid>
      <w:tr w14:paraId="69662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3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07019A6">
            <w:pPr>
              <w:pStyle w:val="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牌号</w:t>
            </w:r>
          </w:p>
        </w:tc>
        <w:tc>
          <w:tcPr>
            <w:tcW w:w="1521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794C09B">
            <w:pPr>
              <w:pStyle w:val="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代号</w:t>
            </w:r>
          </w:p>
        </w:tc>
        <w:tc>
          <w:tcPr>
            <w:tcW w:w="3118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0ADE935">
            <w:pPr>
              <w:pStyle w:val="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状态</w:t>
            </w:r>
          </w:p>
        </w:tc>
        <w:tc>
          <w:tcPr>
            <w:tcW w:w="318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DD7EFCB">
            <w:pPr>
              <w:pStyle w:val="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规格</w:t>
            </w:r>
          </w:p>
          <w:p w14:paraId="459467FD">
            <w:pPr>
              <w:pStyle w:val="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mm</w:t>
            </w:r>
          </w:p>
        </w:tc>
      </w:tr>
      <w:tr w14:paraId="367F4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593" w:type="dxa"/>
            <w:vMerge w:val="continue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0E9F6E99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1562A30D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118" w:type="dxa"/>
            <w:vMerge w:val="continue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0415D76F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54F66928">
            <w:pPr>
              <w:pStyle w:val="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厚度</w:t>
            </w:r>
          </w:p>
        </w:tc>
        <w:tc>
          <w:tcPr>
            <w:tcW w:w="1624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0C2D0757">
            <w:pPr>
              <w:pStyle w:val="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宽度</w:t>
            </w:r>
          </w:p>
        </w:tc>
      </w:tr>
      <w:tr w14:paraId="090CA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93" w:type="dxa"/>
            <w:tcBorders>
              <w:top w:val="single" w:color="auto" w:sz="12" w:space="0"/>
            </w:tcBorders>
            <w:vAlign w:val="center"/>
          </w:tcPr>
          <w:p w14:paraId="38F3116D">
            <w:pPr>
              <w:pStyle w:val="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QSn4-0.3</w:t>
            </w:r>
          </w:p>
        </w:tc>
        <w:tc>
          <w:tcPr>
            <w:tcW w:w="1521" w:type="dxa"/>
            <w:tcBorders>
              <w:top w:val="single" w:color="auto" w:sz="12" w:space="0"/>
            </w:tcBorders>
            <w:vAlign w:val="center"/>
          </w:tcPr>
          <w:p w14:paraId="1FC70C83">
            <w:pPr>
              <w:pStyle w:val="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C51100</w:t>
            </w:r>
          </w:p>
        </w:tc>
        <w:tc>
          <w:tcPr>
            <w:tcW w:w="3118" w:type="dxa"/>
            <w:tcBorders>
              <w:top w:val="single" w:color="auto" w:sz="12" w:space="0"/>
            </w:tcBorders>
            <w:vAlign w:val="center"/>
          </w:tcPr>
          <w:p w14:paraId="3237CB11">
            <w:pPr>
              <w:pStyle w:val="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硬(H04)、特硬(H06)、</w:t>
            </w:r>
            <w:r>
              <w:rPr>
                <w:rFonts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弹性（H08）</w:t>
            </w:r>
          </w:p>
        </w:tc>
        <w:tc>
          <w:tcPr>
            <w:tcW w:w="1560" w:type="dxa"/>
            <w:vMerge w:val="restart"/>
            <w:tcBorders>
              <w:top w:val="single" w:color="auto" w:sz="12" w:space="0"/>
            </w:tcBorders>
            <w:vAlign w:val="center"/>
          </w:tcPr>
          <w:p w14:paraId="66FCB340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  <w:p w14:paraId="78836374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  <w:p w14:paraId="21761DF9">
            <w:pPr>
              <w:pStyle w:val="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0.080～0.400</w:t>
            </w:r>
          </w:p>
        </w:tc>
        <w:tc>
          <w:tcPr>
            <w:tcW w:w="1624" w:type="dxa"/>
            <w:vMerge w:val="restart"/>
            <w:tcBorders>
              <w:top w:val="single" w:color="auto" w:sz="12" w:space="0"/>
            </w:tcBorders>
            <w:vAlign w:val="center"/>
          </w:tcPr>
          <w:p w14:paraId="2E0F34D9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  <w:p w14:paraId="318184C9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  <w:p w14:paraId="4B68A848">
            <w:pPr>
              <w:pStyle w:val="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8.500~850.000</w:t>
            </w:r>
          </w:p>
        </w:tc>
      </w:tr>
      <w:tr w14:paraId="2CC09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93" w:type="dxa"/>
            <w:vAlign w:val="center"/>
          </w:tcPr>
          <w:p w14:paraId="0E1E0E48">
            <w:pPr>
              <w:pStyle w:val="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QSn6-0.2</w:t>
            </w:r>
          </w:p>
        </w:tc>
        <w:tc>
          <w:tcPr>
            <w:tcW w:w="1521" w:type="dxa"/>
            <w:vAlign w:val="center"/>
          </w:tcPr>
          <w:p w14:paraId="27E5571E">
            <w:pPr>
              <w:pStyle w:val="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C51900</w:t>
            </w:r>
          </w:p>
        </w:tc>
        <w:tc>
          <w:tcPr>
            <w:tcW w:w="3118" w:type="dxa"/>
            <w:vAlign w:val="center"/>
          </w:tcPr>
          <w:p w14:paraId="244BF3F7">
            <w:pPr>
              <w:pStyle w:val="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硬(H04)、特硬(H06)</w:t>
            </w:r>
          </w:p>
        </w:tc>
        <w:tc>
          <w:tcPr>
            <w:tcW w:w="1560" w:type="dxa"/>
            <w:vMerge w:val="continue"/>
            <w:vAlign w:val="center"/>
          </w:tcPr>
          <w:p w14:paraId="10DB0AF2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 w14:paraId="3E3FB2F1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</w:tr>
      <w:tr w14:paraId="4AAB4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3" w:type="dxa"/>
            <w:vAlign w:val="center"/>
          </w:tcPr>
          <w:p w14:paraId="7369DD1A">
            <w:pPr>
              <w:pStyle w:val="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QSn8-0.3</w:t>
            </w:r>
          </w:p>
        </w:tc>
        <w:tc>
          <w:tcPr>
            <w:tcW w:w="1521" w:type="dxa"/>
            <w:vAlign w:val="center"/>
          </w:tcPr>
          <w:p w14:paraId="3F542FB2">
            <w:pPr>
              <w:pStyle w:val="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C52100</w:t>
            </w:r>
          </w:p>
        </w:tc>
        <w:tc>
          <w:tcPr>
            <w:tcW w:w="3118" w:type="dxa"/>
            <w:vAlign w:val="center"/>
          </w:tcPr>
          <w:p w14:paraId="1BB6A63E">
            <w:pPr>
              <w:pStyle w:val="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硬(H04)、特硬(H06)、</w:t>
            </w:r>
            <w:r>
              <w:rPr>
                <w:rFonts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弹性（H08）、高弹性（H10）</w:t>
            </w:r>
          </w:p>
        </w:tc>
        <w:tc>
          <w:tcPr>
            <w:tcW w:w="1560" w:type="dxa"/>
            <w:vMerge w:val="continue"/>
            <w:vAlign w:val="center"/>
          </w:tcPr>
          <w:p w14:paraId="4914658D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 w14:paraId="2E88A193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</w:tr>
      <w:tr w14:paraId="63ACA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3" w:type="dxa"/>
            <w:vAlign w:val="center"/>
          </w:tcPr>
          <w:p w14:paraId="27998CBF">
            <w:pPr>
              <w:pStyle w:val="7"/>
              <w:rPr>
                <w:rFonts w:eastAsiaTheme="minorEastAsia"/>
                <w:sz w:val="18"/>
                <w:szCs w:val="18"/>
              </w:rPr>
            </w:pPr>
            <w:bookmarkStart w:id="9" w:name="OLE_LINK5"/>
            <w:r>
              <w:rPr>
                <w:rFonts w:eastAsiaTheme="minorEastAsia"/>
                <w:sz w:val="18"/>
                <w:szCs w:val="18"/>
              </w:rPr>
              <w:t>QSn10-0.2</w:t>
            </w:r>
            <w:bookmarkEnd w:id="9"/>
          </w:p>
        </w:tc>
        <w:tc>
          <w:tcPr>
            <w:tcW w:w="1521" w:type="dxa"/>
            <w:vAlign w:val="center"/>
          </w:tcPr>
          <w:p w14:paraId="48B93B86">
            <w:pPr>
              <w:pStyle w:val="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C52400</w:t>
            </w:r>
          </w:p>
        </w:tc>
        <w:tc>
          <w:tcPr>
            <w:tcW w:w="3118" w:type="dxa"/>
            <w:vAlign w:val="center"/>
          </w:tcPr>
          <w:p w14:paraId="052D701B">
            <w:pPr>
              <w:pStyle w:val="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硬(H04)、特硬(H06)、</w:t>
            </w:r>
            <w:r>
              <w:rPr>
                <w:rFonts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弹性（H08）、高弹性（H10）</w:t>
            </w:r>
          </w:p>
        </w:tc>
        <w:tc>
          <w:tcPr>
            <w:tcW w:w="1560" w:type="dxa"/>
            <w:vMerge w:val="continue"/>
            <w:vAlign w:val="center"/>
          </w:tcPr>
          <w:p w14:paraId="3B3268EB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 w14:paraId="17EFC030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</w:tr>
    </w:tbl>
    <w:p w14:paraId="198CE3C4"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hint="eastAsia" w:ascii="黑体" w:hAnsi="黑体" w:eastAsia="黑体" w:cs="黑体"/>
          <w:caps/>
          <w:szCs w:val="21"/>
        </w:rPr>
      </w:pPr>
      <w:r>
        <w:rPr>
          <w:rFonts w:ascii="黑体" w:hAnsi="黑体" w:eastAsia="黑体" w:cs="黑体"/>
          <w:caps/>
          <w:szCs w:val="21"/>
        </w:rPr>
        <w:t>4.2</w:t>
      </w:r>
      <w:r>
        <w:rPr>
          <w:rFonts w:hint="eastAsia" w:ascii="黑体" w:hAnsi="黑体" w:eastAsia="黑体" w:cs="黑体"/>
          <w:caps/>
          <w:szCs w:val="21"/>
        </w:rPr>
        <w:t>产品标记</w:t>
      </w:r>
    </w:p>
    <w:p w14:paraId="4D0A954B">
      <w:pPr>
        <w:pStyle w:val="7"/>
        <w:ind w:firstLine="420" w:firstLineChars="200"/>
        <w:jc w:val="left"/>
      </w:pPr>
      <w:r>
        <w:t>产品标记按产品名称、文件编号、牌号</w:t>
      </w:r>
      <w:r>
        <w:rPr>
          <w:rFonts w:hint="eastAsia"/>
        </w:rPr>
        <w:t>（</w:t>
      </w:r>
      <w:r>
        <w:t>或代号</w:t>
      </w:r>
      <w:r>
        <w:rPr>
          <w:rFonts w:hint="eastAsia"/>
        </w:rPr>
        <w:t>）</w:t>
      </w:r>
      <w:r>
        <w:t>、状态</w:t>
      </w:r>
      <w:r>
        <w:rPr>
          <w:rFonts w:hint="eastAsia"/>
        </w:rPr>
        <w:t>、尺寸精度</w:t>
      </w:r>
      <w:r>
        <w:t>和规格的顺序表示。</w:t>
      </w:r>
      <w:r>
        <w:rPr>
          <w:rFonts w:hint="eastAsia"/>
        </w:rPr>
        <w:t>标记示例如下：</w:t>
      </w:r>
    </w:p>
    <w:p w14:paraId="2A0E35D7">
      <w:pPr>
        <w:adjustRightInd w:val="0"/>
        <w:spacing w:line="240" w:lineRule="atLeast"/>
        <w:ind w:firstLine="360" w:firstLineChars="200"/>
        <w:jc w:val="left"/>
        <w:textAlignment w:val="baseline"/>
        <w:rPr>
          <w:rFonts w:hint="eastAsia" w:ascii="黑体" w:hAnsi="黑体" w:eastAsia="黑体"/>
          <w:kern w:val="0"/>
          <w:sz w:val="18"/>
          <w:szCs w:val="18"/>
        </w:rPr>
      </w:pPr>
      <w:r>
        <w:rPr>
          <w:rFonts w:hint="eastAsia" w:ascii="黑体" w:hAnsi="黑体" w:eastAsia="黑体"/>
          <w:kern w:val="0"/>
          <w:sz w:val="18"/>
          <w:szCs w:val="18"/>
        </w:rPr>
        <w:t>示例1：</w:t>
      </w:r>
    </w:p>
    <w:p w14:paraId="119B0E8C">
      <w:pPr>
        <w:pStyle w:val="66"/>
      </w:pPr>
      <w:r>
        <mc:AlternateContent>
          <mc:Choice Requires="wps">
            <w:drawing>
              <wp:inline distT="0" distB="0" distL="0" distR="0">
                <wp:extent cx="5889625" cy="959485"/>
                <wp:effectExtent l="0" t="0" r="15875" b="12065"/>
                <wp:docPr id="52965344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962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C7B7695">
                            <w:pPr>
                              <w:pStyle w:val="7"/>
                              <w:ind w:firstLine="360" w:firstLineChars="20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用QSn4-0.3（代号C51100）制造的、状态为H0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、尺寸精度为普通级、厚度为0.015mm、宽度为300mm的带箔材，标记为：</w:t>
                            </w:r>
                          </w:p>
                          <w:p w14:paraId="15808CB0">
                            <w:pPr>
                              <w:pStyle w:val="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带（箔）材YS</w:t>
                            </w: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/T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XXXX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noBreakHyphen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SG QSn4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noBreakHyphen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0.3 H0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noBreakHyphen/>
                            </w: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.015</w:t>
                            </w: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×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300,00</w:t>
                            </w:r>
                          </w:p>
                          <w:p w14:paraId="7FA1FFF8">
                            <w:pPr>
                              <w:pStyle w:val="7"/>
                              <w:ind w:firstLine="2160" w:firstLineChars="120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或</w:t>
                            </w: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（箔）</w:t>
                            </w: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材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YS</w:t>
                            </w: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/T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XXXX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noBreakHyphen/>
                            </w: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SG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C51100 H0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noBreakHyphen/>
                            </w: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.01</w:t>
                            </w: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5×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300,00</w:t>
                            </w:r>
                          </w:p>
                          <w:p w14:paraId="17142DF7">
                            <w:pPr>
                              <w:pStyle w:val="66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26" o:spt="202" type="#_x0000_t202" style="height:75.55pt;width:463.75pt;" fillcolor="#FFFFFF" filled="t" stroked="t" coordsize="21600,21600" o:gfxdata="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KkpetMAAAAFAQAADwAAAAAAAAABACAAAAAiAAAAZHJzL2Rvd25yZXYu&#10;eG1sUEsBAhQAFAAAAAgAh07iQE/UYt45AgAAkAQAAA4AAAAAAAAAAQAgAAAAIgEAAGRycy9lMm9E&#10;b2MueG1sUEsFBgAAAAAGAAYAWQEAAM0F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 w14:paraId="6C7B7695">
                      <w:pPr>
                        <w:pStyle w:val="7"/>
                        <w:ind w:firstLine="360" w:firstLineChars="20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用QSn4-0.3（代号C51100）制造的、状态为H0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sz w:val="18"/>
                          <w:szCs w:val="18"/>
                        </w:rPr>
                        <w:t>、尺寸精度为普通级、厚度为0.015mm、宽度为300mm的带箔材，标记为：</w:t>
                      </w:r>
                    </w:p>
                    <w:p w14:paraId="15808CB0">
                      <w:pPr>
                        <w:pStyle w:val="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带（箔）材YS</w:t>
                      </w:r>
                      <w:r>
                        <w:rPr>
                          <w:sz w:val="18"/>
                          <w:szCs w:val="18"/>
                          <w:lang w:val="de-DE"/>
                        </w:rPr>
                        <w:t xml:space="preserve">/T </w:t>
                      </w:r>
                      <w:r>
                        <w:rPr>
                          <w:sz w:val="18"/>
                          <w:szCs w:val="18"/>
                        </w:rPr>
                        <w:t>XXXX</w:t>
                      </w:r>
                      <w:r>
                        <w:rPr>
                          <w:sz w:val="18"/>
                          <w:szCs w:val="18"/>
                        </w:rPr>
                        <w:noBreakHyphen/>
                      </w:r>
                      <w:r>
                        <w:rPr>
                          <w:sz w:val="18"/>
                          <w:szCs w:val="18"/>
                        </w:rPr>
                        <w:t xml:space="preserve"> SG QSn4</w:t>
                      </w:r>
                      <w:r>
                        <w:rPr>
                          <w:sz w:val="18"/>
                          <w:szCs w:val="18"/>
                        </w:rPr>
                        <w:noBreakHyphen/>
                      </w:r>
                      <w:r>
                        <w:rPr>
                          <w:sz w:val="18"/>
                          <w:szCs w:val="18"/>
                        </w:rPr>
                        <w:t>0.3 H0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sz w:val="18"/>
                          <w:szCs w:val="18"/>
                        </w:rPr>
                        <w:noBreakHyphen/>
                      </w:r>
                      <w:r>
                        <w:rPr>
                          <w:sz w:val="18"/>
                          <w:szCs w:val="18"/>
                          <w:lang w:val="de-DE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>.015</w:t>
                      </w:r>
                      <w:r>
                        <w:rPr>
                          <w:sz w:val="18"/>
                          <w:szCs w:val="18"/>
                          <w:lang w:val="de-DE"/>
                        </w:rPr>
                        <w:t>×</w:t>
                      </w:r>
                      <w:r>
                        <w:rPr>
                          <w:sz w:val="18"/>
                          <w:szCs w:val="18"/>
                        </w:rPr>
                        <w:t>300,00</w:t>
                      </w:r>
                    </w:p>
                    <w:p w14:paraId="7FA1FFF8">
                      <w:pPr>
                        <w:pStyle w:val="7"/>
                        <w:ind w:firstLine="2160" w:firstLineChars="120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或</w:t>
                      </w:r>
                      <w:r>
                        <w:rPr>
                          <w:sz w:val="18"/>
                          <w:szCs w:val="18"/>
                          <w:lang w:val="de-DE"/>
                        </w:rPr>
                        <w:t>带</w:t>
                      </w:r>
                      <w:r>
                        <w:rPr>
                          <w:sz w:val="18"/>
                          <w:szCs w:val="18"/>
                        </w:rPr>
                        <w:t>（箔）</w:t>
                      </w:r>
                      <w:r>
                        <w:rPr>
                          <w:sz w:val="18"/>
                          <w:szCs w:val="18"/>
                          <w:lang w:val="de-DE"/>
                        </w:rPr>
                        <w:t>材</w:t>
                      </w:r>
                      <w:r>
                        <w:rPr>
                          <w:sz w:val="18"/>
                          <w:szCs w:val="18"/>
                        </w:rPr>
                        <w:t>YS</w:t>
                      </w:r>
                      <w:r>
                        <w:rPr>
                          <w:sz w:val="18"/>
                          <w:szCs w:val="18"/>
                          <w:lang w:val="de-DE"/>
                        </w:rPr>
                        <w:t xml:space="preserve">/T </w:t>
                      </w:r>
                      <w:r>
                        <w:rPr>
                          <w:sz w:val="18"/>
                          <w:szCs w:val="18"/>
                        </w:rPr>
                        <w:t>XXXX</w:t>
                      </w:r>
                      <w:r>
                        <w:rPr>
                          <w:sz w:val="18"/>
                          <w:szCs w:val="18"/>
                        </w:rPr>
                        <w:noBreakHyphen/>
                      </w:r>
                      <w:r>
                        <w:rPr>
                          <w:sz w:val="18"/>
                          <w:szCs w:val="18"/>
                          <w:lang w:val="de-DE"/>
                        </w:rPr>
                        <w:t xml:space="preserve">SG </w:t>
                      </w:r>
                      <w:r>
                        <w:rPr>
                          <w:sz w:val="18"/>
                          <w:szCs w:val="18"/>
                        </w:rPr>
                        <w:t>C51100 H0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sz w:val="18"/>
                          <w:szCs w:val="18"/>
                        </w:rPr>
                        <w:noBreakHyphen/>
                      </w:r>
                      <w:r>
                        <w:rPr>
                          <w:sz w:val="18"/>
                          <w:szCs w:val="18"/>
                          <w:lang w:val="de-DE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>.01</w:t>
                      </w:r>
                      <w:r>
                        <w:rPr>
                          <w:sz w:val="18"/>
                          <w:szCs w:val="18"/>
                          <w:lang w:val="de-DE"/>
                        </w:rPr>
                        <w:t>5×</w:t>
                      </w:r>
                      <w:r>
                        <w:rPr>
                          <w:sz w:val="18"/>
                          <w:szCs w:val="18"/>
                        </w:rPr>
                        <w:t>300,00</w:t>
                      </w:r>
                    </w:p>
                    <w:p w14:paraId="17142DF7">
                      <w:pPr>
                        <w:pStyle w:val="66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4D8FBD6A">
      <w:pPr>
        <w:adjustRightInd w:val="0"/>
        <w:spacing w:line="240" w:lineRule="atLeast"/>
        <w:ind w:firstLine="360" w:firstLineChars="200"/>
        <w:jc w:val="left"/>
        <w:textAlignment w:val="baseline"/>
        <w:rPr>
          <w:rFonts w:hint="eastAsia" w:ascii="黑体" w:hAnsi="黑体" w:eastAsia="黑体"/>
          <w:kern w:val="0"/>
          <w:sz w:val="18"/>
          <w:szCs w:val="18"/>
        </w:rPr>
      </w:pPr>
      <w:r>
        <w:rPr>
          <w:rFonts w:hint="eastAsia" w:ascii="黑体" w:hAnsi="黑体" w:eastAsia="黑体"/>
          <w:kern w:val="0"/>
          <w:sz w:val="18"/>
          <w:szCs w:val="18"/>
        </w:rPr>
        <w:t>示例2：</w:t>
      </w:r>
    </w:p>
    <w:p w14:paraId="20BB213E"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hint="eastAsia" w:ascii="黑体" w:hAnsi="黑体" w:eastAsia="黑体" w:cs="黑体"/>
          <w:caps/>
          <w:szCs w:val="21"/>
        </w:rPr>
      </w:pPr>
      <w:r>
        <mc:AlternateContent>
          <mc:Choice Requires="wps">
            <w:drawing>
              <wp:inline distT="0" distB="0" distL="0" distR="0">
                <wp:extent cx="5899150" cy="876935"/>
                <wp:effectExtent l="0" t="0" r="25400" b="18415"/>
                <wp:docPr id="458563064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87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D239317">
                            <w:pPr>
                              <w:pStyle w:val="7"/>
                              <w:ind w:firstLine="360" w:firstLineChars="20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用QSn6-0.2（代号C51900）制造的、状态为H08、尺寸精度为高精级、厚度为0.080mm、宽度为400mm的带箔材，标记为：</w:t>
                            </w:r>
                          </w:p>
                          <w:p w14:paraId="78CE8C61">
                            <w:pPr>
                              <w:pStyle w:val="7"/>
                              <w:ind w:firstLine="360" w:firstLineChars="2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带（箔）材YS/T XXXX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noBreakHyphen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SG QSn6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noBreakHyphen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0.2SG H08 高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noBreakHyphen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0.080×400,00</w:t>
                            </w:r>
                          </w:p>
                          <w:p w14:paraId="26EC6554">
                            <w:pPr>
                              <w:pStyle w:val="7"/>
                              <w:ind w:firstLine="2070" w:firstLineChars="115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或带（箔）材YS/T XXXX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noBreakHyphen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SG C51100 H08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noBreakHyphen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0.080×400,00</w:t>
                            </w:r>
                          </w:p>
                          <w:p w14:paraId="55F821F4">
                            <w:pPr>
                              <w:pStyle w:val="66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26" o:spt="202" type="#_x0000_t202" style="height:69.05pt;width:464.5pt;" fillcolor="#FFFFFF" filled="t" stroked="t" coordsize="21600,21600" o:gfxdata="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8F13TNIAAAAFAQAADwAAAAAAAAABACAAAAAiAAAAZHJzL2Rvd25yZXYueG1s&#10;UEsBAhQAFAAAAAgAh07iQGUBddk3AgAAkAQAAA4AAAAAAAAAAQAgAAAAIQEAAGRycy9lMm9Eb2Mu&#10;eG1sUEsFBgAAAAAGAAYAWQEAAMoF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 w14:paraId="1D239317">
                      <w:pPr>
                        <w:pStyle w:val="7"/>
                        <w:ind w:firstLine="360" w:firstLineChars="20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用QSn6-0.2（代号C51900）制造的、状态为H08、尺寸精度为高精级、厚度为0.080mm、宽度为400mm的带箔材，标记为：</w:t>
                      </w:r>
                    </w:p>
                    <w:p w14:paraId="78CE8C61">
                      <w:pPr>
                        <w:pStyle w:val="7"/>
                        <w:ind w:firstLine="360" w:firstLineChars="2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带（箔）材YS/T XXXX</w:t>
                      </w:r>
                      <w:r>
                        <w:rPr>
                          <w:sz w:val="18"/>
                          <w:szCs w:val="18"/>
                        </w:rPr>
                        <w:noBreakHyphen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SG QSn6</w:t>
                      </w:r>
                      <w:r>
                        <w:rPr>
                          <w:sz w:val="18"/>
                          <w:szCs w:val="18"/>
                        </w:rPr>
                        <w:noBreakHyphen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0.2SG H08 高</w:t>
                      </w:r>
                      <w:r>
                        <w:rPr>
                          <w:sz w:val="18"/>
                          <w:szCs w:val="18"/>
                        </w:rPr>
                        <w:noBreakHyphen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0.080×400,00</w:t>
                      </w:r>
                    </w:p>
                    <w:p w14:paraId="26EC6554">
                      <w:pPr>
                        <w:pStyle w:val="7"/>
                        <w:ind w:firstLine="2070" w:firstLineChars="115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或带（箔）材YS/T XXXX</w:t>
                      </w:r>
                      <w:r>
                        <w:rPr>
                          <w:sz w:val="18"/>
                          <w:szCs w:val="18"/>
                        </w:rPr>
                        <w:noBreakHyphen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SG C51100 H08</w:t>
                      </w:r>
                      <w:r>
                        <w:rPr>
                          <w:sz w:val="18"/>
                          <w:szCs w:val="18"/>
                        </w:rPr>
                        <w:noBreakHyphen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0.080×400,00</w:t>
                      </w:r>
                    </w:p>
                    <w:p w14:paraId="55F821F4">
                      <w:pPr>
                        <w:pStyle w:val="66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5A84DF23"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hint="eastAsia" w:ascii="黑体" w:hAnsi="黑体" w:eastAsia="黑体" w:cs="黑体"/>
          <w:caps/>
          <w:szCs w:val="21"/>
        </w:rPr>
      </w:pPr>
      <w:r>
        <w:rPr>
          <w:rFonts w:ascii="黑体" w:hAnsi="黑体" w:eastAsia="黑体" w:cs="黑体"/>
          <w:caps/>
          <w:szCs w:val="21"/>
        </w:rPr>
        <w:t>5</w:t>
      </w:r>
      <w:r>
        <w:rPr>
          <w:rFonts w:hint="eastAsia" w:ascii="黑体" w:hAnsi="黑体" w:eastAsia="黑体" w:cs="黑体"/>
          <w:caps/>
          <w:szCs w:val="21"/>
        </w:rPr>
        <w:t>技术要求</w:t>
      </w:r>
    </w:p>
    <w:p w14:paraId="36712E36"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hint="eastAsia" w:ascii="黑体" w:hAnsi="黑体" w:eastAsia="黑体" w:cs="黑体"/>
          <w:caps/>
          <w:szCs w:val="21"/>
        </w:rPr>
      </w:pPr>
      <w:r>
        <w:rPr>
          <w:rFonts w:ascii="黑体" w:hAnsi="黑体" w:eastAsia="黑体" w:cs="黑体"/>
          <w:caps/>
          <w:szCs w:val="21"/>
        </w:rPr>
        <w:t>5.1</w:t>
      </w:r>
      <w:r>
        <w:rPr>
          <w:rFonts w:hint="eastAsia" w:ascii="黑体" w:hAnsi="黑体" w:eastAsia="黑体" w:cs="黑体"/>
          <w:caps/>
          <w:szCs w:val="21"/>
        </w:rPr>
        <w:t>化学成分</w:t>
      </w:r>
    </w:p>
    <w:p w14:paraId="2F06A80F">
      <w:pPr>
        <w:ind w:firstLine="420" w:firstLineChars="200"/>
        <w:contextualSpacing/>
      </w:pPr>
      <w:r>
        <w:rPr>
          <w:rFonts w:hint="eastAsia"/>
          <w:szCs w:val="21"/>
        </w:rPr>
        <w:t>带箔材的化学成分应符合</w:t>
      </w:r>
      <w:r>
        <w:rPr>
          <w:szCs w:val="21"/>
        </w:rPr>
        <w:t>GB/T 5231</w:t>
      </w:r>
      <w:r>
        <w:rPr>
          <w:rFonts w:hint="eastAsia"/>
          <w:szCs w:val="21"/>
        </w:rPr>
        <w:t>的规定。</w:t>
      </w:r>
    </w:p>
    <w:p w14:paraId="2D6A0425"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hint="eastAsia" w:ascii="黑体" w:hAnsi="黑体" w:eastAsia="黑体" w:cs="黑体"/>
          <w:caps/>
          <w:szCs w:val="21"/>
        </w:rPr>
      </w:pPr>
      <w:r>
        <w:rPr>
          <w:rFonts w:ascii="黑体" w:hAnsi="黑体" w:eastAsia="黑体" w:cs="黑体"/>
          <w:caps/>
          <w:szCs w:val="21"/>
        </w:rPr>
        <w:t>5.2</w:t>
      </w:r>
      <w:r>
        <w:rPr>
          <w:rFonts w:hint="eastAsia" w:ascii="黑体" w:hAnsi="黑体" w:eastAsia="黑体" w:cs="黑体"/>
          <w:caps/>
          <w:szCs w:val="21"/>
        </w:rPr>
        <w:t>外形尺寸及其允许偏差</w:t>
      </w:r>
    </w:p>
    <w:p w14:paraId="0BA74C2E">
      <w:pPr>
        <w:spacing w:line="360" w:lineRule="auto"/>
        <w:rPr>
          <w:rFonts w:hint="eastAsia" w:ascii="宋体" w:hAnsi="宋体"/>
          <w:szCs w:val="21"/>
        </w:rPr>
      </w:pPr>
      <w:r>
        <w:rPr>
          <w:rFonts w:ascii="黑体" w:hAnsi="黑体" w:eastAsia="黑体"/>
          <w:szCs w:val="21"/>
        </w:rPr>
        <w:t>5.2.1</w:t>
      </w:r>
      <w:r>
        <w:rPr>
          <w:rFonts w:hint="eastAsia" w:ascii="宋体" w:hAnsi="宋体"/>
          <w:szCs w:val="21"/>
        </w:rPr>
        <w:t>带箔材的厚度及其允许偏差应符合表 2的规定。</w:t>
      </w:r>
    </w:p>
    <w:p w14:paraId="603E28BB">
      <w:pPr>
        <w:spacing w:line="360" w:lineRule="auto"/>
        <w:jc w:val="center"/>
      </w:pPr>
      <w:r>
        <w:rPr>
          <w:rFonts w:hint="eastAsia" w:ascii="黑体" w:eastAsia="黑体"/>
        </w:rPr>
        <w:t>表2 厚度及其允许偏差</w:t>
      </w:r>
    </w:p>
    <w:p w14:paraId="5478A524">
      <w:pPr>
        <w:spacing w:line="360" w:lineRule="auto"/>
        <w:jc w:val="right"/>
        <w:rPr>
          <w:rFonts w:hint="eastAsia" w:ascii="宋体" w:hAnsi="宋体"/>
          <w:szCs w:val="21"/>
        </w:rPr>
      </w:pPr>
      <w:r>
        <w:rPr>
          <w:rFonts w:hint="eastAsia"/>
          <w:sz w:val="18"/>
          <w:szCs w:val="18"/>
        </w:rPr>
        <w:t>单位为毫米</w:t>
      </w:r>
    </w:p>
    <w:tbl>
      <w:tblPr>
        <w:tblStyle w:val="37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30"/>
        <w:gridCol w:w="3359"/>
      </w:tblGrid>
      <w:tr w14:paraId="3198A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83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3642820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厚度</w:t>
            </w:r>
          </w:p>
        </w:tc>
        <w:tc>
          <w:tcPr>
            <w:tcW w:w="6489" w:type="dxa"/>
            <w:gridSpan w:val="2"/>
            <w:tcBorders>
              <w:top w:val="single" w:color="auto" w:sz="12" w:space="0"/>
              <w:right w:val="single" w:color="auto" w:sz="12" w:space="0"/>
            </w:tcBorders>
          </w:tcPr>
          <w:p w14:paraId="2464297F">
            <w:pPr>
              <w:spacing w:line="340" w:lineRule="exac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厚度允许偏差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</w:tr>
      <w:tr w14:paraId="40339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831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 w14:paraId="48422E1A"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0" w:type="dxa"/>
            <w:tcBorders>
              <w:bottom w:val="single" w:color="auto" w:sz="12" w:space="0"/>
            </w:tcBorders>
          </w:tcPr>
          <w:p w14:paraId="2DEF7C2E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普通级</w:t>
            </w:r>
          </w:p>
        </w:tc>
        <w:tc>
          <w:tcPr>
            <w:tcW w:w="3359" w:type="dxa"/>
            <w:tcBorders>
              <w:bottom w:val="single" w:color="auto" w:sz="12" w:space="0"/>
              <w:right w:val="single" w:color="auto" w:sz="12" w:space="0"/>
            </w:tcBorders>
          </w:tcPr>
          <w:p w14:paraId="577BB74B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高精级</w:t>
            </w:r>
          </w:p>
        </w:tc>
      </w:tr>
      <w:tr w14:paraId="0DE2D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831" w:type="dxa"/>
            <w:tcBorders>
              <w:top w:val="single" w:color="auto" w:sz="12" w:space="0"/>
              <w:left w:val="single" w:color="auto" w:sz="12" w:space="0"/>
            </w:tcBorders>
          </w:tcPr>
          <w:p w14:paraId="161360AF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0.080</w:t>
            </w:r>
            <w:r>
              <w:rPr>
                <w:sz w:val="18"/>
                <w:szCs w:val="18"/>
              </w:rPr>
              <w:t>～0.150</w:t>
            </w:r>
          </w:p>
        </w:tc>
        <w:tc>
          <w:tcPr>
            <w:tcW w:w="3130" w:type="dxa"/>
            <w:tcBorders>
              <w:top w:val="single" w:color="auto" w:sz="12" w:space="0"/>
            </w:tcBorders>
          </w:tcPr>
          <w:p w14:paraId="0070D43F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±0.005</w:t>
            </w:r>
          </w:p>
        </w:tc>
        <w:tc>
          <w:tcPr>
            <w:tcW w:w="3359" w:type="dxa"/>
            <w:tcBorders>
              <w:top w:val="single" w:color="auto" w:sz="12" w:space="0"/>
              <w:right w:val="single" w:color="auto" w:sz="12" w:space="0"/>
            </w:tcBorders>
          </w:tcPr>
          <w:p w14:paraId="038B30FC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±0.003</w:t>
            </w:r>
          </w:p>
        </w:tc>
      </w:tr>
      <w:tr w14:paraId="41ED1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831" w:type="dxa"/>
            <w:tcBorders>
              <w:left w:val="single" w:color="auto" w:sz="12" w:space="0"/>
            </w:tcBorders>
            <w:vAlign w:val="center"/>
          </w:tcPr>
          <w:p w14:paraId="52E883D1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＞0.150～0.200</w:t>
            </w:r>
          </w:p>
        </w:tc>
        <w:tc>
          <w:tcPr>
            <w:tcW w:w="3130" w:type="dxa"/>
            <w:vAlign w:val="center"/>
          </w:tcPr>
          <w:p w14:paraId="3D15C2E5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±0.008</w:t>
            </w:r>
          </w:p>
        </w:tc>
        <w:tc>
          <w:tcPr>
            <w:tcW w:w="3359" w:type="dxa"/>
            <w:tcBorders>
              <w:right w:val="single" w:color="auto" w:sz="12" w:space="0"/>
            </w:tcBorders>
            <w:vAlign w:val="center"/>
          </w:tcPr>
          <w:p w14:paraId="06E2B2AC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±0.004</w:t>
            </w:r>
          </w:p>
        </w:tc>
      </w:tr>
      <w:tr w14:paraId="5A842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831" w:type="dxa"/>
            <w:tcBorders>
              <w:left w:val="single" w:color="auto" w:sz="12" w:space="0"/>
            </w:tcBorders>
            <w:vAlign w:val="center"/>
          </w:tcPr>
          <w:p w14:paraId="40A65042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＞0.200～0.300</w:t>
            </w:r>
          </w:p>
        </w:tc>
        <w:tc>
          <w:tcPr>
            <w:tcW w:w="3130" w:type="dxa"/>
            <w:vAlign w:val="center"/>
          </w:tcPr>
          <w:p w14:paraId="4761B9A9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±0.010</w:t>
            </w:r>
          </w:p>
        </w:tc>
        <w:tc>
          <w:tcPr>
            <w:tcW w:w="3359" w:type="dxa"/>
            <w:tcBorders>
              <w:right w:val="single" w:color="auto" w:sz="12" w:space="0"/>
            </w:tcBorders>
            <w:vAlign w:val="center"/>
          </w:tcPr>
          <w:p w14:paraId="0B1C5F64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±0.005</w:t>
            </w:r>
          </w:p>
        </w:tc>
      </w:tr>
      <w:tr w14:paraId="40610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831" w:type="dxa"/>
            <w:tcBorders>
              <w:left w:val="single" w:color="auto" w:sz="12" w:space="0"/>
            </w:tcBorders>
            <w:vAlign w:val="center"/>
          </w:tcPr>
          <w:p w14:paraId="1BF44224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＞0.300～0.400</w:t>
            </w:r>
          </w:p>
        </w:tc>
        <w:tc>
          <w:tcPr>
            <w:tcW w:w="3130" w:type="dxa"/>
          </w:tcPr>
          <w:p w14:paraId="049A1F12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±0.014</w:t>
            </w:r>
          </w:p>
        </w:tc>
        <w:tc>
          <w:tcPr>
            <w:tcW w:w="3359" w:type="dxa"/>
            <w:tcBorders>
              <w:right w:val="single" w:color="auto" w:sz="12" w:space="0"/>
            </w:tcBorders>
            <w:vAlign w:val="center"/>
          </w:tcPr>
          <w:p w14:paraId="27A6ADAA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±0.008</w:t>
            </w:r>
          </w:p>
        </w:tc>
      </w:tr>
      <w:tr w14:paraId="15996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320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 w14:paraId="37501098">
            <w:pPr>
              <w:spacing w:line="340" w:lineRule="exact"/>
              <w:ind w:firstLine="270" w:firstLineChars="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注：如需方要求高精级时，在订货单中注明，未注明时按普通级进行。</w:t>
            </w:r>
          </w:p>
        </w:tc>
      </w:tr>
      <w:tr w14:paraId="6A949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32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845D8A2">
            <w:pPr>
              <w:spacing w:line="340" w:lineRule="exact"/>
              <w:ind w:firstLine="270" w:firstLineChars="150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a</w:t>
            </w:r>
            <w:r>
              <w:rPr>
                <w:sz w:val="18"/>
                <w:szCs w:val="18"/>
              </w:rPr>
              <w:t>当需方要求允许偏差全为（+）或全为（-）单向偏差时，其值为标准数值的2倍。</w:t>
            </w:r>
          </w:p>
        </w:tc>
      </w:tr>
    </w:tbl>
    <w:p w14:paraId="3030A9C5">
      <w:pPr>
        <w:pStyle w:val="3"/>
        <w:ind w:firstLine="0" w:firstLineChars="0"/>
      </w:pPr>
      <w:r>
        <w:rPr>
          <w:rFonts w:ascii="黑体" w:hAnsi="黑体" w:eastAsia="黑体"/>
        </w:rPr>
        <w:t xml:space="preserve">5.2.2 </w:t>
      </w:r>
      <w:r>
        <w:rPr>
          <w:rFonts w:hint="eastAsia"/>
        </w:rPr>
        <w:t>带箔材的宽度及其允许偏差应符合表3的规定。</w:t>
      </w:r>
    </w:p>
    <w:p w14:paraId="7F2D1C37">
      <w:pPr>
        <w:spacing w:line="340" w:lineRule="exact"/>
        <w:ind w:right="840"/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表3 宽度及其允许偏差</w:t>
      </w:r>
    </w:p>
    <w:p w14:paraId="75DC61EF">
      <w:pPr>
        <w:spacing w:line="340" w:lineRule="exact"/>
        <w:ind w:firstLine="3150" w:firstLineChars="1750"/>
        <w:jc w:val="right"/>
        <w:rPr>
          <w:rFonts w:ascii="黑体" w:eastAsia="黑体"/>
          <w:szCs w:val="21"/>
        </w:rPr>
      </w:pPr>
      <w:r>
        <w:rPr>
          <w:rFonts w:hint="eastAsia"/>
          <w:sz w:val="18"/>
          <w:szCs w:val="18"/>
        </w:rPr>
        <w:t>单位为毫米</w:t>
      </w:r>
    </w:p>
    <w:tbl>
      <w:tblPr>
        <w:tblStyle w:val="37"/>
        <w:tblpPr w:leftFromText="180" w:rightFromText="180" w:vertAnchor="text" w:horzAnchor="margin" w:tblpY="24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1702"/>
        <w:gridCol w:w="1715"/>
        <w:gridCol w:w="1861"/>
        <w:gridCol w:w="1930"/>
      </w:tblGrid>
      <w:tr w14:paraId="05269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35" w:type="pct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9FE481B">
            <w:pPr>
              <w:spacing w:line="340" w:lineRule="exact"/>
              <w:jc w:val="center"/>
              <w:rPr>
                <w:sz w:val="18"/>
                <w:szCs w:val="18"/>
              </w:rPr>
            </w:pPr>
            <w:bookmarkStart w:id="10" w:name="OLE_LINK13"/>
            <w:r>
              <w:rPr>
                <w:sz w:val="18"/>
                <w:szCs w:val="18"/>
              </w:rPr>
              <w:t>厚度</w:t>
            </w:r>
          </w:p>
        </w:tc>
        <w:tc>
          <w:tcPr>
            <w:tcW w:w="3765" w:type="pct"/>
            <w:gridSpan w:val="4"/>
            <w:tcBorders>
              <w:top w:val="single" w:color="auto" w:sz="12" w:space="0"/>
              <w:right w:val="single" w:color="auto" w:sz="12" w:space="0"/>
            </w:tcBorders>
          </w:tcPr>
          <w:p w14:paraId="6B2111C4">
            <w:pPr>
              <w:spacing w:line="340" w:lineRule="exact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宽度</w:t>
            </w:r>
          </w:p>
        </w:tc>
      </w:tr>
      <w:tr w14:paraId="20D4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35" w:type="pct"/>
            <w:vMerge w:val="continue"/>
            <w:tcBorders>
              <w:left w:val="single" w:color="auto" w:sz="12" w:space="0"/>
            </w:tcBorders>
          </w:tcPr>
          <w:p w14:paraId="77D69245"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</w:tcPr>
          <w:p w14:paraId="7DB64AF0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8.5～100</w:t>
            </w:r>
          </w:p>
        </w:tc>
        <w:tc>
          <w:tcPr>
            <w:tcW w:w="896" w:type="pct"/>
          </w:tcPr>
          <w:p w14:paraId="5565CC5A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＞100～300</w:t>
            </w:r>
          </w:p>
        </w:tc>
        <w:tc>
          <w:tcPr>
            <w:tcW w:w="972" w:type="pct"/>
          </w:tcPr>
          <w:p w14:paraId="3D5D7994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＞300～600</w:t>
            </w:r>
          </w:p>
        </w:tc>
        <w:tc>
          <w:tcPr>
            <w:tcW w:w="1007" w:type="pct"/>
            <w:tcBorders>
              <w:right w:val="single" w:color="auto" w:sz="12" w:space="0"/>
            </w:tcBorders>
          </w:tcPr>
          <w:p w14:paraId="460DF749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＞600～850</w:t>
            </w:r>
          </w:p>
        </w:tc>
      </w:tr>
      <w:tr w14:paraId="689F7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35" w:type="pct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 w14:paraId="136BF357"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65" w:type="pct"/>
            <w:gridSpan w:val="4"/>
            <w:tcBorders>
              <w:bottom w:val="single" w:color="auto" w:sz="12" w:space="0"/>
              <w:right w:val="single" w:color="auto" w:sz="12" w:space="0"/>
            </w:tcBorders>
          </w:tcPr>
          <w:p w14:paraId="2F63043B">
            <w:pPr>
              <w:spacing w:line="3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宽度允许偏差</w:t>
            </w:r>
          </w:p>
        </w:tc>
      </w:tr>
      <w:tr w14:paraId="3DD06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35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5CE1624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0.080～0.400</w:t>
            </w:r>
          </w:p>
        </w:tc>
        <w:tc>
          <w:tcPr>
            <w:tcW w:w="889" w:type="pct"/>
            <w:tcBorders>
              <w:top w:val="single" w:color="auto" w:sz="12" w:space="0"/>
            </w:tcBorders>
          </w:tcPr>
          <w:p w14:paraId="7E34586A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±0.05</w:t>
            </w:r>
          </w:p>
        </w:tc>
        <w:tc>
          <w:tcPr>
            <w:tcW w:w="896" w:type="pct"/>
            <w:tcBorders>
              <w:top w:val="single" w:color="auto" w:sz="12" w:space="0"/>
            </w:tcBorders>
          </w:tcPr>
          <w:p w14:paraId="3930C5BB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±0.07</w:t>
            </w:r>
          </w:p>
        </w:tc>
        <w:tc>
          <w:tcPr>
            <w:tcW w:w="972" w:type="pct"/>
            <w:tcBorders>
              <w:top w:val="single" w:color="auto" w:sz="12" w:space="0"/>
            </w:tcBorders>
          </w:tcPr>
          <w:p w14:paraId="1F1E6E14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±0.10</w:t>
            </w:r>
          </w:p>
        </w:tc>
        <w:tc>
          <w:tcPr>
            <w:tcW w:w="1007" w:type="pct"/>
            <w:tcBorders>
              <w:top w:val="single" w:color="auto" w:sz="12" w:space="0"/>
              <w:right w:val="single" w:color="auto" w:sz="12" w:space="0"/>
            </w:tcBorders>
          </w:tcPr>
          <w:p w14:paraId="6D71B241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±0.15</w:t>
            </w:r>
          </w:p>
        </w:tc>
      </w:tr>
      <w:tr w14:paraId="2EBAD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000" w:type="pct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645CC49">
            <w:pPr>
              <w:spacing w:line="340" w:lineRule="exact"/>
              <w:ind w:firstLine="270" w:firstLineChars="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注：当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需方要求当要求允许偏差全为（+）或全为（-）单向偏差时，其值为表中相应数值的2倍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14:paraId="3FD92292">
      <w:pPr>
        <w:spacing w:line="360" w:lineRule="auto"/>
        <w:rPr>
          <w:rFonts w:ascii="黑体" w:hAnsi="Calibri" w:eastAsia="黑体"/>
          <w:szCs w:val="21"/>
          <w:lang w:val="de-DE"/>
        </w:rPr>
      </w:pPr>
      <w:r>
        <w:rPr>
          <w:rFonts w:hint="eastAsia" w:ascii="黑体" w:hAnsi="Calibri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5.2.3</w:t>
      </w:r>
      <w:r>
        <w:rPr>
          <w:rFonts w:hint="eastAsia" w:ascii="黑体" w:hAnsi="Calibri" w:eastAsia="黑体"/>
          <w:szCs w:val="21"/>
          <w:lang w:val="de-DE"/>
        </w:rPr>
        <w:t xml:space="preserve"> 侧边弯曲度</w:t>
      </w:r>
    </w:p>
    <w:p w14:paraId="08101721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bookmarkStart w:id="11" w:name="_Hlk179973308"/>
      <w:r>
        <w:rPr>
          <w:rFonts w:hint="eastAsia" w:ascii="宋体" w:hAnsi="宋体"/>
          <w:szCs w:val="21"/>
          <w:lang w:val="de-DE"/>
        </w:rPr>
        <w:t>带</w:t>
      </w:r>
      <w:r>
        <w:rPr>
          <w:rFonts w:hint="eastAsia" w:ascii="宋体" w:hAnsi="宋体"/>
          <w:szCs w:val="21"/>
        </w:rPr>
        <w:t>箔材的侧边弯曲度应符合表4的规定。</w:t>
      </w:r>
    </w:p>
    <w:bookmarkEnd w:id="11"/>
    <w:p w14:paraId="6C540987">
      <w:pPr>
        <w:spacing w:line="340" w:lineRule="exact"/>
        <w:ind w:firstLine="3675" w:firstLineChars="1750"/>
        <w:rPr>
          <w:rFonts w:ascii="黑体" w:eastAsia="黑体"/>
          <w:szCs w:val="21"/>
        </w:rPr>
      </w:pPr>
      <w:bookmarkStart w:id="12" w:name="_Hlk179973299"/>
      <w:r>
        <w:rPr>
          <w:rFonts w:hint="eastAsia" w:ascii="黑体" w:eastAsia="黑体"/>
          <w:szCs w:val="21"/>
        </w:rPr>
        <w:t>表4 侧边弯曲度</w:t>
      </w:r>
    </w:p>
    <w:tbl>
      <w:tblPr>
        <w:tblStyle w:val="38"/>
        <w:tblW w:w="9356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4679"/>
      </w:tblGrid>
      <w:tr w14:paraId="48F6B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7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EFE77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宽度</w:t>
            </w:r>
          </w:p>
          <w:p w14:paraId="3331D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4679" w:type="dxa"/>
            <w:tcBorders>
              <w:top w:val="single" w:color="auto" w:sz="12" w:space="0"/>
              <w:bottom w:val="single" w:color="auto" w:sz="12" w:space="0"/>
            </w:tcBorders>
          </w:tcPr>
          <w:p w14:paraId="1957F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侧边弯曲度</w:t>
            </w:r>
          </w:p>
          <w:p w14:paraId="5FC7A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mm/m</w:t>
            </w:r>
          </w:p>
          <w:p w14:paraId="094220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不大于</w:t>
            </w:r>
          </w:p>
        </w:tc>
      </w:tr>
      <w:tr w14:paraId="523C7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77" w:type="dxa"/>
            <w:tcBorders>
              <w:top w:val="single" w:color="auto" w:sz="12" w:space="0"/>
            </w:tcBorders>
            <w:vAlign w:val="center"/>
          </w:tcPr>
          <w:p w14:paraId="0150AB37">
            <w:pPr>
              <w:spacing w:line="340" w:lineRule="exact"/>
              <w:ind w:firstLine="1980" w:firstLineChars="1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8.50～50.00</w:t>
            </w:r>
          </w:p>
        </w:tc>
        <w:tc>
          <w:tcPr>
            <w:tcW w:w="4679" w:type="dxa"/>
            <w:tcBorders>
              <w:top w:val="single" w:color="auto" w:sz="12" w:space="0"/>
            </w:tcBorders>
            <w:vAlign w:val="center"/>
          </w:tcPr>
          <w:p w14:paraId="3B8AADDB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</w:tr>
      <w:tr w14:paraId="05C7F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77" w:type="dxa"/>
            <w:vAlign w:val="center"/>
          </w:tcPr>
          <w:p w14:paraId="7552CE66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＞50</w:t>
            </w:r>
            <w:bookmarkStart w:id="13" w:name="OLE_LINK7"/>
            <w:r>
              <w:rPr>
                <w:sz w:val="18"/>
                <w:szCs w:val="18"/>
              </w:rPr>
              <w:t>.00～</w:t>
            </w:r>
            <w:bookmarkEnd w:id="13"/>
            <w:r>
              <w:rPr>
                <w:sz w:val="18"/>
                <w:szCs w:val="18"/>
              </w:rPr>
              <w:t>100.00</w:t>
            </w:r>
          </w:p>
        </w:tc>
        <w:tc>
          <w:tcPr>
            <w:tcW w:w="4679" w:type="dxa"/>
            <w:vAlign w:val="center"/>
          </w:tcPr>
          <w:p w14:paraId="19023C17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</w:tr>
      <w:tr w14:paraId="6A0D7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77" w:type="dxa"/>
            <w:vAlign w:val="center"/>
          </w:tcPr>
          <w:p w14:paraId="625EAC82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＞100.00～200.00</w:t>
            </w:r>
          </w:p>
        </w:tc>
        <w:tc>
          <w:tcPr>
            <w:tcW w:w="4679" w:type="dxa"/>
            <w:vAlign w:val="center"/>
          </w:tcPr>
          <w:p w14:paraId="37E868E9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</w:tr>
      <w:tr w14:paraId="53FD8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77" w:type="dxa"/>
            <w:vAlign w:val="center"/>
          </w:tcPr>
          <w:p w14:paraId="213E4BFA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＞300.00～850.00</w:t>
            </w:r>
          </w:p>
        </w:tc>
        <w:tc>
          <w:tcPr>
            <w:tcW w:w="4679" w:type="dxa"/>
            <w:vAlign w:val="center"/>
          </w:tcPr>
          <w:p w14:paraId="7C4DE956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bookmarkEnd w:id="12"/>
    </w:tbl>
    <w:p w14:paraId="439ECFAF"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hint="eastAsia" w:ascii="黑体" w:hAnsi="黑体" w:eastAsia="黑体" w:cs="黑体"/>
          <w:caps/>
          <w:szCs w:val="21"/>
        </w:rPr>
      </w:pPr>
      <w:r>
        <w:rPr>
          <w:rFonts w:hint="eastAsia" w:ascii="黑体" w:hAnsi="黑体" w:eastAsia="黑体" w:cs="黑体"/>
          <w:caps/>
          <w:szCs w:val="21"/>
        </w:rPr>
        <w:t>5.2.4 边缘毛刺</w:t>
      </w:r>
    </w:p>
    <w:p w14:paraId="2D15F1AE">
      <w:pPr>
        <w:ind w:firstLine="630" w:firstLineChars="300"/>
      </w:pPr>
      <w:bookmarkStart w:id="14" w:name="_Hlk179973321"/>
      <w:r>
        <w:rPr>
          <w:rFonts w:hint="eastAsia"/>
        </w:rPr>
        <w:t>带箔材的边缘毛刺应符合表5的规定。</w:t>
      </w:r>
    </w:p>
    <w:p w14:paraId="194C82CF">
      <w:pPr>
        <w:spacing w:line="340" w:lineRule="exact"/>
        <w:ind w:firstLine="3675" w:firstLineChars="175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表</w:t>
      </w:r>
      <w:r>
        <w:rPr>
          <w:rFonts w:ascii="黑体" w:eastAsia="黑体"/>
          <w:szCs w:val="21"/>
        </w:rPr>
        <w:t>5</w:t>
      </w:r>
      <w:r>
        <w:rPr>
          <w:rFonts w:hint="eastAsia" w:ascii="黑体" w:eastAsia="黑体"/>
          <w:szCs w:val="21"/>
        </w:rPr>
        <w:t xml:space="preserve"> 边缘毛刺</w:t>
      </w:r>
    </w:p>
    <w:p w14:paraId="184BFF05">
      <w:pPr>
        <w:spacing w:line="340" w:lineRule="exact"/>
        <w:ind w:firstLine="3150" w:firstLineChars="175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单位为毫米</w:t>
      </w:r>
    </w:p>
    <w:tbl>
      <w:tblPr>
        <w:tblStyle w:val="3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4673"/>
      </w:tblGrid>
      <w:tr w14:paraId="4FBAF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53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0EA95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厚度</w:t>
            </w:r>
          </w:p>
        </w:tc>
        <w:tc>
          <w:tcPr>
            <w:tcW w:w="467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465A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边缘毛刺</w:t>
            </w:r>
          </w:p>
          <w:p w14:paraId="10C0C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不大于</w:t>
            </w:r>
          </w:p>
        </w:tc>
      </w:tr>
      <w:tr w14:paraId="5AB21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35" w:type="dxa"/>
            <w:tcBorders>
              <w:top w:val="single" w:color="auto" w:sz="12" w:space="0"/>
            </w:tcBorders>
          </w:tcPr>
          <w:p w14:paraId="527DFFC7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0.080~0.400</w:t>
            </w:r>
          </w:p>
        </w:tc>
        <w:tc>
          <w:tcPr>
            <w:tcW w:w="4673" w:type="dxa"/>
            <w:tcBorders>
              <w:top w:val="single" w:color="auto" w:sz="12" w:space="0"/>
            </w:tcBorders>
          </w:tcPr>
          <w:p w14:paraId="46CA51D4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</w:tr>
    </w:tbl>
    <w:p w14:paraId="798482DC">
      <w:pPr>
        <w:rPr>
          <w:highlight w:val="yellow"/>
        </w:rPr>
      </w:pPr>
    </w:p>
    <w:bookmarkEnd w:id="14"/>
    <w:p w14:paraId="4165E1A0">
      <w:pPr>
        <w:rPr>
          <w:rFonts w:hint="eastAsia" w:ascii="黑体" w:hAnsi="黑体" w:eastAsia="黑体" w:cs="黑体"/>
          <w:caps/>
          <w:kern w:val="0"/>
          <w:szCs w:val="21"/>
        </w:rPr>
      </w:pPr>
      <w:r>
        <w:rPr>
          <w:rFonts w:hint="eastAsia" w:ascii="黑体" w:hAnsi="黑体" w:eastAsia="黑体" w:cs="黑体"/>
          <w:caps/>
          <w:kern w:val="0"/>
          <w:szCs w:val="21"/>
        </w:rPr>
        <w:t>5.2.5 扭曲度</w:t>
      </w:r>
    </w:p>
    <w:p w14:paraId="6F239A0B">
      <w:pPr>
        <w:ind w:firstLine="630" w:firstLineChars="300"/>
      </w:pPr>
      <w:bookmarkStart w:id="15" w:name="_Hlk179973348"/>
      <w:r>
        <w:rPr>
          <w:rFonts w:hint="eastAsia"/>
        </w:rPr>
        <w:t>带箔材的扭曲度应符合表6的规定。</w:t>
      </w:r>
    </w:p>
    <w:p w14:paraId="43D9805F">
      <w:pPr>
        <w:spacing w:line="340" w:lineRule="exact"/>
        <w:ind w:firstLine="3675" w:firstLineChars="175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表6 扭曲度</w:t>
      </w:r>
    </w:p>
    <w:tbl>
      <w:tblPr>
        <w:tblStyle w:val="38"/>
        <w:tblW w:w="0" w:type="auto"/>
        <w:tblInd w:w="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3115"/>
        <w:gridCol w:w="3115"/>
      </w:tblGrid>
      <w:tr w14:paraId="18DF1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6D8F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宽度</w:t>
            </w:r>
          </w:p>
          <w:p w14:paraId="00ABE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623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06962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扭曲度</w:t>
            </w:r>
          </w:p>
          <w:p w14:paraId="335164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（°）</w:t>
            </w:r>
          </w:p>
          <w:p w14:paraId="5755F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不大于</w:t>
            </w:r>
          </w:p>
        </w:tc>
      </w:tr>
      <w:tr w14:paraId="05498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78" w:type="dxa"/>
            <w:vMerge w:val="continue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41198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0AA662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普通级</w:t>
            </w:r>
          </w:p>
        </w:tc>
        <w:tc>
          <w:tcPr>
            <w:tcW w:w="311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2C2E3F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高精级</w:t>
            </w:r>
          </w:p>
        </w:tc>
      </w:tr>
      <w:tr w14:paraId="59009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78" w:type="dxa"/>
            <w:tcBorders>
              <w:top w:val="single" w:color="auto" w:sz="12" w:space="0"/>
            </w:tcBorders>
            <w:vAlign w:val="center"/>
          </w:tcPr>
          <w:p w14:paraId="70FBD7C8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8.50~30.00</w:t>
            </w:r>
          </w:p>
        </w:tc>
        <w:tc>
          <w:tcPr>
            <w:tcW w:w="3115" w:type="dxa"/>
            <w:tcBorders>
              <w:top w:val="single" w:color="auto" w:sz="12" w:space="0"/>
            </w:tcBorders>
            <w:vAlign w:val="center"/>
          </w:tcPr>
          <w:p w14:paraId="08921523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115" w:type="dxa"/>
            <w:tcBorders>
              <w:top w:val="single" w:color="auto" w:sz="12" w:space="0"/>
            </w:tcBorders>
            <w:vAlign w:val="center"/>
          </w:tcPr>
          <w:p w14:paraId="67418E65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14:paraId="7FE67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78" w:type="dxa"/>
            <w:vAlign w:val="center"/>
          </w:tcPr>
          <w:p w14:paraId="06F0D259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＞30.00~850.00</w:t>
            </w:r>
          </w:p>
        </w:tc>
        <w:tc>
          <w:tcPr>
            <w:tcW w:w="3115" w:type="dxa"/>
            <w:vAlign w:val="center"/>
          </w:tcPr>
          <w:p w14:paraId="5FC25694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115" w:type="dxa"/>
            <w:vAlign w:val="center"/>
          </w:tcPr>
          <w:p w14:paraId="3D805916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bookmarkEnd w:id="15"/>
    </w:tbl>
    <w:p w14:paraId="06321795">
      <w:pPr>
        <w:rPr>
          <w:rFonts w:hint="eastAsia" w:ascii="黑体" w:hAnsi="黑体" w:eastAsia="黑体" w:cs="黑体"/>
          <w:caps/>
          <w:kern w:val="0"/>
          <w:szCs w:val="21"/>
        </w:rPr>
      </w:pPr>
      <w:r>
        <w:rPr>
          <w:rFonts w:hint="eastAsia" w:ascii="黑体" w:hAnsi="黑体" w:eastAsia="黑体" w:cs="黑体"/>
          <w:caps/>
          <w:kern w:val="0"/>
          <w:szCs w:val="21"/>
        </w:rPr>
        <w:t>5.2.6 平整度</w:t>
      </w:r>
    </w:p>
    <w:p w14:paraId="62D99452">
      <w:pPr>
        <w:ind w:firstLine="420" w:firstLineChars="200"/>
      </w:pPr>
      <w:r>
        <w:rPr>
          <w:rFonts w:hint="eastAsia"/>
        </w:rPr>
        <w:t>带箔材的平整度应不大于0.5mm。</w:t>
      </w:r>
    </w:p>
    <w:p w14:paraId="184764EB"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hint="eastAsia" w:ascii="黑体" w:hAnsi="黑体" w:eastAsia="黑体" w:cs="黑体"/>
          <w:caps/>
          <w:szCs w:val="21"/>
        </w:rPr>
      </w:pPr>
      <w:r>
        <w:rPr>
          <w:rFonts w:ascii="黑体" w:hAnsi="黑体" w:eastAsia="黑体" w:cs="黑体"/>
          <w:caps/>
          <w:szCs w:val="21"/>
        </w:rPr>
        <w:t>5.3</w:t>
      </w:r>
      <w:r>
        <w:rPr>
          <w:rFonts w:hint="eastAsia" w:ascii="黑体" w:hAnsi="黑体" w:eastAsia="黑体" w:cs="黑体"/>
          <w:caps/>
          <w:szCs w:val="21"/>
        </w:rPr>
        <w:t xml:space="preserve"> 力学性能</w:t>
      </w:r>
    </w:p>
    <w:p w14:paraId="353CA435">
      <w:pPr>
        <w:pStyle w:val="3"/>
      </w:pPr>
      <w:r>
        <w:rPr>
          <w:rFonts w:hint="eastAsia"/>
          <w:lang w:val="de-DE"/>
        </w:rPr>
        <w:t>带</w:t>
      </w:r>
      <w:r>
        <w:rPr>
          <w:rFonts w:hint="eastAsia"/>
        </w:rPr>
        <w:t>箔材的室温力学性能应符合表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</w:rPr>
        <w:t>的规定。</w:t>
      </w:r>
    </w:p>
    <w:p w14:paraId="314552ED">
      <w:pPr>
        <w:jc w:val="center"/>
      </w:pPr>
      <w:r>
        <w:rPr>
          <w:rFonts w:hint="eastAsia" w:ascii="黑体" w:hAnsi="宋体" w:eastAsia="黑体"/>
          <w:szCs w:val="21"/>
        </w:rPr>
        <w:t>表</w:t>
      </w:r>
      <w:r>
        <w:rPr>
          <w:rFonts w:hint="eastAsia" w:ascii="黑体" w:hAnsi="宋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黑体" w:hAnsi="宋体" w:eastAsia="黑体"/>
          <w:szCs w:val="21"/>
        </w:rPr>
        <w:t xml:space="preserve"> 力学性能</w:t>
      </w:r>
    </w:p>
    <w:tbl>
      <w:tblPr>
        <w:tblStyle w:val="37"/>
        <w:tblpPr w:leftFromText="180" w:rightFromText="180" w:vertAnchor="text" w:horzAnchor="page" w:tblpX="1440" w:tblpY="263"/>
        <w:tblOverlap w:val="never"/>
        <w:tblW w:w="95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99"/>
        <w:gridCol w:w="1758"/>
        <w:gridCol w:w="2227"/>
        <w:gridCol w:w="1645"/>
        <w:gridCol w:w="1321"/>
      </w:tblGrid>
      <w:tr w14:paraId="6C575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71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B8B29E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bookmarkStart w:id="16" w:name="_Hlk179963897"/>
            <w:r>
              <w:rPr>
                <w:rFonts w:hint="eastAsia" w:ascii="宋体" w:hAnsi="宋体" w:cs="宋体"/>
                <w:sz w:val="18"/>
                <w:szCs w:val="18"/>
              </w:rPr>
              <w:t>牌号</w:t>
            </w:r>
          </w:p>
        </w:tc>
        <w:tc>
          <w:tcPr>
            <w:tcW w:w="1299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4D2B07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状态</w:t>
            </w:r>
          </w:p>
        </w:tc>
        <w:tc>
          <w:tcPr>
            <w:tcW w:w="5630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1C9D97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拉伸试验</w:t>
            </w:r>
          </w:p>
        </w:tc>
        <w:tc>
          <w:tcPr>
            <w:tcW w:w="132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7A8A890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硬度试验</w:t>
            </w:r>
          </w:p>
        </w:tc>
      </w:tr>
      <w:tr w14:paraId="09753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1271" w:type="dxa"/>
            <w:vMerge w:val="continue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6E06F9C2">
            <w:pPr>
              <w:jc w:val="center"/>
              <w:rPr>
                <w:rFonts w:hint="eastAsia" w:ascii="宋体" w:hAnsi="宋体" w:cs="宋体"/>
                <w:color w:val="4F81BD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1CA872B4">
            <w:pPr>
              <w:jc w:val="center"/>
              <w:rPr>
                <w:rFonts w:hint="eastAsia" w:ascii="宋体" w:hAnsi="宋体" w:cs="宋体"/>
                <w:color w:val="4F81BD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75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32CD8F4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抗拉强度</w:t>
            </w:r>
          </w:p>
          <w:p w14:paraId="12FE950D">
            <w:pPr>
              <w:widowControl/>
              <w:jc w:val="center"/>
              <w:textAlignment w:val="center"/>
              <w:rPr>
                <w:sz w:val="18"/>
                <w:szCs w:val="18"/>
                <w:vertAlign w:val="subscript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（</w:t>
            </w:r>
            <w:r>
              <w:rPr>
                <w:i/>
                <w:iCs/>
                <w:sz w:val="18"/>
                <w:szCs w:val="18"/>
                <w:lang w:bidi="ar"/>
              </w:rPr>
              <w:t>R</w:t>
            </w:r>
            <w:r>
              <w:rPr>
                <w:sz w:val="18"/>
                <w:szCs w:val="18"/>
                <w:vertAlign w:val="subscript"/>
                <w:lang w:bidi="ar"/>
              </w:rPr>
              <w:t>m</w:t>
            </w:r>
            <w:r>
              <w:rPr>
                <w:rFonts w:hint="eastAsia"/>
                <w:sz w:val="18"/>
                <w:szCs w:val="18"/>
                <w:lang w:bidi="ar"/>
              </w:rPr>
              <w:t>）</w:t>
            </w:r>
          </w:p>
          <w:p w14:paraId="462398FA">
            <w:pPr>
              <w:widowControl/>
              <w:contextualSpacing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M</w:t>
            </w:r>
            <w:r>
              <w:rPr>
                <w:rFonts w:hint="eastAsia"/>
                <w:sz w:val="18"/>
                <w:szCs w:val="18"/>
                <w:lang w:bidi="ar"/>
              </w:rPr>
              <w:t>P</w:t>
            </w:r>
            <w:r>
              <w:rPr>
                <w:sz w:val="18"/>
                <w:szCs w:val="18"/>
                <w:lang w:bidi="ar"/>
              </w:rPr>
              <w:t>a</w:t>
            </w:r>
          </w:p>
        </w:tc>
        <w:tc>
          <w:tcPr>
            <w:tcW w:w="2227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2BF84E4A">
            <w:pPr>
              <w:widowControl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规定塑性延伸强度（</w:t>
            </w:r>
            <w:r>
              <w:rPr>
                <w:i/>
                <w:iCs/>
                <w:sz w:val="18"/>
                <w:szCs w:val="18"/>
                <w:lang w:bidi="ar"/>
              </w:rPr>
              <w:t>R</w:t>
            </w:r>
            <w:r>
              <w:rPr>
                <w:sz w:val="18"/>
                <w:szCs w:val="18"/>
                <w:vertAlign w:val="subscript"/>
                <w:lang w:bidi="ar"/>
              </w:rPr>
              <w:t>p0.2</w:t>
            </w:r>
            <w:r>
              <w:rPr>
                <w:rFonts w:hint="eastAsia"/>
                <w:sz w:val="18"/>
                <w:szCs w:val="18"/>
                <w:lang w:bidi="ar"/>
              </w:rPr>
              <w:t>）</w:t>
            </w:r>
          </w:p>
          <w:p w14:paraId="34A2D6A3">
            <w:pPr>
              <w:widowControl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MPa</w:t>
            </w:r>
          </w:p>
        </w:tc>
        <w:tc>
          <w:tcPr>
            <w:tcW w:w="164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15C96BED">
            <w:pPr>
              <w:widowControl/>
              <w:jc w:val="center"/>
              <w:textAlignment w:val="center"/>
              <w:rPr>
                <w:rStyle w:val="134"/>
                <w:rFonts w:hint="default"/>
                <w:lang w:bidi="ar"/>
              </w:rPr>
            </w:pPr>
            <w:r>
              <w:rPr>
                <w:rStyle w:val="134"/>
                <w:rFonts w:hint="default"/>
                <w:lang w:bidi="ar"/>
              </w:rPr>
              <w:t>断后伸长率</w:t>
            </w:r>
          </w:p>
          <w:p w14:paraId="6B3E1CB7">
            <w:pPr>
              <w:widowControl/>
              <w:jc w:val="center"/>
              <w:textAlignment w:val="center"/>
              <w:rPr>
                <w:sz w:val="18"/>
                <w:szCs w:val="18"/>
                <w:vertAlign w:val="subscript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（</w:t>
            </w:r>
            <w:r>
              <w:rPr>
                <w:i/>
                <w:iCs/>
                <w:sz w:val="18"/>
                <w:szCs w:val="18"/>
                <w:lang w:bidi="ar"/>
              </w:rPr>
              <w:t>A</w:t>
            </w:r>
            <w:r>
              <w:rPr>
                <w:rFonts w:hint="eastAsia"/>
                <w:sz w:val="18"/>
                <w:szCs w:val="18"/>
                <w:vertAlign w:val="subscript"/>
                <w:lang w:bidi="ar"/>
              </w:rPr>
              <w:t>50mm</w:t>
            </w:r>
            <w:r>
              <w:rPr>
                <w:rFonts w:hint="eastAsia"/>
                <w:sz w:val="18"/>
                <w:szCs w:val="18"/>
                <w:lang w:bidi="ar"/>
              </w:rPr>
              <w:t>）</w:t>
            </w:r>
          </w:p>
          <w:p w14:paraId="359FBFE6">
            <w:pPr>
              <w:widowControl/>
              <w:contextualSpacing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%</w:t>
            </w:r>
          </w:p>
        </w:tc>
        <w:tc>
          <w:tcPr>
            <w:tcW w:w="132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4C919E5D">
            <w:pPr>
              <w:jc w:val="center"/>
              <w:rPr>
                <w:rFonts w:hint="eastAsia" w:ascii="宋体" w:hAnsi="宋体" w:cs="宋体"/>
                <w:color w:val="4F81BD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维氏硬度HV</w:t>
            </w:r>
          </w:p>
        </w:tc>
      </w:tr>
      <w:tr w14:paraId="7FD61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71" w:type="dxa"/>
            <w:vMerge w:val="restart"/>
            <w:tcBorders>
              <w:top w:val="single" w:color="auto" w:sz="12" w:space="0"/>
            </w:tcBorders>
            <w:vAlign w:val="center"/>
          </w:tcPr>
          <w:p w14:paraId="4B8F8DF6">
            <w:pPr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QSn4-0.3</w:t>
            </w:r>
          </w:p>
        </w:tc>
        <w:tc>
          <w:tcPr>
            <w:tcW w:w="1299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5D45E1D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H06</w:t>
            </w:r>
          </w:p>
        </w:tc>
        <w:tc>
          <w:tcPr>
            <w:tcW w:w="1758" w:type="dxa"/>
            <w:tcBorders>
              <w:top w:val="single" w:color="auto" w:sz="12" w:space="0"/>
            </w:tcBorders>
            <w:vAlign w:val="center"/>
          </w:tcPr>
          <w:p w14:paraId="5CF50BC1">
            <w:pPr>
              <w:widowControl/>
              <w:jc w:val="center"/>
              <w:textAlignment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580</w:t>
            </w:r>
            <w:r>
              <w:rPr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680</w:t>
            </w:r>
          </w:p>
        </w:tc>
        <w:tc>
          <w:tcPr>
            <w:tcW w:w="2227" w:type="dxa"/>
            <w:tcBorders>
              <w:top w:val="single" w:color="auto" w:sz="12" w:space="0"/>
            </w:tcBorders>
            <w:vAlign w:val="center"/>
          </w:tcPr>
          <w:p w14:paraId="3FD0DC7B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≥530</w:t>
            </w:r>
          </w:p>
        </w:tc>
        <w:tc>
          <w:tcPr>
            <w:tcW w:w="1645" w:type="dxa"/>
            <w:tcBorders>
              <w:top w:val="single" w:color="auto" w:sz="12" w:space="0"/>
            </w:tcBorders>
            <w:vAlign w:val="center"/>
          </w:tcPr>
          <w:p w14:paraId="4AA72DB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≥13</w:t>
            </w:r>
          </w:p>
        </w:tc>
        <w:tc>
          <w:tcPr>
            <w:tcW w:w="1321" w:type="dxa"/>
            <w:tcBorders>
              <w:top w:val="single" w:color="auto" w:sz="12" w:space="0"/>
            </w:tcBorders>
            <w:vAlign w:val="center"/>
          </w:tcPr>
          <w:p w14:paraId="0A91362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170</w:t>
            </w:r>
            <w:r>
              <w:rPr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</w:tr>
      <w:tr w14:paraId="6E791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52CB6FC4">
            <w:pPr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618B8B9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H08</w:t>
            </w:r>
          </w:p>
        </w:tc>
        <w:tc>
          <w:tcPr>
            <w:tcW w:w="1758" w:type="dxa"/>
            <w:vAlign w:val="center"/>
          </w:tcPr>
          <w:p w14:paraId="4177147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660</w:t>
            </w:r>
            <w:r>
              <w:rPr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760</w:t>
            </w:r>
          </w:p>
        </w:tc>
        <w:tc>
          <w:tcPr>
            <w:tcW w:w="2227" w:type="dxa"/>
            <w:vAlign w:val="center"/>
          </w:tcPr>
          <w:p w14:paraId="1058252B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≥630</w:t>
            </w:r>
          </w:p>
        </w:tc>
        <w:tc>
          <w:tcPr>
            <w:tcW w:w="1645" w:type="dxa"/>
            <w:vAlign w:val="center"/>
          </w:tcPr>
          <w:p w14:paraId="2096AE9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≥7</w:t>
            </w:r>
          </w:p>
        </w:tc>
        <w:tc>
          <w:tcPr>
            <w:tcW w:w="1321" w:type="dxa"/>
            <w:vAlign w:val="center"/>
          </w:tcPr>
          <w:p w14:paraId="4FB5047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180</w:t>
            </w:r>
            <w:r>
              <w:rPr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</w:tr>
      <w:tr w14:paraId="229EF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37772465">
            <w:pPr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70BC01D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H10</w:t>
            </w:r>
          </w:p>
        </w:tc>
        <w:tc>
          <w:tcPr>
            <w:tcW w:w="1758" w:type="dxa"/>
            <w:vAlign w:val="center"/>
          </w:tcPr>
          <w:p w14:paraId="779F9C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700</w:t>
            </w:r>
            <w:r>
              <w:rPr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2227" w:type="dxa"/>
            <w:vAlign w:val="center"/>
          </w:tcPr>
          <w:p w14:paraId="4140DD3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≥690</w:t>
            </w:r>
          </w:p>
        </w:tc>
        <w:tc>
          <w:tcPr>
            <w:tcW w:w="1645" w:type="dxa"/>
            <w:vAlign w:val="center"/>
          </w:tcPr>
          <w:p w14:paraId="7074265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≥3</w:t>
            </w:r>
          </w:p>
        </w:tc>
        <w:tc>
          <w:tcPr>
            <w:tcW w:w="1321" w:type="dxa"/>
            <w:vAlign w:val="center"/>
          </w:tcPr>
          <w:p w14:paraId="32EF550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190</w:t>
            </w:r>
            <w:r>
              <w:rPr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</w:tr>
      <w:tr w14:paraId="4D8C7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71" w:type="dxa"/>
            <w:vMerge w:val="restart"/>
            <w:vAlign w:val="center"/>
          </w:tcPr>
          <w:p w14:paraId="2A714C99">
            <w:pPr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QSn6-0.2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7945D33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H04</w:t>
            </w:r>
          </w:p>
        </w:tc>
        <w:tc>
          <w:tcPr>
            <w:tcW w:w="1758" w:type="dxa"/>
            <w:vAlign w:val="center"/>
          </w:tcPr>
          <w:p w14:paraId="71C862A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550</w:t>
            </w:r>
            <w:r>
              <w:rPr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650</w:t>
            </w:r>
          </w:p>
        </w:tc>
        <w:tc>
          <w:tcPr>
            <w:tcW w:w="2227" w:type="dxa"/>
            <w:vAlign w:val="center"/>
          </w:tcPr>
          <w:p w14:paraId="2F7D03BF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≥500</w:t>
            </w:r>
          </w:p>
        </w:tc>
        <w:tc>
          <w:tcPr>
            <w:tcW w:w="1645" w:type="dxa"/>
            <w:vAlign w:val="center"/>
          </w:tcPr>
          <w:p w14:paraId="6A058C0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≥16</w:t>
            </w:r>
          </w:p>
        </w:tc>
        <w:tc>
          <w:tcPr>
            <w:tcW w:w="1321" w:type="dxa"/>
            <w:vAlign w:val="center"/>
          </w:tcPr>
          <w:p w14:paraId="71D9D9F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170</w:t>
            </w:r>
            <w:r>
              <w:rPr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</w:tr>
      <w:tr w14:paraId="08030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2012D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0CFA274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H06</w:t>
            </w:r>
          </w:p>
        </w:tc>
        <w:tc>
          <w:tcPr>
            <w:tcW w:w="1758" w:type="dxa"/>
            <w:vAlign w:val="center"/>
          </w:tcPr>
          <w:p w14:paraId="73C0D9D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670</w:t>
            </w:r>
            <w:r>
              <w:rPr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780</w:t>
            </w:r>
          </w:p>
        </w:tc>
        <w:tc>
          <w:tcPr>
            <w:tcW w:w="2227" w:type="dxa"/>
            <w:vAlign w:val="center"/>
          </w:tcPr>
          <w:p w14:paraId="48718576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≥660</w:t>
            </w:r>
          </w:p>
        </w:tc>
        <w:tc>
          <w:tcPr>
            <w:tcW w:w="1645" w:type="dxa"/>
            <w:vAlign w:val="center"/>
          </w:tcPr>
          <w:p w14:paraId="4619EBF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≥7</w:t>
            </w:r>
          </w:p>
        </w:tc>
        <w:tc>
          <w:tcPr>
            <w:tcW w:w="1321" w:type="dxa"/>
            <w:vAlign w:val="center"/>
          </w:tcPr>
          <w:p w14:paraId="6B7F26D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200</w:t>
            </w:r>
            <w:r>
              <w:rPr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260</w:t>
            </w:r>
          </w:p>
        </w:tc>
      </w:tr>
      <w:tr w14:paraId="5A1BB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71" w:type="dxa"/>
            <w:vMerge w:val="restart"/>
            <w:vAlign w:val="center"/>
          </w:tcPr>
          <w:p w14:paraId="77AF55AF">
            <w:pPr>
              <w:jc w:val="center"/>
              <w:rPr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QSn8-0.3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C770460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H04</w:t>
            </w:r>
          </w:p>
        </w:tc>
        <w:tc>
          <w:tcPr>
            <w:tcW w:w="1758" w:type="dxa"/>
            <w:vAlign w:val="center"/>
          </w:tcPr>
          <w:p w14:paraId="1CEF9CA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590</w:t>
            </w:r>
            <w:r>
              <w:rPr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705</w:t>
            </w:r>
          </w:p>
        </w:tc>
        <w:tc>
          <w:tcPr>
            <w:tcW w:w="2227" w:type="dxa"/>
            <w:vAlign w:val="center"/>
          </w:tcPr>
          <w:p w14:paraId="2F58D0D0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≥540</w:t>
            </w:r>
          </w:p>
        </w:tc>
        <w:tc>
          <w:tcPr>
            <w:tcW w:w="1645" w:type="dxa"/>
            <w:vAlign w:val="center"/>
          </w:tcPr>
          <w:p w14:paraId="7D4F8CD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≥20</w:t>
            </w:r>
          </w:p>
        </w:tc>
        <w:tc>
          <w:tcPr>
            <w:tcW w:w="1321" w:type="dxa"/>
            <w:vAlign w:val="center"/>
          </w:tcPr>
          <w:p w14:paraId="6FDBB0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185</w:t>
            </w:r>
            <w:r>
              <w:rPr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235</w:t>
            </w:r>
          </w:p>
        </w:tc>
      </w:tr>
      <w:tr w14:paraId="16D4B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755CE7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082CB09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H06</w:t>
            </w:r>
          </w:p>
        </w:tc>
        <w:tc>
          <w:tcPr>
            <w:tcW w:w="1758" w:type="dxa"/>
            <w:vAlign w:val="center"/>
          </w:tcPr>
          <w:p w14:paraId="357F881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685</w:t>
            </w:r>
            <w:r>
              <w:rPr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785</w:t>
            </w:r>
          </w:p>
        </w:tc>
        <w:tc>
          <w:tcPr>
            <w:tcW w:w="2227" w:type="dxa"/>
            <w:vAlign w:val="center"/>
          </w:tcPr>
          <w:p w14:paraId="7893CDA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≥650</w:t>
            </w:r>
          </w:p>
        </w:tc>
        <w:tc>
          <w:tcPr>
            <w:tcW w:w="1645" w:type="dxa"/>
            <w:vAlign w:val="center"/>
          </w:tcPr>
          <w:p w14:paraId="5944E1C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≥15</w:t>
            </w:r>
          </w:p>
        </w:tc>
        <w:tc>
          <w:tcPr>
            <w:tcW w:w="1321" w:type="dxa"/>
            <w:vAlign w:val="center"/>
          </w:tcPr>
          <w:p w14:paraId="429630A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210</w:t>
            </w:r>
            <w:r>
              <w:rPr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260</w:t>
            </w:r>
          </w:p>
        </w:tc>
      </w:tr>
      <w:tr w14:paraId="2DCE6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78855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2D81A06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H08</w:t>
            </w:r>
          </w:p>
        </w:tc>
        <w:tc>
          <w:tcPr>
            <w:tcW w:w="1758" w:type="dxa"/>
            <w:vAlign w:val="center"/>
          </w:tcPr>
          <w:p w14:paraId="60F27D6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735</w:t>
            </w:r>
            <w:r>
              <w:rPr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835</w:t>
            </w:r>
          </w:p>
        </w:tc>
        <w:tc>
          <w:tcPr>
            <w:tcW w:w="2227" w:type="dxa"/>
            <w:vAlign w:val="center"/>
          </w:tcPr>
          <w:p w14:paraId="51C0F1C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≥700</w:t>
            </w:r>
          </w:p>
        </w:tc>
        <w:tc>
          <w:tcPr>
            <w:tcW w:w="1645" w:type="dxa"/>
            <w:vAlign w:val="center"/>
          </w:tcPr>
          <w:p w14:paraId="7207CBE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≥9</w:t>
            </w:r>
          </w:p>
        </w:tc>
        <w:tc>
          <w:tcPr>
            <w:tcW w:w="1321" w:type="dxa"/>
            <w:vAlign w:val="center"/>
          </w:tcPr>
          <w:p w14:paraId="30259B9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230</w:t>
            </w:r>
            <w:r>
              <w:rPr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270</w:t>
            </w:r>
          </w:p>
        </w:tc>
      </w:tr>
      <w:tr w14:paraId="6431D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635E21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2D3D0976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H10</w:t>
            </w:r>
          </w:p>
        </w:tc>
        <w:tc>
          <w:tcPr>
            <w:tcW w:w="1758" w:type="dxa"/>
            <w:vAlign w:val="center"/>
          </w:tcPr>
          <w:p w14:paraId="19A0C3E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800</w:t>
            </w:r>
            <w:r>
              <w:rPr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900</w:t>
            </w:r>
          </w:p>
        </w:tc>
        <w:tc>
          <w:tcPr>
            <w:tcW w:w="2227" w:type="dxa"/>
            <w:vAlign w:val="center"/>
          </w:tcPr>
          <w:p w14:paraId="4787DB5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≥775</w:t>
            </w:r>
          </w:p>
        </w:tc>
        <w:tc>
          <w:tcPr>
            <w:tcW w:w="1645" w:type="dxa"/>
            <w:vAlign w:val="center"/>
          </w:tcPr>
          <w:p w14:paraId="41F7814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≥5</w:t>
            </w:r>
          </w:p>
        </w:tc>
        <w:tc>
          <w:tcPr>
            <w:tcW w:w="1321" w:type="dxa"/>
            <w:vAlign w:val="center"/>
          </w:tcPr>
          <w:p w14:paraId="4F289D9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250</w:t>
            </w:r>
            <w:r>
              <w:rPr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290</w:t>
            </w:r>
          </w:p>
        </w:tc>
      </w:tr>
      <w:tr w14:paraId="3D591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71" w:type="dxa"/>
            <w:vMerge w:val="restart"/>
            <w:vAlign w:val="center"/>
          </w:tcPr>
          <w:p w14:paraId="67FD14D3">
            <w:pPr>
              <w:jc w:val="center"/>
              <w:rPr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QSn10-0.2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7314DAAF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H04</w:t>
            </w:r>
          </w:p>
        </w:tc>
        <w:tc>
          <w:tcPr>
            <w:tcW w:w="1758" w:type="dxa"/>
            <w:vAlign w:val="center"/>
          </w:tcPr>
          <w:p w14:paraId="02166B5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650</w:t>
            </w:r>
            <w:r>
              <w:rPr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750</w:t>
            </w:r>
          </w:p>
        </w:tc>
        <w:tc>
          <w:tcPr>
            <w:tcW w:w="2227" w:type="dxa"/>
            <w:vAlign w:val="center"/>
          </w:tcPr>
          <w:p w14:paraId="312043D1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580</w:t>
            </w:r>
            <w:r>
              <w:rPr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690</w:t>
            </w:r>
          </w:p>
        </w:tc>
        <w:tc>
          <w:tcPr>
            <w:tcW w:w="1645" w:type="dxa"/>
            <w:vAlign w:val="center"/>
          </w:tcPr>
          <w:p w14:paraId="3DD67BA6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≥11</w:t>
            </w:r>
          </w:p>
        </w:tc>
        <w:tc>
          <w:tcPr>
            <w:tcW w:w="1321" w:type="dxa"/>
            <w:vAlign w:val="center"/>
          </w:tcPr>
          <w:p w14:paraId="68526E29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200</w:t>
            </w:r>
            <w:r>
              <w:rPr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</w:tr>
      <w:tr w14:paraId="7BC34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1E3222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04662EE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H06</w:t>
            </w:r>
          </w:p>
        </w:tc>
        <w:tc>
          <w:tcPr>
            <w:tcW w:w="1758" w:type="dxa"/>
            <w:vAlign w:val="center"/>
          </w:tcPr>
          <w:p w14:paraId="5F2266A0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750</w:t>
            </w:r>
            <w:r>
              <w:rPr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850</w:t>
            </w:r>
          </w:p>
        </w:tc>
        <w:tc>
          <w:tcPr>
            <w:tcW w:w="2227" w:type="dxa"/>
            <w:vAlign w:val="center"/>
          </w:tcPr>
          <w:p w14:paraId="45C7FAF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650</w:t>
            </w:r>
            <w:r>
              <w:rPr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790</w:t>
            </w:r>
          </w:p>
        </w:tc>
        <w:tc>
          <w:tcPr>
            <w:tcW w:w="1645" w:type="dxa"/>
            <w:vAlign w:val="center"/>
          </w:tcPr>
          <w:p w14:paraId="23F4A736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≥9</w:t>
            </w:r>
          </w:p>
        </w:tc>
        <w:tc>
          <w:tcPr>
            <w:tcW w:w="1321" w:type="dxa"/>
            <w:vAlign w:val="center"/>
          </w:tcPr>
          <w:p w14:paraId="7BBF7A49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230</w:t>
            </w:r>
            <w:r>
              <w:rPr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270</w:t>
            </w:r>
          </w:p>
        </w:tc>
      </w:tr>
      <w:tr w14:paraId="56525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0CA72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03AC953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H08</w:t>
            </w:r>
          </w:p>
        </w:tc>
        <w:tc>
          <w:tcPr>
            <w:tcW w:w="1758" w:type="dxa"/>
            <w:vAlign w:val="center"/>
          </w:tcPr>
          <w:p w14:paraId="0EE6309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850</w:t>
            </w:r>
            <w:r>
              <w:rPr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950</w:t>
            </w:r>
          </w:p>
        </w:tc>
        <w:tc>
          <w:tcPr>
            <w:tcW w:w="2227" w:type="dxa"/>
            <w:vAlign w:val="center"/>
          </w:tcPr>
          <w:p w14:paraId="2FE39648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780</w:t>
            </w:r>
            <w:r>
              <w:rPr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920</w:t>
            </w:r>
          </w:p>
        </w:tc>
        <w:tc>
          <w:tcPr>
            <w:tcW w:w="1645" w:type="dxa"/>
            <w:vAlign w:val="center"/>
          </w:tcPr>
          <w:p w14:paraId="4909182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≥5</w:t>
            </w:r>
          </w:p>
        </w:tc>
        <w:tc>
          <w:tcPr>
            <w:tcW w:w="1321" w:type="dxa"/>
            <w:vAlign w:val="center"/>
          </w:tcPr>
          <w:p w14:paraId="7CF1763F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250</w:t>
            </w:r>
            <w:r>
              <w:rPr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290</w:t>
            </w:r>
          </w:p>
        </w:tc>
      </w:tr>
      <w:tr w14:paraId="1CA83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2F0A13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308E334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H10</w:t>
            </w:r>
          </w:p>
        </w:tc>
        <w:tc>
          <w:tcPr>
            <w:tcW w:w="1758" w:type="dxa"/>
            <w:vAlign w:val="center"/>
          </w:tcPr>
          <w:p w14:paraId="5A52491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950</w:t>
            </w:r>
            <w:r>
              <w:rPr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1050</w:t>
            </w:r>
          </w:p>
        </w:tc>
        <w:tc>
          <w:tcPr>
            <w:tcW w:w="2227" w:type="dxa"/>
            <w:vAlign w:val="center"/>
          </w:tcPr>
          <w:p w14:paraId="21CBD652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900</w:t>
            </w:r>
            <w:r>
              <w:rPr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1030</w:t>
            </w:r>
          </w:p>
        </w:tc>
        <w:tc>
          <w:tcPr>
            <w:tcW w:w="1645" w:type="dxa"/>
            <w:vAlign w:val="center"/>
          </w:tcPr>
          <w:p w14:paraId="23E9DA2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≥1</w:t>
            </w:r>
          </w:p>
        </w:tc>
        <w:tc>
          <w:tcPr>
            <w:tcW w:w="1321" w:type="dxa"/>
            <w:vAlign w:val="center"/>
          </w:tcPr>
          <w:p w14:paraId="5D623C1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270</w:t>
            </w:r>
            <w:r>
              <w:rPr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310</w:t>
            </w:r>
          </w:p>
        </w:tc>
      </w:tr>
      <w:tr w14:paraId="5DB91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7BE81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11D9293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H12</w:t>
            </w:r>
          </w:p>
        </w:tc>
        <w:tc>
          <w:tcPr>
            <w:tcW w:w="1758" w:type="dxa"/>
            <w:vAlign w:val="center"/>
          </w:tcPr>
          <w:p w14:paraId="530FF07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1000</w:t>
            </w:r>
            <w:r>
              <w:rPr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2227" w:type="dxa"/>
            <w:vAlign w:val="center"/>
          </w:tcPr>
          <w:p w14:paraId="2589B16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950</w:t>
            </w:r>
            <w:r>
              <w:rPr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1190</w:t>
            </w:r>
          </w:p>
        </w:tc>
        <w:tc>
          <w:tcPr>
            <w:tcW w:w="1645" w:type="dxa"/>
            <w:vAlign w:val="center"/>
          </w:tcPr>
          <w:p w14:paraId="2E673C32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321" w:type="dxa"/>
            <w:vAlign w:val="center"/>
          </w:tcPr>
          <w:p w14:paraId="497D0F19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≥290</w:t>
            </w:r>
          </w:p>
        </w:tc>
      </w:tr>
      <w:bookmarkEnd w:id="16"/>
    </w:tbl>
    <w:p w14:paraId="4F87F70F"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hint="eastAsia" w:ascii="黑体" w:hAnsi="黑体" w:eastAsia="黑体" w:cs="黑体"/>
          <w:caps/>
          <w:szCs w:val="21"/>
        </w:rPr>
      </w:pPr>
      <w:r>
        <w:rPr>
          <w:rFonts w:ascii="黑体" w:hAnsi="黑体" w:eastAsia="黑体" w:cs="黑体"/>
          <w:caps/>
          <w:szCs w:val="21"/>
        </w:rPr>
        <w:t>5.</w:t>
      </w:r>
      <w:r>
        <w:rPr>
          <w:rFonts w:hint="eastAsia" w:ascii="黑体" w:hAnsi="黑体" w:eastAsia="黑体" w:cs="黑体"/>
          <w:caps/>
          <w:szCs w:val="21"/>
        </w:rPr>
        <w:t>4</w:t>
      </w:r>
      <w:r>
        <w:rPr>
          <w:rFonts w:ascii="黑体" w:hAnsi="黑体" w:eastAsia="黑体" w:cs="黑体"/>
          <w:caps/>
          <w:szCs w:val="21"/>
        </w:rPr>
        <w:t xml:space="preserve"> </w:t>
      </w:r>
      <w:r>
        <w:rPr>
          <w:rFonts w:hint="eastAsia" w:ascii="黑体" w:hAnsi="黑体" w:eastAsia="黑体" w:cs="黑体"/>
          <w:caps/>
          <w:szCs w:val="21"/>
        </w:rPr>
        <w:t>弯曲试验</w:t>
      </w:r>
    </w:p>
    <w:p w14:paraId="038149BC">
      <w:pPr>
        <w:pStyle w:val="3"/>
      </w:pPr>
      <w:r>
        <w:rPr>
          <w:rFonts w:hint="eastAsia"/>
          <w:kern w:val="2"/>
          <w:szCs w:val="24"/>
        </w:rPr>
        <w:t>带箔材可进行弯曲试验，试验条件</w:t>
      </w:r>
      <w:r>
        <w:rPr>
          <w:rFonts w:hint="eastAsia"/>
        </w:rPr>
        <w:t>应符合表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</w:rPr>
        <w:t>的规定。试验后弯曲外侧不应有肉眼可见的裂纹,试验后满足</w:t>
      </w:r>
      <w:bookmarkStart w:id="17" w:name="_Hlk179964051"/>
      <w:r>
        <w:rPr>
          <w:rFonts w:hint="eastAsia" w:cs="宋体"/>
        </w:rPr>
        <w:t>YS/T xxxx-2024</w:t>
      </w:r>
      <w:bookmarkEnd w:id="17"/>
      <w:r>
        <w:rPr>
          <w:rFonts w:hint="eastAsia" w:cs="宋体"/>
        </w:rPr>
        <w:t>中3级及以上的规定</w:t>
      </w:r>
      <w:r>
        <w:rPr>
          <w:rFonts w:hint="eastAsia"/>
        </w:rPr>
        <w:t>。</w:t>
      </w:r>
    </w:p>
    <w:p w14:paraId="11F667B3">
      <w:pPr>
        <w:ind w:right="-333" w:rightChars="-159"/>
        <w:jc w:val="center"/>
        <w:outlineLvl w:val="0"/>
        <w:rPr>
          <w:rFonts w:hint="eastAsia" w:ascii="宋体" w:hAnsi="宋体"/>
          <w:szCs w:val="21"/>
        </w:rPr>
      </w:pPr>
      <w:bookmarkStart w:id="18" w:name="_Hlk179964246"/>
      <w:r>
        <w:rPr>
          <w:rFonts w:hint="eastAsia" w:ascii="黑体" w:hAnsi="宋体" w:eastAsia="黑体"/>
          <w:szCs w:val="21"/>
        </w:rPr>
        <w:t>表8 弯曲试验</w:t>
      </w:r>
    </w:p>
    <w:tbl>
      <w:tblPr>
        <w:tblStyle w:val="37"/>
        <w:tblW w:w="516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73"/>
        <w:gridCol w:w="1993"/>
        <w:gridCol w:w="2520"/>
        <w:gridCol w:w="2900"/>
      </w:tblGrid>
      <w:tr w14:paraId="3CA0D9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73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EC8F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牌号</w:t>
            </w:r>
          </w:p>
        </w:tc>
        <w:tc>
          <w:tcPr>
            <w:tcW w:w="1029" w:type="pct"/>
            <w:vMerge w:val="restar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FC12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  <w:tc>
          <w:tcPr>
            <w:tcW w:w="2798" w:type="pct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68A1B61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</w:rPr>
              <w:t>最大弯曲内侧半径</w:t>
            </w:r>
            <w:r>
              <w:rPr>
                <w:rFonts w:hint="eastAsia"/>
                <w:sz w:val="18"/>
                <w:szCs w:val="18"/>
              </w:rPr>
              <w:t>（90°）</w:t>
            </w:r>
          </w:p>
        </w:tc>
      </w:tr>
      <w:tr w14:paraId="55E1B5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73" w:type="pct"/>
            <w:vMerge w:val="continue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01CB05AF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64A5C38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</w:tcPr>
          <w:p w14:paraId="464AA0F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</w:rPr>
              <w:t>垂直于轧制方向（GW）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380DA71A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</w:rPr>
              <w:t>平行于轧制方向（BW）</w:t>
            </w:r>
          </w:p>
        </w:tc>
      </w:tr>
      <w:tr w14:paraId="389105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73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BD08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QSn4-0.3</w:t>
            </w:r>
          </w:p>
        </w:tc>
        <w:tc>
          <w:tcPr>
            <w:tcW w:w="1029" w:type="pc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8976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H06</w:t>
            </w:r>
          </w:p>
        </w:tc>
        <w:tc>
          <w:tcPr>
            <w:tcW w:w="1301" w:type="pc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5E7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0×t</w:t>
            </w:r>
          </w:p>
        </w:tc>
        <w:tc>
          <w:tcPr>
            <w:tcW w:w="1496" w:type="pc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82ECD7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0×t</w:t>
            </w:r>
          </w:p>
        </w:tc>
      </w:tr>
      <w:tr w14:paraId="774954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73" w:type="pct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5C9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D185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H08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B70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0.5×t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16F6DF8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2.5×t</w:t>
            </w:r>
          </w:p>
        </w:tc>
      </w:tr>
      <w:tr w14:paraId="5F0AED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73" w:type="pct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93B2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FD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H10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24A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1.0×t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AB04D6A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4.0×t</w:t>
            </w:r>
          </w:p>
        </w:tc>
      </w:tr>
      <w:tr w14:paraId="30E38D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73" w:type="pct"/>
            <w:vMerge w:val="restar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F7F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QSn6-0.2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B080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H04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07A0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0×t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B9D58E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0×t</w:t>
            </w:r>
          </w:p>
        </w:tc>
      </w:tr>
      <w:tr w14:paraId="0965BF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73" w:type="pct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7C5B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687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H06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0939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1.0×t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117BCE0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2.0×t</w:t>
            </w:r>
          </w:p>
        </w:tc>
      </w:tr>
      <w:tr w14:paraId="57E0A8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73" w:type="pct"/>
            <w:vMerge w:val="restar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1B3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QSn8-0.3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297B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H04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FEC6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0×t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5FF900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0×t</w:t>
            </w:r>
          </w:p>
        </w:tc>
      </w:tr>
      <w:tr w14:paraId="3C41B7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73" w:type="pct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7AB8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DC22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H06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BE6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0×t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D81064F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0.5×t</w:t>
            </w:r>
          </w:p>
        </w:tc>
      </w:tr>
      <w:tr w14:paraId="02EDC4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73" w:type="pct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D41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296A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H08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88E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0×t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2CF8F2B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2.0×t</w:t>
            </w:r>
          </w:p>
        </w:tc>
      </w:tr>
      <w:tr w14:paraId="55A4CB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73" w:type="pct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058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D4AF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H10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FBB1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1.0×t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B9C7F0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4.0×t</w:t>
            </w:r>
          </w:p>
        </w:tc>
      </w:tr>
      <w:tr w14:paraId="76BC90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73" w:type="pct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58D1F55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QSn10-0.2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9B2B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262626"/>
                <w:kern w:val="0"/>
                <w:sz w:val="18"/>
                <w:szCs w:val="18"/>
                <w:lang w:bidi="ar"/>
              </w:rPr>
              <w:t>H04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799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FA28B5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14:paraId="7B4BA3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73" w:type="pct"/>
            <w:vMerge w:val="continue"/>
            <w:tcBorders>
              <w:left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3AEEE052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7A0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262626"/>
                <w:kern w:val="0"/>
                <w:sz w:val="18"/>
                <w:szCs w:val="18"/>
                <w:lang w:bidi="ar"/>
              </w:rPr>
              <w:t>H06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99B6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0×t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873D16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0×t</w:t>
            </w:r>
          </w:p>
        </w:tc>
      </w:tr>
      <w:tr w14:paraId="715805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73" w:type="pct"/>
            <w:vMerge w:val="continue"/>
            <w:tcBorders>
              <w:left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5BE8A9B0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A766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262626"/>
                <w:kern w:val="0"/>
                <w:sz w:val="18"/>
                <w:szCs w:val="18"/>
                <w:lang w:bidi="ar"/>
              </w:rPr>
              <w:t>H08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9B1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0.5×t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FF6B38B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1.0×t</w:t>
            </w:r>
          </w:p>
        </w:tc>
      </w:tr>
      <w:tr w14:paraId="082F0B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73" w:type="pct"/>
            <w:vMerge w:val="continue"/>
            <w:tcBorders>
              <w:left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2CB98B4A">
            <w:pPr>
              <w:widowControl/>
              <w:textAlignment w:val="center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647B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262626"/>
                <w:kern w:val="0"/>
                <w:sz w:val="18"/>
                <w:szCs w:val="18"/>
                <w:lang w:bidi="ar"/>
              </w:rPr>
              <w:t>H10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B14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2.0×t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755CE8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3.0×t</w:t>
            </w:r>
          </w:p>
        </w:tc>
      </w:tr>
      <w:tr w14:paraId="7EAFFA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73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261591CE">
            <w:pPr>
              <w:widowControl/>
              <w:textAlignment w:val="center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24875EA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262626"/>
                <w:kern w:val="0"/>
                <w:sz w:val="18"/>
                <w:szCs w:val="18"/>
                <w:lang w:bidi="ar"/>
              </w:rPr>
              <w:t>H12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78463BAC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4.0×t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96C38FC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bookmarkEnd w:id="18"/>
    </w:tbl>
    <w:p w14:paraId="4E04D997"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hint="eastAsia" w:ascii="黑体" w:hAnsi="黑体" w:eastAsia="黑体" w:cs="黑体"/>
          <w:caps/>
          <w:szCs w:val="21"/>
        </w:rPr>
      </w:pPr>
      <w:r>
        <w:rPr>
          <w:rFonts w:ascii="黑体" w:hAnsi="黑体" w:eastAsia="黑体" w:cs="黑体"/>
          <w:caps/>
          <w:szCs w:val="21"/>
        </w:rPr>
        <w:t>5.</w:t>
      </w:r>
      <w:r>
        <w:rPr>
          <w:rFonts w:hint="eastAsia" w:ascii="黑体" w:hAnsi="黑体" w:eastAsia="黑体" w:cs="黑体"/>
          <w:caps/>
          <w:szCs w:val="21"/>
        </w:rPr>
        <w:t>5电性能</w:t>
      </w:r>
    </w:p>
    <w:p w14:paraId="2B1C4DAC">
      <w:pPr>
        <w:pStyle w:val="66"/>
        <w:ind w:firstLine="420" w:firstLineChars="200"/>
        <w:jc w:val="left"/>
        <w:rPr>
          <w:rFonts w:eastAsia="宋体"/>
          <w:sz w:val="21"/>
          <w:szCs w:val="24"/>
        </w:rPr>
      </w:pPr>
      <w:r>
        <w:rPr>
          <w:rFonts w:hint="eastAsia" w:eastAsia="宋体"/>
          <w:sz w:val="21"/>
          <w:szCs w:val="24"/>
        </w:rPr>
        <w:t>带箔材可进行电性能试验，其电性能应符合表9的规定。</w:t>
      </w:r>
    </w:p>
    <w:p w14:paraId="77DC94D3">
      <w:pPr>
        <w:pStyle w:val="111"/>
        <w:numPr>
          <w:ilvl w:val="0"/>
          <w:numId w:val="0"/>
        </w:numPr>
        <w:contextualSpacing/>
        <w:rPr>
          <w:rFonts w:ascii="Times New Roman"/>
        </w:rPr>
      </w:pPr>
      <w:r>
        <w:rPr>
          <w:rFonts w:hint="eastAsia" w:ascii="Times New Roman"/>
        </w:rPr>
        <w:t>表9</w:t>
      </w:r>
      <w:r>
        <w:rPr>
          <w:rFonts w:ascii="Times New Roman"/>
        </w:rPr>
        <w:t xml:space="preserve"> </w:t>
      </w:r>
      <w:r>
        <w:rPr>
          <w:rFonts w:hint="eastAsia" w:ascii="Times New Roman"/>
        </w:rPr>
        <w:t>带箔材的电性能</w:t>
      </w:r>
    </w:p>
    <w:bookmarkEnd w:id="10"/>
    <w:tbl>
      <w:tblPr>
        <w:tblStyle w:val="3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6"/>
        <w:gridCol w:w="4585"/>
      </w:tblGrid>
      <w:tr w14:paraId="58168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605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65E9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bookmarkStart w:id="19" w:name="_Hlk179964336"/>
            <w:r>
              <w:rPr>
                <w:color w:val="000000"/>
                <w:kern w:val="0"/>
                <w:sz w:val="18"/>
                <w:szCs w:val="18"/>
              </w:rPr>
              <w:t>牌号</w:t>
            </w:r>
          </w:p>
        </w:tc>
        <w:tc>
          <w:tcPr>
            <w:tcW w:w="2395" w:type="pc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2D105C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导电率（</w:t>
            </w: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color w:val="000000"/>
                <w:kern w:val="0"/>
                <w:sz w:val="18"/>
                <w:szCs w:val="18"/>
                <w:vertAlign w:val="subscript"/>
              </w:rPr>
              <w:t>20</w:t>
            </w:r>
            <w:r>
              <w:rPr>
                <w:color w:val="000000"/>
                <w:kern w:val="0"/>
                <w:sz w:val="18"/>
                <w:szCs w:val="18"/>
              </w:rPr>
              <w:t>）</w:t>
            </w:r>
          </w:p>
          <w:p w14:paraId="69F9C86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%IACS</w:t>
            </w:r>
          </w:p>
          <w:p w14:paraId="2D3F8C9C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不小于</w:t>
            </w:r>
          </w:p>
        </w:tc>
      </w:tr>
      <w:tr w14:paraId="0E071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05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E7B7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QSn4-0.3</w:t>
            </w:r>
          </w:p>
        </w:tc>
        <w:tc>
          <w:tcPr>
            <w:tcW w:w="239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5B665A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</w:tr>
      <w:tr w14:paraId="5358D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0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6C64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QSn6-0.2</w:t>
            </w: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A98CA6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 w14:paraId="1E313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0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212D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QSn8-0.3</w:t>
            </w: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DA4A4CA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14:paraId="21454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05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0BFEC4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QSn10-0.2</w:t>
            </w: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D63D3CA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</w:tr>
      <w:bookmarkEnd w:id="19"/>
    </w:tbl>
    <w:p w14:paraId="620EFC61"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hint="eastAsia" w:ascii="黑体" w:hAnsi="黑体" w:eastAsia="黑体" w:cs="黑体"/>
          <w:caps/>
          <w:szCs w:val="21"/>
        </w:rPr>
      </w:pPr>
      <w:r>
        <w:rPr>
          <w:rFonts w:ascii="黑体" w:hAnsi="黑体" w:eastAsia="黑体" w:cs="黑体"/>
          <w:caps/>
          <w:szCs w:val="21"/>
        </w:rPr>
        <w:t>5.</w:t>
      </w:r>
      <w:r>
        <w:rPr>
          <w:rFonts w:hint="eastAsia" w:ascii="黑体" w:hAnsi="黑体" w:eastAsia="黑体" w:cs="黑体"/>
          <w:caps/>
          <w:szCs w:val="21"/>
        </w:rPr>
        <w:t>6 晶粒度</w:t>
      </w:r>
    </w:p>
    <w:p w14:paraId="00B98FD0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/>
        </w:rPr>
        <w:t>沿轧制方向的带箔材，软化退火状态下的平均晶粒度</w:t>
      </w:r>
      <w:r>
        <w:rPr>
          <w:rFonts w:hint="eastAsia" w:ascii="宋体" w:hAnsi="宋体"/>
          <w:szCs w:val="21"/>
        </w:rPr>
        <w:t>应为</w:t>
      </w:r>
      <w:bookmarkStart w:id="20" w:name="_Hlk179964527"/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 w:cs="宋体"/>
          <w:sz w:val="18"/>
          <w:szCs w:val="18"/>
        </w:rPr>
        <w:t>～</w:t>
      </w:r>
      <w:r>
        <w:rPr>
          <w:rFonts w:hint="eastAsia" w:ascii="宋体" w:hAnsi="宋体"/>
          <w:szCs w:val="21"/>
        </w:rPr>
        <w:t>3μm</w:t>
      </w:r>
      <w:bookmarkEnd w:id="20"/>
      <w:r>
        <w:rPr>
          <w:rFonts w:hint="eastAsia" w:ascii="宋体" w:hAnsi="宋体"/>
          <w:szCs w:val="21"/>
        </w:rPr>
        <w:t>。</w:t>
      </w:r>
    </w:p>
    <w:p w14:paraId="352BB25F"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hint="eastAsia" w:ascii="黑体" w:hAnsi="黑体" w:eastAsia="黑体" w:cs="黑体"/>
          <w:caps/>
          <w:szCs w:val="21"/>
        </w:rPr>
      </w:pPr>
      <w:r>
        <w:rPr>
          <w:rFonts w:ascii="黑体" w:hAnsi="黑体" w:eastAsia="黑体" w:cs="黑体"/>
          <w:caps/>
          <w:szCs w:val="21"/>
        </w:rPr>
        <w:t>5.</w:t>
      </w:r>
      <w:r>
        <w:rPr>
          <w:rFonts w:hint="eastAsia" w:ascii="黑体" w:hAnsi="黑体" w:eastAsia="黑体" w:cs="黑体"/>
          <w:caps/>
          <w:szCs w:val="21"/>
        </w:rPr>
        <w:t>7表面质量</w:t>
      </w:r>
    </w:p>
    <w:p w14:paraId="57A325CA"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ind w:firstLine="420" w:firstLineChars="200"/>
        <w:jc w:val="left"/>
        <w:textAlignment w:val="baseline"/>
        <w:rPr>
          <w:rFonts w:hint="eastAsia" w:hAnsi="宋体" w:cs="宋体"/>
          <w:szCs w:val="21"/>
        </w:rPr>
      </w:pPr>
      <w:bookmarkStart w:id="21" w:name="_Toc142189162"/>
      <w:bookmarkStart w:id="22" w:name="_Toc214265416"/>
      <w:bookmarkStart w:id="23" w:name="_Toc214266365"/>
      <w:bookmarkStart w:id="24" w:name="_Toc142189191"/>
      <w:bookmarkStart w:id="25" w:name="_Toc142187473"/>
      <w:bookmarkStart w:id="26" w:name="_Toc142116149"/>
      <w:bookmarkStart w:id="27" w:name="_Toc214265205"/>
      <w:bookmarkStart w:id="28" w:name="_Toc214265443"/>
      <w:bookmarkStart w:id="29" w:name="_Toc214265370"/>
      <w:r>
        <w:rPr>
          <w:rFonts w:hint="eastAsia" w:hAnsi="宋体" w:cs="宋体"/>
          <w:szCs w:val="21"/>
        </w:rPr>
        <w:t>带箔材的表面应光滑、清洁，不允许有影响使用的缺陷。</w:t>
      </w:r>
    </w:p>
    <w:p w14:paraId="4BC80C77"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hint="eastAsia" w:ascii="黑体" w:hAnsi="黑体" w:eastAsia="黑体" w:cs="黑体"/>
          <w:caps/>
          <w:szCs w:val="21"/>
        </w:rPr>
      </w:pPr>
      <w:r>
        <w:rPr>
          <w:rFonts w:ascii="黑体" w:hAnsi="黑体" w:eastAsia="黑体" w:cs="黑体"/>
          <w:caps/>
          <w:szCs w:val="21"/>
        </w:rPr>
        <w:t>6</w:t>
      </w:r>
      <w:r>
        <w:rPr>
          <w:rFonts w:hint="eastAsia" w:ascii="黑体" w:hAnsi="黑体" w:eastAsia="黑体" w:cs="黑体"/>
          <w:caps/>
          <w:szCs w:val="21"/>
        </w:rPr>
        <w:t>试验方法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549300BA"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hint="eastAsia" w:ascii="黑体" w:hAnsi="黑体" w:eastAsia="黑体" w:cs="黑体"/>
          <w:caps/>
          <w:szCs w:val="21"/>
        </w:rPr>
      </w:pPr>
      <w:r>
        <w:rPr>
          <w:rFonts w:ascii="黑体" w:hAnsi="黑体" w:eastAsia="黑体" w:cs="黑体"/>
          <w:caps/>
          <w:szCs w:val="21"/>
        </w:rPr>
        <w:t>6.1</w:t>
      </w:r>
      <w:r>
        <w:rPr>
          <w:rFonts w:hint="eastAsia" w:ascii="黑体" w:hAnsi="黑体" w:eastAsia="黑体" w:cs="黑体"/>
          <w:caps/>
          <w:szCs w:val="21"/>
        </w:rPr>
        <w:t>化学成分</w:t>
      </w:r>
      <w:r>
        <w:rPr>
          <w:rFonts w:ascii="黑体" w:hAnsi="黑体" w:eastAsia="黑体" w:cs="黑体"/>
          <w:caps/>
          <w:szCs w:val="21"/>
        </w:rPr>
        <w:t xml:space="preserve"> </w:t>
      </w:r>
    </w:p>
    <w:p w14:paraId="268FD50F">
      <w:pPr>
        <w:ind w:right="31" w:rightChars="15" w:firstLine="391"/>
        <w:contextualSpacing/>
        <w:rPr>
          <w:b/>
          <w:sz w:val="22"/>
          <w:szCs w:val="21"/>
        </w:rPr>
      </w:pPr>
      <w:bookmarkStart w:id="30" w:name="_Hlk166063996"/>
      <w:r>
        <w:rPr>
          <w:rFonts w:hint="eastAsia"/>
        </w:rPr>
        <w:t>带箔材的</w:t>
      </w:r>
      <w:r>
        <w:rPr>
          <w:szCs w:val="21"/>
        </w:rPr>
        <w:t>化学成分</w:t>
      </w:r>
      <w:r>
        <w:rPr>
          <w:rFonts w:hint="eastAsia"/>
          <w:szCs w:val="21"/>
        </w:rPr>
        <w:t>的</w:t>
      </w:r>
      <w:r>
        <w:rPr>
          <w:szCs w:val="21"/>
        </w:rPr>
        <w:t>分析</w:t>
      </w:r>
      <w:r>
        <w:rPr>
          <w:rFonts w:hint="eastAsia"/>
          <w:szCs w:val="21"/>
        </w:rPr>
        <w:t>按</w:t>
      </w:r>
      <w:r>
        <w:rPr>
          <w:szCs w:val="21"/>
        </w:rPr>
        <w:t>GB/T 5121</w:t>
      </w:r>
      <w:r>
        <w:rPr>
          <w:rFonts w:hint="eastAsia"/>
          <w:szCs w:val="21"/>
        </w:rPr>
        <w:t>（所有部分）、</w:t>
      </w:r>
      <w:r>
        <w:rPr>
          <w:szCs w:val="21"/>
        </w:rPr>
        <w:t>YS/T 482</w:t>
      </w:r>
      <w:r>
        <w:rPr>
          <w:rFonts w:hint="eastAsia"/>
          <w:szCs w:val="21"/>
        </w:rPr>
        <w:t>或</w:t>
      </w:r>
      <w:r>
        <w:rPr>
          <w:szCs w:val="21"/>
        </w:rPr>
        <w:t>YS/T 483</w:t>
      </w:r>
      <w:r>
        <w:rPr>
          <w:rFonts w:hint="eastAsia"/>
          <w:szCs w:val="21"/>
        </w:rPr>
        <w:t>的规定进行，</w:t>
      </w:r>
      <w:r>
        <w:rPr>
          <w:szCs w:val="21"/>
        </w:rPr>
        <w:t>仲裁</w:t>
      </w:r>
      <w:r>
        <w:rPr>
          <w:rFonts w:hint="eastAsia"/>
          <w:szCs w:val="21"/>
        </w:rPr>
        <w:t>时</w:t>
      </w:r>
      <w:r>
        <w:rPr>
          <w:szCs w:val="21"/>
        </w:rPr>
        <w:t>按GB/T 5121</w:t>
      </w:r>
      <w:r>
        <w:rPr>
          <w:rFonts w:hint="eastAsia"/>
          <w:szCs w:val="21"/>
        </w:rPr>
        <w:t>（所有部分）</w:t>
      </w:r>
      <w:r>
        <w:rPr>
          <w:szCs w:val="21"/>
        </w:rPr>
        <w:t>的规定进行。</w:t>
      </w:r>
    </w:p>
    <w:bookmarkEnd w:id="30"/>
    <w:p w14:paraId="76ED7318"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hint="eastAsia" w:ascii="黑体" w:hAnsi="黑体" w:eastAsia="黑体" w:cs="黑体"/>
          <w:caps/>
          <w:szCs w:val="21"/>
        </w:rPr>
      </w:pPr>
      <w:bookmarkStart w:id="31" w:name="_Toc132196937"/>
      <w:bookmarkStart w:id="32" w:name="_Toc132197089"/>
      <w:bookmarkStart w:id="33" w:name="_Toc132197157"/>
      <w:bookmarkStart w:id="34" w:name="_Toc127436344"/>
      <w:bookmarkStart w:id="35" w:name="_Toc127435697"/>
      <w:bookmarkStart w:id="36" w:name="_Toc127437857"/>
      <w:r>
        <w:rPr>
          <w:rFonts w:ascii="黑体" w:hAnsi="黑体" w:eastAsia="黑体" w:cs="黑体"/>
          <w:caps/>
          <w:szCs w:val="21"/>
        </w:rPr>
        <w:t>6.2</w:t>
      </w:r>
      <w:r>
        <w:rPr>
          <w:rFonts w:hint="eastAsia" w:ascii="黑体" w:hAnsi="黑体" w:eastAsia="黑体" w:cs="黑体"/>
          <w:caps/>
          <w:szCs w:val="21"/>
        </w:rPr>
        <w:t>外形尺寸及其允许偏差</w:t>
      </w:r>
    </w:p>
    <w:p w14:paraId="0E6546F9">
      <w:pPr>
        <w:ind w:firstLine="420" w:firstLineChars="200"/>
      </w:pPr>
      <w:r>
        <w:rPr>
          <w:rFonts w:hint="eastAsia"/>
        </w:rPr>
        <w:t>带箔材的外形尺寸及其允许偏差测量方法按</w:t>
      </w:r>
      <w:r>
        <w:t>GB/T 26303.</w:t>
      </w:r>
      <w:r>
        <w:rPr>
          <w:rFonts w:hint="eastAsia"/>
        </w:rPr>
        <w:t>3的规定进行，其中平整度应沿轧制方向取1000mm试样进行检测。</w:t>
      </w:r>
      <w:bookmarkEnd w:id="31"/>
      <w:bookmarkEnd w:id="32"/>
      <w:bookmarkEnd w:id="33"/>
      <w:bookmarkEnd w:id="34"/>
      <w:bookmarkEnd w:id="35"/>
      <w:bookmarkEnd w:id="36"/>
    </w:p>
    <w:p w14:paraId="5E607D9F"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hint="eastAsia" w:ascii="黑体" w:hAnsi="黑体" w:eastAsia="黑体" w:cs="黑体"/>
          <w:caps/>
          <w:szCs w:val="21"/>
        </w:rPr>
      </w:pPr>
      <w:r>
        <w:rPr>
          <w:rFonts w:ascii="黑体" w:hAnsi="黑体" w:eastAsia="黑体" w:cs="黑体"/>
          <w:caps/>
          <w:szCs w:val="21"/>
        </w:rPr>
        <w:t>6.3</w:t>
      </w:r>
      <w:r>
        <w:rPr>
          <w:rFonts w:hint="eastAsia" w:ascii="黑体" w:hAnsi="黑体" w:eastAsia="黑体" w:cs="黑体"/>
          <w:caps/>
          <w:szCs w:val="21"/>
        </w:rPr>
        <w:t>力学性能</w:t>
      </w:r>
    </w:p>
    <w:p w14:paraId="36C01B52">
      <w:r>
        <w:rPr>
          <w:rFonts w:ascii="黑体" w:hAnsi="黑体" w:eastAsia="黑体" w:cs="黑体"/>
          <w:caps/>
          <w:kern w:val="0"/>
          <w:szCs w:val="21"/>
        </w:rPr>
        <w:t>6.3.1</w:t>
      </w:r>
      <w:r>
        <w:rPr>
          <w:rFonts w:hint="eastAsia"/>
        </w:rPr>
        <w:t>带箔材的室温拉伸试验按</w:t>
      </w:r>
      <w:r>
        <w:t>GB/T 34505</w:t>
      </w:r>
      <w:r>
        <w:rPr>
          <w:rFonts w:hint="eastAsia"/>
        </w:rPr>
        <w:t>的规定进行。</w:t>
      </w:r>
    </w:p>
    <w:p w14:paraId="02E4FB79">
      <w:r>
        <w:rPr>
          <w:rFonts w:ascii="黑体" w:hAnsi="黑体" w:eastAsia="黑体" w:cs="黑体"/>
          <w:caps/>
          <w:kern w:val="0"/>
          <w:szCs w:val="21"/>
        </w:rPr>
        <w:t>6.3.2</w:t>
      </w:r>
      <w:r>
        <w:rPr>
          <w:rFonts w:hint="eastAsia"/>
        </w:rPr>
        <w:t>带箔材的硬度试验方法按</w:t>
      </w:r>
      <w:r>
        <w:t>GB/T 4340.1</w:t>
      </w:r>
      <w:r>
        <w:rPr>
          <w:rFonts w:hint="eastAsia"/>
        </w:rPr>
        <w:t>的规定进行。</w:t>
      </w:r>
    </w:p>
    <w:p w14:paraId="692E0CCB"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hint="eastAsia" w:ascii="黑体" w:hAnsi="黑体" w:eastAsia="黑体" w:cs="黑体"/>
          <w:caps/>
          <w:szCs w:val="21"/>
        </w:rPr>
      </w:pPr>
      <w:r>
        <w:rPr>
          <w:rFonts w:hint="eastAsia" w:ascii="黑体" w:hAnsi="黑体" w:eastAsia="黑体" w:cs="黑体"/>
          <w:caps/>
          <w:szCs w:val="21"/>
        </w:rPr>
        <w:t>6.4弯曲性能</w:t>
      </w:r>
    </w:p>
    <w:p w14:paraId="65D661C5">
      <w:pPr>
        <w:ind w:firstLine="420" w:firstLineChars="200"/>
      </w:pPr>
      <w:r>
        <w:rPr>
          <w:rFonts w:hint="eastAsia"/>
        </w:rPr>
        <w:t>带箔材的弯曲试验按YS/T xxxx规定进行。</w:t>
      </w:r>
    </w:p>
    <w:p w14:paraId="25900CE7"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hint="eastAsia" w:ascii="黑体" w:hAnsi="黑体" w:eastAsia="黑体" w:cs="黑体"/>
          <w:caps/>
          <w:szCs w:val="21"/>
        </w:rPr>
      </w:pPr>
      <w:r>
        <w:rPr>
          <w:rFonts w:ascii="黑体" w:hAnsi="黑体" w:eastAsia="黑体" w:cs="黑体"/>
          <w:caps/>
          <w:szCs w:val="21"/>
        </w:rPr>
        <w:t>6.</w:t>
      </w:r>
      <w:r>
        <w:rPr>
          <w:rFonts w:hint="eastAsia" w:ascii="黑体" w:hAnsi="黑体" w:eastAsia="黑体" w:cs="黑体"/>
          <w:caps/>
          <w:szCs w:val="21"/>
        </w:rPr>
        <w:t>5电性能</w:t>
      </w:r>
    </w:p>
    <w:p w14:paraId="6280388A"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带箔材的电性能试验</w:t>
      </w:r>
      <w:r>
        <w:rPr>
          <w:szCs w:val="21"/>
        </w:rPr>
        <w:t>按</w:t>
      </w:r>
      <w:bookmarkStart w:id="37" w:name="_Hlk179964876"/>
      <w:r>
        <w:rPr>
          <w:szCs w:val="21"/>
        </w:rPr>
        <w:t>GB/T 32791</w:t>
      </w:r>
      <w:bookmarkEnd w:id="37"/>
      <w:r>
        <w:rPr>
          <w:szCs w:val="21"/>
        </w:rPr>
        <w:t>或GB/T 351的规定进行。仲裁时按GB/T 351的规定进行</w:t>
      </w:r>
      <w:r>
        <w:rPr>
          <w:rFonts w:hint="eastAsia" w:ascii="宋体" w:hAnsi="宋体" w:cs="宋体"/>
          <w:szCs w:val="21"/>
        </w:rPr>
        <w:t>。</w:t>
      </w:r>
    </w:p>
    <w:p w14:paraId="6912E8FA"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hint="eastAsia" w:ascii="黑体" w:hAnsi="黑体" w:eastAsia="黑体" w:cs="黑体"/>
          <w:caps/>
          <w:szCs w:val="21"/>
        </w:rPr>
      </w:pPr>
      <w:r>
        <w:rPr>
          <w:rFonts w:ascii="黑体" w:hAnsi="黑体" w:eastAsia="黑体" w:cs="黑体"/>
          <w:caps/>
          <w:szCs w:val="21"/>
        </w:rPr>
        <w:t>6.</w:t>
      </w:r>
      <w:r>
        <w:rPr>
          <w:rFonts w:hint="eastAsia" w:ascii="黑体" w:hAnsi="黑体" w:eastAsia="黑体" w:cs="黑体"/>
          <w:caps/>
          <w:szCs w:val="21"/>
        </w:rPr>
        <w:t>6晶粒度</w:t>
      </w:r>
    </w:p>
    <w:p w14:paraId="532C5C1A">
      <w:pPr>
        <w:pStyle w:val="66"/>
        <w:ind w:firstLine="420" w:firstLineChars="200"/>
        <w:jc w:val="left"/>
        <w:rPr>
          <w:rFonts w:eastAsia="宋体"/>
          <w:kern w:val="0"/>
          <w:sz w:val="21"/>
        </w:rPr>
      </w:pPr>
      <w:r>
        <w:rPr>
          <w:rFonts w:hint="eastAsia" w:eastAsia="宋体"/>
          <w:kern w:val="0"/>
          <w:sz w:val="21"/>
        </w:rPr>
        <w:t>带箔材的晶粒度的检测方法按照</w:t>
      </w:r>
      <w:r>
        <w:rPr>
          <w:rFonts w:eastAsia="宋体"/>
          <w:kern w:val="0"/>
          <w:sz w:val="21"/>
        </w:rPr>
        <w:t>YS/T 347</w:t>
      </w:r>
      <w:r>
        <w:rPr>
          <w:rFonts w:hint="eastAsia" w:eastAsia="宋体"/>
          <w:kern w:val="0"/>
          <w:sz w:val="21"/>
        </w:rPr>
        <w:t>的规定进行。</w:t>
      </w:r>
    </w:p>
    <w:p w14:paraId="67D62BCF"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hint="eastAsia" w:ascii="黑体" w:hAnsi="黑体" w:eastAsia="黑体" w:cs="黑体"/>
          <w:caps/>
          <w:szCs w:val="21"/>
        </w:rPr>
      </w:pPr>
      <w:r>
        <w:rPr>
          <w:rFonts w:ascii="黑体" w:hAnsi="黑体" w:eastAsia="黑体" w:cs="黑体"/>
          <w:caps/>
          <w:szCs w:val="21"/>
        </w:rPr>
        <w:t>6.</w:t>
      </w:r>
      <w:bookmarkStart w:id="38" w:name="_Toc132196941"/>
      <w:bookmarkStart w:id="39" w:name="_Toc132197161"/>
      <w:bookmarkStart w:id="40" w:name="_Toc132197093"/>
      <w:r>
        <w:rPr>
          <w:rFonts w:hint="eastAsia" w:ascii="黑体" w:hAnsi="黑体" w:eastAsia="黑体" w:cs="黑体"/>
          <w:caps/>
          <w:szCs w:val="21"/>
        </w:rPr>
        <w:t>7表面质量</w:t>
      </w:r>
    </w:p>
    <w:p w14:paraId="1E5B804A">
      <w:pPr>
        <w:pStyle w:val="66"/>
        <w:ind w:firstLine="420" w:firstLineChars="200"/>
        <w:jc w:val="left"/>
        <w:rPr>
          <w:rFonts w:eastAsia="宋体"/>
          <w:kern w:val="0"/>
          <w:sz w:val="21"/>
        </w:rPr>
      </w:pPr>
      <w:r>
        <w:rPr>
          <w:rFonts w:hint="eastAsia" w:eastAsia="宋体"/>
          <w:kern w:val="0"/>
          <w:sz w:val="21"/>
        </w:rPr>
        <w:t>带箔材的表面质量用目视法检验。</w:t>
      </w:r>
      <w:bookmarkEnd w:id="38"/>
      <w:bookmarkEnd w:id="39"/>
      <w:bookmarkEnd w:id="40"/>
    </w:p>
    <w:p w14:paraId="259DE7E1"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hint="eastAsia" w:ascii="黑体" w:hAnsi="黑体" w:eastAsia="黑体" w:cs="黑体"/>
          <w:caps/>
          <w:szCs w:val="21"/>
        </w:rPr>
      </w:pPr>
      <w:bookmarkStart w:id="41" w:name="_Toc225762287"/>
      <w:r>
        <w:rPr>
          <w:rFonts w:ascii="黑体" w:hAnsi="黑体" w:eastAsia="黑体" w:cs="黑体"/>
          <w:caps/>
          <w:szCs w:val="21"/>
        </w:rPr>
        <w:t>7</w:t>
      </w:r>
      <w:r>
        <w:rPr>
          <w:rFonts w:hint="eastAsia" w:ascii="黑体" w:hAnsi="黑体" w:eastAsia="黑体" w:cs="黑体"/>
          <w:caps/>
          <w:szCs w:val="21"/>
        </w:rPr>
        <w:t>检验规则</w:t>
      </w:r>
      <w:bookmarkEnd w:id="41"/>
    </w:p>
    <w:p w14:paraId="35D577EF"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hint="eastAsia" w:ascii="黑体" w:hAnsi="黑体" w:eastAsia="黑体" w:cs="黑体"/>
          <w:caps/>
          <w:szCs w:val="21"/>
        </w:rPr>
      </w:pPr>
      <w:bookmarkStart w:id="42" w:name="_Toc225762288"/>
      <w:r>
        <w:rPr>
          <w:rFonts w:ascii="黑体" w:hAnsi="黑体" w:eastAsia="黑体" w:cs="黑体"/>
          <w:caps/>
          <w:szCs w:val="21"/>
        </w:rPr>
        <w:t>7.1</w:t>
      </w:r>
      <w:r>
        <w:rPr>
          <w:rFonts w:hint="eastAsia" w:ascii="黑体" w:hAnsi="黑体" w:eastAsia="黑体" w:cs="黑体"/>
          <w:caps/>
          <w:szCs w:val="21"/>
        </w:rPr>
        <w:t>检查和验收</w:t>
      </w:r>
      <w:bookmarkEnd w:id="42"/>
    </w:p>
    <w:p w14:paraId="5966D374">
      <w:pPr>
        <w:rPr>
          <w:szCs w:val="21"/>
        </w:rPr>
      </w:pPr>
      <w:r>
        <w:rPr>
          <w:rFonts w:ascii="黑体" w:hAnsi="黑体" w:eastAsia="黑体" w:cs="黑体"/>
          <w:caps/>
          <w:kern w:val="0"/>
          <w:szCs w:val="21"/>
        </w:rPr>
        <w:t>7.1.1</w:t>
      </w:r>
      <w:r>
        <w:rPr>
          <w:rFonts w:hint="eastAsia"/>
          <w:szCs w:val="21"/>
        </w:rPr>
        <w:t>带箔材</w:t>
      </w:r>
      <w:r>
        <w:rPr>
          <w:szCs w:val="21"/>
        </w:rPr>
        <w:t>应由供方</w:t>
      </w:r>
      <w:r>
        <w:rPr>
          <w:rFonts w:hint="eastAsia"/>
          <w:szCs w:val="21"/>
        </w:rPr>
        <w:t>或第三方</w:t>
      </w:r>
      <w:r>
        <w:rPr>
          <w:szCs w:val="21"/>
        </w:rPr>
        <w:t>进行检验，产品质量</w:t>
      </w:r>
      <w:r>
        <w:rPr>
          <w:rFonts w:hint="eastAsia"/>
          <w:szCs w:val="21"/>
        </w:rPr>
        <w:t>应</w:t>
      </w:r>
      <w:r>
        <w:rPr>
          <w:szCs w:val="21"/>
        </w:rPr>
        <w:t>符合本</w:t>
      </w:r>
      <w:r>
        <w:rPr>
          <w:rFonts w:hint="eastAsia"/>
          <w:szCs w:val="21"/>
        </w:rPr>
        <w:t>文件及</w:t>
      </w:r>
      <w:r>
        <w:rPr>
          <w:szCs w:val="21"/>
        </w:rPr>
        <w:t>订货单的</w:t>
      </w:r>
      <w:r>
        <w:rPr>
          <w:rFonts w:hint="eastAsia"/>
          <w:szCs w:val="21"/>
        </w:rPr>
        <w:t>规定</w:t>
      </w:r>
      <w:r>
        <w:rPr>
          <w:szCs w:val="21"/>
        </w:rPr>
        <w:t>。</w:t>
      </w:r>
    </w:p>
    <w:p w14:paraId="58CAFBDB">
      <w:pPr>
        <w:rPr>
          <w:szCs w:val="21"/>
        </w:rPr>
      </w:pPr>
      <w:r>
        <w:rPr>
          <w:rFonts w:ascii="黑体" w:hAnsi="黑体" w:eastAsia="黑体" w:cs="黑体"/>
          <w:caps/>
          <w:kern w:val="0"/>
          <w:szCs w:val="21"/>
        </w:rPr>
        <w:t>7.1.</w:t>
      </w:r>
      <w:bookmarkStart w:id="43" w:name="_Toc225762289"/>
      <w:r>
        <w:rPr>
          <w:rFonts w:hint="eastAsia" w:ascii="黑体" w:hAnsi="黑体" w:eastAsia="黑体" w:cs="黑体"/>
          <w:caps/>
          <w:kern w:val="0"/>
          <w:szCs w:val="21"/>
        </w:rPr>
        <w:t>2</w:t>
      </w:r>
      <w:r>
        <w:rPr>
          <w:rFonts w:hint="eastAsia"/>
          <w:szCs w:val="21"/>
        </w:rPr>
        <w:t>需方可对收到的产品按本文件的规定进行检验。如检验结果与本文件或订货单的规定不符时，应以书面形式向供方提出，由供需双方协商解决。属于表面质量或外形尺寸及其允许偏差的异议，应在收到产品之日起1个月内提出；其他质量异议，应在收到产品之日起3个月内提出。如需仲裁，应由供需双方在需方共同取样或协商确定。</w:t>
      </w:r>
    </w:p>
    <w:p w14:paraId="7E2CDDEA"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hint="eastAsia" w:ascii="黑体" w:hAnsi="黑体" w:eastAsia="黑体" w:cs="黑体"/>
          <w:caps/>
          <w:szCs w:val="21"/>
        </w:rPr>
      </w:pPr>
      <w:r>
        <w:rPr>
          <w:rFonts w:ascii="黑体" w:hAnsi="黑体" w:eastAsia="黑体" w:cs="黑体"/>
          <w:caps/>
          <w:szCs w:val="21"/>
        </w:rPr>
        <w:t>7.2</w:t>
      </w:r>
      <w:r>
        <w:rPr>
          <w:rFonts w:hint="eastAsia" w:ascii="黑体" w:hAnsi="黑体" w:eastAsia="黑体" w:cs="黑体"/>
          <w:caps/>
          <w:szCs w:val="21"/>
        </w:rPr>
        <w:t>组批</w:t>
      </w:r>
      <w:bookmarkEnd w:id="43"/>
    </w:p>
    <w:p w14:paraId="1A4A66A7">
      <w:pPr>
        <w:ind w:firstLine="420" w:firstLineChars="200"/>
        <w:contextualSpacing/>
        <w:rPr>
          <w:szCs w:val="21"/>
        </w:rPr>
      </w:pPr>
      <w:r>
        <w:rPr>
          <w:rFonts w:hint="eastAsia"/>
          <w:szCs w:val="21"/>
        </w:rPr>
        <w:t>带箔材</w:t>
      </w:r>
      <w:r>
        <w:rPr>
          <w:szCs w:val="21"/>
        </w:rPr>
        <w:t>应成批提交检验，每批应由同一牌号、状态和规格的</w:t>
      </w:r>
      <w:r>
        <w:rPr>
          <w:rFonts w:hint="eastAsia"/>
          <w:szCs w:val="21"/>
        </w:rPr>
        <w:t>带箔材</w:t>
      </w:r>
      <w:r>
        <w:rPr>
          <w:szCs w:val="21"/>
        </w:rPr>
        <w:t>组成，每批重量应不超过</w:t>
      </w:r>
      <w:r>
        <w:rPr>
          <w:rFonts w:hint="eastAsia"/>
          <w:szCs w:val="21"/>
        </w:rPr>
        <w:t>5</w:t>
      </w:r>
      <w:r>
        <w:rPr>
          <w:szCs w:val="21"/>
        </w:rPr>
        <w:t>000kg。</w:t>
      </w:r>
      <w:bookmarkStart w:id="44" w:name="_Toc225762290"/>
    </w:p>
    <w:bookmarkEnd w:id="44"/>
    <w:p w14:paraId="3350C5E6"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hint="eastAsia" w:ascii="黑体" w:hAnsi="黑体" w:eastAsia="黑体" w:cs="黑体"/>
          <w:caps/>
          <w:szCs w:val="21"/>
        </w:rPr>
      </w:pPr>
      <w:r>
        <w:rPr>
          <w:rFonts w:ascii="黑体" w:hAnsi="黑体" w:eastAsia="黑体" w:cs="黑体"/>
          <w:caps/>
          <w:szCs w:val="21"/>
        </w:rPr>
        <w:t>7.3</w:t>
      </w:r>
      <w:r>
        <w:rPr>
          <w:rFonts w:hint="eastAsia" w:ascii="黑体" w:hAnsi="黑体" w:eastAsia="黑体" w:cs="黑体"/>
          <w:caps/>
          <w:szCs w:val="21"/>
        </w:rPr>
        <w:t>检验项目</w:t>
      </w:r>
    </w:p>
    <w:p w14:paraId="3CC4C8FE">
      <w:pPr>
        <w:rPr>
          <w:rFonts w:eastAsiaTheme="minorEastAsia"/>
        </w:rPr>
      </w:pPr>
      <w:r>
        <w:rPr>
          <w:rFonts w:ascii="黑体" w:hAnsi="黑体" w:eastAsia="黑体" w:cs="黑体"/>
          <w:caps/>
          <w:kern w:val="0"/>
          <w:szCs w:val="21"/>
        </w:rPr>
        <w:t>7.3.1</w:t>
      </w:r>
      <w:r>
        <w:rPr>
          <w:rFonts w:hint="eastAsia" w:eastAsiaTheme="minorEastAsia"/>
        </w:rPr>
        <w:t>带箔材的检验项目分为出厂检验项目和型式检验项目，见表10。</w:t>
      </w:r>
    </w:p>
    <w:p w14:paraId="645F9A34">
      <w:pPr>
        <w:pStyle w:val="111"/>
        <w:numPr>
          <w:ilvl w:val="0"/>
          <w:numId w:val="0"/>
        </w:numPr>
        <w:spacing w:line="360" w:lineRule="auto"/>
        <w:contextualSpacing/>
        <w:rPr>
          <w:rFonts w:ascii="Times New Roman"/>
        </w:rPr>
      </w:pPr>
      <w:r>
        <w:rPr>
          <w:rFonts w:hint="eastAsia" w:ascii="Times New Roman"/>
        </w:rPr>
        <w:t>表10</w:t>
      </w:r>
      <w:r>
        <w:rPr>
          <w:rFonts w:ascii="Times New Roman"/>
        </w:rPr>
        <w:t xml:space="preserve"> </w:t>
      </w:r>
      <w:r>
        <w:rPr>
          <w:rFonts w:hint="eastAsia" w:ascii="Times New Roman"/>
        </w:rPr>
        <w:t>检验项目</w:t>
      </w:r>
    </w:p>
    <w:tbl>
      <w:tblPr>
        <w:tblStyle w:val="3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543"/>
        <w:gridCol w:w="3292"/>
        <w:gridCol w:w="3193"/>
      </w:tblGrid>
      <w:tr w14:paraId="5C1F1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12" w:type="pct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2ABA63D">
            <w:pPr>
              <w:pStyle w:val="66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检验项目</w:t>
            </w:r>
          </w:p>
        </w:tc>
        <w:tc>
          <w:tcPr>
            <w:tcW w:w="1720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E155AD6">
            <w:pPr>
              <w:pStyle w:val="66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出厂检验项目</w:t>
            </w:r>
          </w:p>
        </w:tc>
        <w:tc>
          <w:tcPr>
            <w:tcW w:w="1668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44A9411">
            <w:pPr>
              <w:pStyle w:val="66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型式检验项目</w:t>
            </w:r>
          </w:p>
        </w:tc>
      </w:tr>
      <w:tr w14:paraId="47B41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12" w:type="pct"/>
            <w:gridSpan w:val="2"/>
            <w:tcBorders>
              <w:top w:val="single" w:color="auto" w:sz="12" w:space="0"/>
            </w:tcBorders>
            <w:vAlign w:val="center"/>
          </w:tcPr>
          <w:p w14:paraId="30FDBFC0">
            <w:pPr>
              <w:pStyle w:val="66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化学成分</w:t>
            </w:r>
          </w:p>
        </w:tc>
        <w:tc>
          <w:tcPr>
            <w:tcW w:w="1720" w:type="pct"/>
            <w:tcBorders>
              <w:top w:val="single" w:color="auto" w:sz="12" w:space="0"/>
            </w:tcBorders>
            <w:vAlign w:val="center"/>
          </w:tcPr>
          <w:p w14:paraId="11B1EDC3">
            <w:pPr>
              <w:pStyle w:val="66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√</w:t>
            </w:r>
          </w:p>
        </w:tc>
        <w:tc>
          <w:tcPr>
            <w:tcW w:w="1668" w:type="pct"/>
            <w:tcBorders>
              <w:top w:val="single" w:color="auto" w:sz="12" w:space="0"/>
            </w:tcBorders>
            <w:vAlign w:val="center"/>
          </w:tcPr>
          <w:p w14:paraId="71FB107A">
            <w:pPr>
              <w:pStyle w:val="66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√</w:t>
            </w:r>
          </w:p>
        </w:tc>
      </w:tr>
      <w:tr w14:paraId="0F869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12" w:type="pct"/>
            <w:gridSpan w:val="2"/>
            <w:vAlign w:val="center"/>
          </w:tcPr>
          <w:p w14:paraId="62432841">
            <w:pPr>
              <w:pStyle w:val="66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外形尺寸及其允许偏差</w:t>
            </w:r>
          </w:p>
        </w:tc>
        <w:tc>
          <w:tcPr>
            <w:tcW w:w="1720" w:type="pct"/>
            <w:vAlign w:val="center"/>
          </w:tcPr>
          <w:p w14:paraId="456C2C44">
            <w:pPr>
              <w:pStyle w:val="66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√</w:t>
            </w:r>
          </w:p>
        </w:tc>
        <w:tc>
          <w:tcPr>
            <w:tcW w:w="1668" w:type="pct"/>
            <w:vAlign w:val="center"/>
          </w:tcPr>
          <w:p w14:paraId="61EB00B2">
            <w:pPr>
              <w:pStyle w:val="66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√</w:t>
            </w:r>
          </w:p>
        </w:tc>
      </w:tr>
      <w:tr w14:paraId="5AFC0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6" w:type="pct"/>
            <w:vMerge w:val="restart"/>
            <w:vAlign w:val="center"/>
          </w:tcPr>
          <w:p w14:paraId="3A720B8A">
            <w:pPr>
              <w:pStyle w:val="66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力学性能</w:t>
            </w:r>
          </w:p>
        </w:tc>
        <w:tc>
          <w:tcPr>
            <w:tcW w:w="806" w:type="pct"/>
            <w:vAlign w:val="center"/>
          </w:tcPr>
          <w:p w14:paraId="44318480">
            <w:pPr>
              <w:pStyle w:val="66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拉伸性能</w:t>
            </w:r>
          </w:p>
        </w:tc>
        <w:tc>
          <w:tcPr>
            <w:tcW w:w="1720" w:type="pct"/>
            <w:vAlign w:val="center"/>
          </w:tcPr>
          <w:p w14:paraId="3AB4F466">
            <w:pPr>
              <w:pStyle w:val="66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√</w:t>
            </w:r>
          </w:p>
        </w:tc>
        <w:tc>
          <w:tcPr>
            <w:tcW w:w="1668" w:type="pct"/>
            <w:vAlign w:val="center"/>
          </w:tcPr>
          <w:p w14:paraId="4B10B4FC">
            <w:pPr>
              <w:pStyle w:val="66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√</w:t>
            </w:r>
          </w:p>
        </w:tc>
      </w:tr>
      <w:tr w14:paraId="3B8EB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6" w:type="pct"/>
            <w:vMerge w:val="continue"/>
            <w:vAlign w:val="center"/>
          </w:tcPr>
          <w:p w14:paraId="12F5EBCF">
            <w:pPr>
              <w:pStyle w:val="66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14:paraId="7F64259C">
            <w:pPr>
              <w:pStyle w:val="66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硬度</w:t>
            </w:r>
          </w:p>
        </w:tc>
        <w:tc>
          <w:tcPr>
            <w:tcW w:w="1720" w:type="pct"/>
            <w:vAlign w:val="center"/>
          </w:tcPr>
          <w:p w14:paraId="4003C177">
            <w:pPr>
              <w:pStyle w:val="66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√</w:t>
            </w:r>
          </w:p>
        </w:tc>
        <w:tc>
          <w:tcPr>
            <w:tcW w:w="1668" w:type="pct"/>
            <w:vAlign w:val="center"/>
          </w:tcPr>
          <w:p w14:paraId="0AAA1FB2">
            <w:pPr>
              <w:pStyle w:val="66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√</w:t>
            </w:r>
          </w:p>
        </w:tc>
      </w:tr>
      <w:tr w14:paraId="6EE02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12" w:type="pct"/>
            <w:gridSpan w:val="2"/>
            <w:vAlign w:val="center"/>
          </w:tcPr>
          <w:p w14:paraId="6D514880">
            <w:pPr>
              <w:pStyle w:val="66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弯曲试验</w:t>
            </w:r>
          </w:p>
        </w:tc>
        <w:tc>
          <w:tcPr>
            <w:tcW w:w="1720" w:type="pct"/>
            <w:vAlign w:val="center"/>
          </w:tcPr>
          <w:p w14:paraId="625758A6">
            <w:pPr>
              <w:pStyle w:val="66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√</w:t>
            </w:r>
          </w:p>
        </w:tc>
        <w:tc>
          <w:tcPr>
            <w:tcW w:w="1668" w:type="pct"/>
            <w:vAlign w:val="center"/>
          </w:tcPr>
          <w:p w14:paraId="4BF0C5C6">
            <w:pPr>
              <w:pStyle w:val="66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√</w:t>
            </w:r>
          </w:p>
        </w:tc>
      </w:tr>
      <w:tr w14:paraId="6F18F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12" w:type="pct"/>
            <w:gridSpan w:val="2"/>
            <w:vAlign w:val="center"/>
          </w:tcPr>
          <w:p w14:paraId="28011C48">
            <w:pPr>
              <w:pStyle w:val="66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电性能</w:t>
            </w:r>
          </w:p>
        </w:tc>
        <w:tc>
          <w:tcPr>
            <w:tcW w:w="1720" w:type="pct"/>
            <w:vAlign w:val="center"/>
          </w:tcPr>
          <w:p w14:paraId="4DA6B386">
            <w:pPr>
              <w:pStyle w:val="66"/>
              <w:rPr>
                <w:rFonts w:eastAsia="宋体"/>
                <w:sz w:val="18"/>
                <w:szCs w:val="18"/>
              </w:rPr>
            </w:pPr>
            <w:r>
              <w:rPr>
                <w:rFonts w:ascii="Cambria Math" w:hAnsi="Cambria Math" w:eastAsia="宋体" w:cs="Cambria Math"/>
                <w:sz w:val="18"/>
                <w:szCs w:val="18"/>
              </w:rPr>
              <w:t>△</w:t>
            </w:r>
          </w:p>
        </w:tc>
        <w:tc>
          <w:tcPr>
            <w:tcW w:w="1668" w:type="pct"/>
            <w:vAlign w:val="center"/>
          </w:tcPr>
          <w:p w14:paraId="0F41EC75">
            <w:pPr>
              <w:pStyle w:val="66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√</w:t>
            </w:r>
          </w:p>
        </w:tc>
      </w:tr>
      <w:tr w14:paraId="25AD8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12" w:type="pct"/>
            <w:gridSpan w:val="2"/>
            <w:vAlign w:val="center"/>
          </w:tcPr>
          <w:p w14:paraId="1E0A3F8C">
            <w:pPr>
              <w:pStyle w:val="66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晶粒度</w:t>
            </w:r>
          </w:p>
        </w:tc>
        <w:tc>
          <w:tcPr>
            <w:tcW w:w="1720" w:type="pct"/>
            <w:vAlign w:val="center"/>
          </w:tcPr>
          <w:p w14:paraId="0A34A0A0">
            <w:pPr>
              <w:pStyle w:val="66"/>
              <w:rPr>
                <w:rFonts w:eastAsia="宋体"/>
                <w:sz w:val="18"/>
                <w:szCs w:val="18"/>
              </w:rPr>
            </w:pPr>
            <w:r>
              <w:rPr>
                <w:rFonts w:ascii="Cambria Math" w:hAnsi="Cambria Math" w:eastAsia="宋体" w:cs="Cambria Math"/>
                <w:sz w:val="18"/>
                <w:szCs w:val="18"/>
              </w:rPr>
              <w:t>△</w:t>
            </w:r>
          </w:p>
        </w:tc>
        <w:tc>
          <w:tcPr>
            <w:tcW w:w="1668" w:type="pct"/>
            <w:vAlign w:val="center"/>
          </w:tcPr>
          <w:p w14:paraId="2002C789">
            <w:pPr>
              <w:pStyle w:val="66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√</w:t>
            </w:r>
          </w:p>
        </w:tc>
      </w:tr>
      <w:tr w14:paraId="2F211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12" w:type="pct"/>
            <w:gridSpan w:val="2"/>
            <w:vAlign w:val="center"/>
          </w:tcPr>
          <w:p w14:paraId="0CC9E094">
            <w:pPr>
              <w:pStyle w:val="66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表面质量</w:t>
            </w:r>
          </w:p>
        </w:tc>
        <w:tc>
          <w:tcPr>
            <w:tcW w:w="1720" w:type="pct"/>
            <w:vAlign w:val="center"/>
          </w:tcPr>
          <w:p w14:paraId="37B93A46">
            <w:pPr>
              <w:pStyle w:val="66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√</w:t>
            </w:r>
          </w:p>
        </w:tc>
        <w:tc>
          <w:tcPr>
            <w:tcW w:w="1668" w:type="pct"/>
            <w:vAlign w:val="center"/>
          </w:tcPr>
          <w:p w14:paraId="57FD6539">
            <w:pPr>
              <w:pStyle w:val="66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√</w:t>
            </w:r>
          </w:p>
        </w:tc>
      </w:tr>
      <w:tr w14:paraId="0EA7D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4"/>
            <w:vAlign w:val="center"/>
          </w:tcPr>
          <w:p w14:paraId="2A976FC6">
            <w:pPr>
              <w:pStyle w:val="66"/>
              <w:ind w:firstLine="360" w:firstLineChars="200"/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注：表中“√”表示“必验项目”；“</w:t>
            </w:r>
            <w:r>
              <w:rPr>
                <w:rFonts w:ascii="Cambria Math" w:hAnsi="Cambria Math" w:eastAsia="宋体" w:cs="Cambria Math"/>
                <w:sz w:val="18"/>
                <w:szCs w:val="18"/>
              </w:rPr>
              <w:t>△</w:t>
            </w:r>
            <w:r>
              <w:rPr>
                <w:rFonts w:eastAsia="宋体"/>
                <w:sz w:val="18"/>
                <w:szCs w:val="18"/>
              </w:rPr>
              <w:t>”表示“非必验项目”。</w:t>
            </w:r>
          </w:p>
        </w:tc>
      </w:tr>
    </w:tbl>
    <w:p w14:paraId="586D4CA7">
      <w:pPr>
        <w:rPr>
          <w:szCs w:val="21"/>
        </w:rPr>
      </w:pPr>
      <w:r>
        <w:rPr>
          <w:rFonts w:ascii="黑体" w:hAnsi="黑体" w:eastAsia="黑体" w:cs="黑体"/>
          <w:caps/>
          <w:kern w:val="0"/>
          <w:szCs w:val="21"/>
        </w:rPr>
        <w:t>7.3.2</w:t>
      </w:r>
      <w:r>
        <w:rPr>
          <w:rFonts w:hint="eastAsia"/>
          <w:szCs w:val="21"/>
        </w:rPr>
        <w:t>出现下列任一情况时，应进行型式检验：</w:t>
      </w:r>
    </w:p>
    <w:p w14:paraId="7422765C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a)新产品首次供货或老产品转厂的试制定型鉴定；</w:t>
      </w:r>
    </w:p>
    <w:p w14:paraId="6923A380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b)产品的原料、工艺有较大改变，可能影响产品性能时；</w:t>
      </w:r>
    </w:p>
    <w:p w14:paraId="17445DEA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c)产品停产后，恢复生产时；</w:t>
      </w:r>
    </w:p>
    <w:p w14:paraId="34D38983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d)出厂检验结果与上次型式检验有较大差异时；</w:t>
      </w:r>
    </w:p>
    <w:p w14:paraId="324F4693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e)连续2年未进行型式检验时；</w:t>
      </w:r>
    </w:p>
    <w:p w14:paraId="26534308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f)需方要求时（在订货单中注明）；</w:t>
      </w:r>
    </w:p>
    <w:p w14:paraId="633F4446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g)国家质量监督机构提出进行型式检验的要求时。</w:t>
      </w:r>
    </w:p>
    <w:p w14:paraId="0D2B1E61">
      <w:pPr>
        <w:tabs>
          <w:tab w:val="left" w:pos="540"/>
        </w:tabs>
        <w:spacing w:line="360" w:lineRule="auto"/>
        <w:contextualSpacing/>
        <w:rPr>
          <w:rFonts w:hint="eastAsia" w:ascii="黑体" w:hAnsi="黑体" w:eastAsia="黑体" w:cs="黑体"/>
          <w:caps/>
          <w:kern w:val="0"/>
          <w:szCs w:val="21"/>
        </w:rPr>
      </w:pPr>
      <w:r>
        <w:rPr>
          <w:rFonts w:ascii="黑体" w:hAnsi="黑体" w:eastAsia="黑体" w:cs="黑体"/>
          <w:caps/>
          <w:kern w:val="0"/>
          <w:szCs w:val="21"/>
        </w:rPr>
        <w:t>7.4</w:t>
      </w:r>
      <w:r>
        <w:rPr>
          <w:rFonts w:hint="eastAsia" w:ascii="黑体" w:hAnsi="黑体" w:eastAsia="黑体" w:cs="黑体"/>
          <w:caps/>
          <w:kern w:val="0"/>
          <w:szCs w:val="21"/>
        </w:rPr>
        <w:t>取样</w:t>
      </w:r>
    </w:p>
    <w:p w14:paraId="4A3926C3">
      <w:pPr>
        <w:spacing w:line="360" w:lineRule="auto"/>
        <w:ind w:firstLine="420" w:firstLineChars="200"/>
        <w:contextualSpacing/>
        <w:rPr>
          <w:rFonts w:eastAsia="黑体"/>
          <w:szCs w:val="21"/>
        </w:rPr>
      </w:pPr>
      <w:r>
        <w:rPr>
          <w:rFonts w:hint="eastAsia"/>
          <w:szCs w:val="21"/>
        </w:rPr>
        <w:t>带箔材的</w:t>
      </w:r>
      <w:r>
        <w:rPr>
          <w:szCs w:val="21"/>
        </w:rPr>
        <w:t>取样应符合</w:t>
      </w:r>
      <w:r>
        <w:rPr>
          <w:rFonts w:hint="eastAsia"/>
          <w:szCs w:val="21"/>
        </w:rPr>
        <w:t>表</w:t>
      </w:r>
      <w:r>
        <w:rPr>
          <w:szCs w:val="21"/>
        </w:rPr>
        <w:t>1</w:t>
      </w:r>
      <w:r>
        <w:rPr>
          <w:rFonts w:hint="eastAsia"/>
          <w:szCs w:val="21"/>
        </w:rPr>
        <w:t>1</w:t>
      </w:r>
      <w:r>
        <w:rPr>
          <w:szCs w:val="21"/>
        </w:rPr>
        <w:t>规定</w:t>
      </w:r>
      <w:r>
        <w:rPr>
          <w:rFonts w:hint="eastAsia"/>
          <w:szCs w:val="21"/>
        </w:rPr>
        <w:t>。</w:t>
      </w:r>
      <w:r>
        <w:rPr>
          <w:rFonts w:hint="eastAsia"/>
        </w:rPr>
        <w:t>取样方法按</w:t>
      </w:r>
      <w:r>
        <w:t>YS/T 668</w:t>
      </w:r>
      <w:r>
        <w:rPr>
          <w:rFonts w:hint="eastAsia"/>
        </w:rPr>
        <w:t>的规定进行。</w:t>
      </w:r>
    </w:p>
    <w:p w14:paraId="0D90D12C">
      <w:pPr>
        <w:spacing w:line="360" w:lineRule="auto"/>
        <w:contextualSpacing/>
        <w:jc w:val="center"/>
        <w:rPr>
          <w:rFonts w:eastAsia="黑体"/>
          <w:szCs w:val="21"/>
        </w:rPr>
      </w:pPr>
      <w:r>
        <w:rPr>
          <w:rFonts w:hint="eastAsia" w:eastAsia="黑体"/>
          <w:szCs w:val="21"/>
        </w:rPr>
        <w:t>表</w:t>
      </w:r>
      <w:r>
        <w:rPr>
          <w:rFonts w:eastAsia="黑体"/>
          <w:szCs w:val="21"/>
        </w:rPr>
        <w:t>1</w:t>
      </w:r>
      <w:r>
        <w:rPr>
          <w:rFonts w:hint="eastAsia" w:eastAsia="黑体"/>
          <w:szCs w:val="21"/>
        </w:rPr>
        <w:t>1取样</w:t>
      </w:r>
    </w:p>
    <w:tbl>
      <w:tblPr>
        <w:tblStyle w:val="37"/>
        <w:tblW w:w="94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952"/>
        <w:gridCol w:w="4009"/>
        <w:gridCol w:w="1701"/>
        <w:gridCol w:w="1724"/>
      </w:tblGrid>
      <w:tr w14:paraId="2B0FA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0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07B53FA8">
            <w:pPr>
              <w:ind w:right="-23" w:rightChars="-11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</w:t>
            </w:r>
          </w:p>
        </w:tc>
        <w:tc>
          <w:tcPr>
            <w:tcW w:w="400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F57CC2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取样规定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63EB50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技术要求的章条号</w:t>
            </w:r>
          </w:p>
        </w:tc>
        <w:tc>
          <w:tcPr>
            <w:tcW w:w="172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EB3995E">
            <w:pPr>
              <w:ind w:right="-23" w:rightChars="-11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试验方法的章条号</w:t>
            </w:r>
          </w:p>
        </w:tc>
      </w:tr>
      <w:tr w14:paraId="091FA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0" w:type="dxa"/>
            <w:gridSpan w:val="2"/>
            <w:tcBorders>
              <w:top w:val="single" w:color="auto" w:sz="12" w:space="0"/>
            </w:tcBorders>
            <w:vAlign w:val="center"/>
          </w:tcPr>
          <w:p w14:paraId="1224F94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化学成分</w:t>
            </w:r>
          </w:p>
        </w:tc>
        <w:tc>
          <w:tcPr>
            <w:tcW w:w="4009" w:type="dxa"/>
            <w:tcBorders>
              <w:top w:val="single" w:color="auto" w:sz="12" w:space="0"/>
            </w:tcBorders>
            <w:vAlign w:val="center"/>
          </w:tcPr>
          <w:p w14:paraId="2F7B7A9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供方：每炉取1个试样；需方：每批取1个试样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 w14:paraId="2F1B11B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1724" w:type="dxa"/>
            <w:tcBorders>
              <w:top w:val="single" w:color="auto" w:sz="12" w:space="0"/>
            </w:tcBorders>
            <w:vAlign w:val="center"/>
          </w:tcPr>
          <w:p w14:paraId="3C83033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</w:tr>
      <w:tr w14:paraId="62B30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gridSpan w:val="2"/>
            <w:vAlign w:val="center"/>
          </w:tcPr>
          <w:p w14:paraId="1DE0D5D4">
            <w:pPr>
              <w:contextualSpacing/>
              <w:jc w:val="center"/>
              <w:rPr>
                <w:sz w:val="18"/>
                <w:szCs w:val="18"/>
              </w:rPr>
            </w:pPr>
            <w:bookmarkStart w:id="45" w:name="_Hlk35420580"/>
            <w:r>
              <w:rPr>
                <w:sz w:val="18"/>
                <w:szCs w:val="18"/>
              </w:rPr>
              <w:t>外形尺寸及其允许偏差</w:t>
            </w:r>
            <w:bookmarkEnd w:id="45"/>
          </w:p>
        </w:tc>
        <w:tc>
          <w:tcPr>
            <w:tcW w:w="4009" w:type="dxa"/>
            <w:vAlign w:val="center"/>
          </w:tcPr>
          <w:p w14:paraId="5577DCD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按GB/T 2828.1规定的取样方案，选择正常检验一次抽样方案，检测水平Ⅱ，接收质量限AQL=2.5或供需双方协商</w:t>
            </w:r>
          </w:p>
        </w:tc>
        <w:tc>
          <w:tcPr>
            <w:tcW w:w="1701" w:type="dxa"/>
            <w:vAlign w:val="center"/>
          </w:tcPr>
          <w:p w14:paraId="7260E29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1724" w:type="dxa"/>
            <w:vAlign w:val="center"/>
          </w:tcPr>
          <w:p w14:paraId="09E2F3E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</w:tr>
      <w:tr w14:paraId="05DBC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8" w:type="dxa"/>
            <w:vMerge w:val="restart"/>
            <w:vAlign w:val="center"/>
          </w:tcPr>
          <w:p w14:paraId="14E4759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力学性能</w:t>
            </w:r>
          </w:p>
        </w:tc>
        <w:tc>
          <w:tcPr>
            <w:tcW w:w="952" w:type="dxa"/>
            <w:vAlign w:val="center"/>
          </w:tcPr>
          <w:p w14:paraId="08BA2BE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拉伸性能</w:t>
            </w:r>
          </w:p>
        </w:tc>
        <w:tc>
          <w:tcPr>
            <w:tcW w:w="4009" w:type="dxa"/>
            <w:vAlign w:val="center"/>
          </w:tcPr>
          <w:p w14:paraId="69336D39">
            <w:pPr>
              <w:contextualSpacing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每批任取2卷，每卷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沿轧制方向任</w:t>
            </w:r>
            <w:r>
              <w:rPr>
                <w:kern w:val="0"/>
                <w:sz w:val="18"/>
                <w:szCs w:val="18"/>
              </w:rPr>
              <w:t>取1个试样</w:t>
            </w:r>
          </w:p>
        </w:tc>
        <w:tc>
          <w:tcPr>
            <w:tcW w:w="1701" w:type="dxa"/>
            <w:vMerge w:val="restart"/>
            <w:vAlign w:val="center"/>
          </w:tcPr>
          <w:p w14:paraId="74F20CE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1724" w:type="dxa"/>
            <w:vMerge w:val="restart"/>
            <w:vAlign w:val="center"/>
          </w:tcPr>
          <w:p w14:paraId="04E5FB0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</w:tc>
      </w:tr>
      <w:tr w14:paraId="7C267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8" w:type="dxa"/>
            <w:vMerge w:val="continue"/>
            <w:vAlign w:val="center"/>
          </w:tcPr>
          <w:p w14:paraId="34A6AA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14:paraId="78D9BB4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硬度</w:t>
            </w:r>
          </w:p>
        </w:tc>
        <w:tc>
          <w:tcPr>
            <w:tcW w:w="4009" w:type="dxa"/>
            <w:vAlign w:val="center"/>
          </w:tcPr>
          <w:p w14:paraId="53F3A130">
            <w:pPr>
              <w:contextualSpacing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每批任取2卷，每卷取1个试样</w:t>
            </w:r>
          </w:p>
        </w:tc>
        <w:tc>
          <w:tcPr>
            <w:tcW w:w="1701" w:type="dxa"/>
            <w:vMerge w:val="continue"/>
            <w:vAlign w:val="center"/>
          </w:tcPr>
          <w:p w14:paraId="447B8009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50EBABB1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14:paraId="34FBE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0" w:type="dxa"/>
            <w:gridSpan w:val="2"/>
            <w:vAlign w:val="center"/>
          </w:tcPr>
          <w:p w14:paraId="5B7FA8C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弯曲试验</w:t>
            </w:r>
          </w:p>
        </w:tc>
        <w:tc>
          <w:tcPr>
            <w:tcW w:w="4009" w:type="dxa"/>
            <w:vAlign w:val="center"/>
          </w:tcPr>
          <w:p w14:paraId="4B7A8287">
            <w:pPr>
              <w:contextualSpacing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每批任取2卷，每卷取1个试样</w:t>
            </w:r>
          </w:p>
        </w:tc>
        <w:tc>
          <w:tcPr>
            <w:tcW w:w="1701" w:type="dxa"/>
            <w:vAlign w:val="center"/>
          </w:tcPr>
          <w:p w14:paraId="35EE63A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24" w:type="dxa"/>
            <w:vAlign w:val="center"/>
          </w:tcPr>
          <w:p w14:paraId="157141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14:paraId="2B936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0" w:type="dxa"/>
            <w:gridSpan w:val="2"/>
            <w:vAlign w:val="center"/>
          </w:tcPr>
          <w:p w14:paraId="7896D54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电性能</w:t>
            </w:r>
          </w:p>
        </w:tc>
        <w:tc>
          <w:tcPr>
            <w:tcW w:w="4009" w:type="dxa"/>
            <w:vAlign w:val="center"/>
          </w:tcPr>
          <w:p w14:paraId="4D8004D1">
            <w:pPr>
              <w:contextualSpacing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每批任取2卷，每卷取1个试样</w:t>
            </w:r>
          </w:p>
        </w:tc>
        <w:tc>
          <w:tcPr>
            <w:tcW w:w="1701" w:type="dxa"/>
            <w:vAlign w:val="center"/>
          </w:tcPr>
          <w:p w14:paraId="4345967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724" w:type="dxa"/>
            <w:vAlign w:val="center"/>
          </w:tcPr>
          <w:p w14:paraId="5FAA83E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14:paraId="2D4E0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0" w:type="dxa"/>
            <w:gridSpan w:val="2"/>
            <w:vAlign w:val="center"/>
          </w:tcPr>
          <w:p w14:paraId="4163236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晶粒度</w:t>
            </w:r>
          </w:p>
        </w:tc>
        <w:tc>
          <w:tcPr>
            <w:tcW w:w="4009" w:type="dxa"/>
            <w:vAlign w:val="center"/>
          </w:tcPr>
          <w:p w14:paraId="13516B15">
            <w:pPr>
              <w:contextualSpacing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每批任取2卷，每卷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沿轧制方向任</w:t>
            </w:r>
            <w:r>
              <w:rPr>
                <w:kern w:val="0"/>
                <w:sz w:val="18"/>
                <w:szCs w:val="18"/>
              </w:rPr>
              <w:t>取1个试样</w:t>
            </w:r>
          </w:p>
        </w:tc>
        <w:tc>
          <w:tcPr>
            <w:tcW w:w="1701" w:type="dxa"/>
            <w:vAlign w:val="center"/>
          </w:tcPr>
          <w:p w14:paraId="3585AE2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724" w:type="dxa"/>
            <w:vAlign w:val="center"/>
          </w:tcPr>
          <w:p w14:paraId="647666A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</w:tr>
      <w:tr w14:paraId="6313C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0" w:type="dxa"/>
            <w:gridSpan w:val="2"/>
            <w:vAlign w:val="center"/>
          </w:tcPr>
          <w:p w14:paraId="253A412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表面质量</w:t>
            </w:r>
          </w:p>
        </w:tc>
        <w:tc>
          <w:tcPr>
            <w:tcW w:w="4009" w:type="dxa"/>
            <w:vAlign w:val="center"/>
          </w:tcPr>
          <w:p w14:paraId="46E295AA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逐卷检查</w:t>
            </w:r>
          </w:p>
        </w:tc>
        <w:tc>
          <w:tcPr>
            <w:tcW w:w="1701" w:type="dxa"/>
            <w:vAlign w:val="center"/>
          </w:tcPr>
          <w:p w14:paraId="7D94777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724" w:type="dxa"/>
            <w:vAlign w:val="center"/>
          </w:tcPr>
          <w:p w14:paraId="43B71E5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</w:tr>
    </w:tbl>
    <w:p w14:paraId="58C72CD5">
      <w:pPr>
        <w:tabs>
          <w:tab w:val="left" w:pos="540"/>
        </w:tabs>
        <w:spacing w:line="360" w:lineRule="auto"/>
        <w:contextualSpacing/>
        <w:rPr>
          <w:rFonts w:hint="eastAsia" w:ascii="黑体" w:hAnsi="黑体" w:eastAsia="黑体" w:cs="黑体"/>
          <w:caps/>
          <w:kern w:val="0"/>
          <w:szCs w:val="21"/>
        </w:rPr>
      </w:pPr>
      <w:r>
        <w:rPr>
          <w:rFonts w:ascii="黑体" w:hAnsi="黑体" w:eastAsia="黑体" w:cs="黑体"/>
          <w:caps/>
          <w:kern w:val="0"/>
          <w:szCs w:val="21"/>
        </w:rPr>
        <w:t>7.5</w:t>
      </w:r>
      <w:r>
        <w:rPr>
          <w:rFonts w:hint="eastAsia" w:ascii="黑体" w:hAnsi="黑体" w:eastAsia="黑体" w:cs="黑体"/>
          <w:caps/>
          <w:kern w:val="0"/>
          <w:szCs w:val="21"/>
        </w:rPr>
        <w:t>检验结果的判定</w:t>
      </w:r>
    </w:p>
    <w:p w14:paraId="6C0FDF56">
      <w:pPr>
        <w:contextualSpacing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aps/>
          <w:kern w:val="0"/>
          <w:szCs w:val="21"/>
        </w:rPr>
        <w:t>7.5.1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检验结果的数值按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GB/T 8170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的规定进行修约，并采用修约值比较法判定。</w:t>
      </w:r>
    </w:p>
    <w:p w14:paraId="37F7DF07">
      <w:pPr>
        <w:contextualSpacing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aps/>
          <w:kern w:val="0"/>
          <w:szCs w:val="21"/>
        </w:rPr>
        <w:t>7.5.2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化学成分不合格时，判该批带箔材不合格。</w:t>
      </w:r>
    </w:p>
    <w:p w14:paraId="3B33E1E4">
      <w:pPr>
        <w:contextualSpacing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aps/>
          <w:kern w:val="0"/>
          <w:szCs w:val="21"/>
        </w:rPr>
        <w:t>7.5.</w:t>
      </w:r>
      <w:r>
        <w:rPr>
          <w:rFonts w:hint="eastAsia" w:ascii="黑体" w:hAnsi="黑体" w:eastAsia="黑体" w:cs="黑体"/>
          <w:caps/>
          <w:kern w:val="0"/>
          <w:szCs w:val="21"/>
        </w:rPr>
        <w:t>3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带箔材外形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尺寸偏差及其允许偏差、表面质量不合格时，判该卷不合格。每批中不合格件数超出接收质量限时判整批不合格，或由供方逐卷检验，逐卷判定。</w:t>
      </w:r>
    </w:p>
    <w:p w14:paraId="506DB335">
      <w:pPr>
        <w:contextualSpacing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aps/>
          <w:kern w:val="0"/>
          <w:szCs w:val="21"/>
        </w:rPr>
        <w:t>7.5.</w:t>
      </w:r>
      <w:r>
        <w:rPr>
          <w:rFonts w:hint="eastAsia" w:ascii="黑体" w:hAnsi="黑体" w:eastAsia="黑体" w:cs="黑体"/>
          <w:caps/>
          <w:kern w:val="0"/>
          <w:szCs w:val="21"/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力学性能、弯曲试验、电性能、晶粒度结果有试样不合格时，应从该批带箔材中另取双倍数量的试样（其中一个试样必须取自原检验不合格的那卷）进行重复试验。若重复试验结果仍有试样不合格，则判该批带箔材不合格，或由供方</w:t>
      </w:r>
      <w:bookmarkStart w:id="46" w:name="OLE_LINK3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逐</w:t>
      </w:r>
      <w:bookmarkEnd w:id="46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卷检验，逐卷判定。</w:t>
      </w:r>
    </w:p>
    <w:p w14:paraId="367C063D">
      <w:pPr>
        <w:tabs>
          <w:tab w:val="left" w:pos="540"/>
        </w:tabs>
        <w:spacing w:line="360" w:lineRule="auto"/>
        <w:contextualSpacing/>
        <w:rPr>
          <w:rFonts w:hint="eastAsia" w:ascii="黑体" w:hAnsi="黑体" w:eastAsia="黑体" w:cs="黑体"/>
          <w:caps/>
          <w:kern w:val="0"/>
          <w:szCs w:val="21"/>
        </w:rPr>
      </w:pPr>
      <w:r>
        <w:rPr>
          <w:rFonts w:ascii="黑体" w:hAnsi="黑体" w:eastAsia="黑体" w:cs="黑体"/>
          <w:caps/>
          <w:kern w:val="0"/>
          <w:szCs w:val="21"/>
        </w:rPr>
        <w:t>8</w:t>
      </w:r>
      <w:r>
        <w:rPr>
          <w:rFonts w:hint="eastAsia" w:ascii="黑体" w:hAnsi="黑体" w:eastAsia="黑体" w:cs="黑体"/>
          <w:caps/>
          <w:kern w:val="0"/>
          <w:szCs w:val="21"/>
        </w:rPr>
        <w:t>标志、包装、运输、贮存和随行文件</w:t>
      </w:r>
    </w:p>
    <w:p w14:paraId="4F0824CE">
      <w:pPr>
        <w:tabs>
          <w:tab w:val="left" w:pos="540"/>
        </w:tabs>
        <w:spacing w:line="360" w:lineRule="auto"/>
        <w:contextualSpacing/>
        <w:rPr>
          <w:rFonts w:hint="eastAsia" w:ascii="黑体" w:hAnsi="黑体" w:eastAsia="黑体" w:cs="黑体"/>
          <w:caps/>
          <w:kern w:val="0"/>
          <w:szCs w:val="21"/>
        </w:rPr>
      </w:pPr>
      <w:r>
        <w:rPr>
          <w:rFonts w:ascii="黑体" w:hAnsi="黑体" w:eastAsia="黑体" w:cs="黑体"/>
          <w:caps/>
          <w:kern w:val="0"/>
          <w:szCs w:val="21"/>
        </w:rPr>
        <w:t>8.1</w:t>
      </w:r>
      <w:r>
        <w:rPr>
          <w:rFonts w:hint="eastAsia" w:ascii="黑体" w:hAnsi="黑体" w:eastAsia="黑体" w:cs="黑体"/>
          <w:caps/>
          <w:kern w:val="0"/>
          <w:szCs w:val="21"/>
        </w:rPr>
        <w:t>标志、包装、运输、贮存</w:t>
      </w:r>
    </w:p>
    <w:p w14:paraId="0678DA17">
      <w:pPr>
        <w:spacing w:line="360" w:lineRule="auto"/>
        <w:ind w:firstLine="420" w:firstLineChars="200"/>
        <w:contextualSpacing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带箔材的标志、包装、运输、贮存应符合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GB/T 8888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的规定。</w:t>
      </w:r>
    </w:p>
    <w:p w14:paraId="6553635E">
      <w:pPr>
        <w:tabs>
          <w:tab w:val="left" w:pos="540"/>
        </w:tabs>
        <w:spacing w:line="360" w:lineRule="auto"/>
        <w:contextualSpacing/>
        <w:rPr>
          <w:rFonts w:hint="eastAsia" w:ascii="黑体" w:hAnsi="黑体" w:eastAsia="黑体" w:cs="黑体"/>
          <w:caps/>
          <w:kern w:val="0"/>
          <w:szCs w:val="21"/>
        </w:rPr>
      </w:pPr>
      <w:r>
        <w:rPr>
          <w:rFonts w:ascii="黑体" w:hAnsi="黑体" w:eastAsia="黑体" w:cs="黑体"/>
          <w:caps/>
          <w:kern w:val="0"/>
          <w:szCs w:val="21"/>
        </w:rPr>
        <w:t>8.2</w:t>
      </w:r>
      <w:r>
        <w:rPr>
          <w:rFonts w:hint="eastAsia" w:ascii="黑体" w:hAnsi="黑体" w:eastAsia="黑体" w:cs="黑体"/>
          <w:caps/>
          <w:kern w:val="0"/>
          <w:szCs w:val="21"/>
        </w:rPr>
        <w:t>随行文件</w:t>
      </w:r>
    </w:p>
    <w:p w14:paraId="4B180422">
      <w:pPr>
        <w:widowControl/>
        <w:autoSpaceDE w:val="0"/>
        <w:autoSpaceDN w:val="0"/>
        <w:ind w:firstLine="420" w:firstLineChars="200"/>
        <w:contextualSpacing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每批产品应附有随行文件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，其中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除应包括供方信息、产品信息、本文件编号、出厂日期或包装日期外，还宜包括：</w:t>
      </w:r>
    </w:p>
    <w:p w14:paraId="7326D2F8"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a）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产品质量保证书，内容如下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 w14:paraId="33787532">
      <w:pPr>
        <w:tabs>
          <w:tab w:val="left" w:pos="780"/>
        </w:tabs>
        <w:ind w:firstLine="840" w:firstLineChars="400"/>
        <w:contextualSpacing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产品的主要性能及技术参数；</w:t>
      </w:r>
    </w:p>
    <w:p w14:paraId="2F34D7CE">
      <w:pPr>
        <w:tabs>
          <w:tab w:val="left" w:pos="780"/>
        </w:tabs>
        <w:ind w:left="420" w:firstLine="420" w:firstLineChars="200"/>
        <w:contextualSpacing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产品特点（包括制造工艺及原材料的特点）；</w:t>
      </w:r>
    </w:p>
    <w:p w14:paraId="1947CF1B">
      <w:pPr>
        <w:tabs>
          <w:tab w:val="left" w:pos="780"/>
        </w:tabs>
        <w:ind w:left="420" w:firstLine="420" w:firstLineChars="200"/>
        <w:contextualSpacing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对产品质量所负的责任；</w:t>
      </w:r>
    </w:p>
    <w:p w14:paraId="72E10D68">
      <w:pPr>
        <w:tabs>
          <w:tab w:val="left" w:pos="780"/>
        </w:tabs>
        <w:ind w:left="420" w:firstLine="420" w:firstLineChars="200"/>
        <w:contextualSpacing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产品获得的质量认证及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带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供方技术监督部门检印的各项分析检验结果。</w:t>
      </w:r>
    </w:p>
    <w:p w14:paraId="3ECC3D60"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b）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产品合格证，内容如下：</w:t>
      </w:r>
    </w:p>
    <w:p w14:paraId="3C5B699C">
      <w:pPr>
        <w:tabs>
          <w:tab w:val="left" w:pos="780"/>
        </w:tabs>
        <w:ind w:left="420" w:firstLine="420" w:firstLineChars="200"/>
        <w:contextualSpacing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检验项目及其结果或检验结论；</w:t>
      </w:r>
    </w:p>
    <w:p w14:paraId="19EF686E">
      <w:pPr>
        <w:tabs>
          <w:tab w:val="left" w:pos="780"/>
        </w:tabs>
        <w:ind w:left="420" w:firstLine="420" w:firstLineChars="200"/>
        <w:contextualSpacing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批量或批号；</w:t>
      </w:r>
    </w:p>
    <w:p w14:paraId="108606E0">
      <w:pPr>
        <w:tabs>
          <w:tab w:val="left" w:pos="780"/>
        </w:tabs>
        <w:ind w:left="420" w:firstLine="420" w:firstLineChars="200"/>
        <w:contextualSpacing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检验日期；</w:t>
      </w:r>
    </w:p>
    <w:p w14:paraId="00C27AB9">
      <w:pPr>
        <w:tabs>
          <w:tab w:val="left" w:pos="780"/>
        </w:tabs>
        <w:ind w:left="420" w:firstLine="420" w:firstLineChars="200"/>
        <w:contextualSpacing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检验员签名或盖章。</w:t>
      </w:r>
    </w:p>
    <w:p w14:paraId="3FEAB94A"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c）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产品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质量控制过程中的检验报告及成品检验报告</w:t>
      </w: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2AD31A8F">
      <w:pPr>
        <w:tabs>
          <w:tab w:val="left" w:pos="780"/>
        </w:tabs>
        <w:ind w:firstLine="420" w:firstLineChars="200"/>
        <w:contextualSpacing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d）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产品使用说明：正确搬运、使用、贮存方法等</w:t>
      </w: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0E2F4DA9">
      <w:pPr>
        <w:tabs>
          <w:tab w:val="left" w:pos="780"/>
        </w:tabs>
        <w:ind w:firstLine="420" w:firstLineChars="200"/>
        <w:contextualSpacing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e）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其他。</w:t>
      </w:r>
    </w:p>
    <w:p w14:paraId="33F4A4AA">
      <w:pPr>
        <w:tabs>
          <w:tab w:val="left" w:pos="540"/>
        </w:tabs>
        <w:spacing w:line="360" w:lineRule="auto"/>
        <w:contextualSpacing/>
        <w:rPr>
          <w:rFonts w:hint="eastAsia" w:ascii="黑体" w:hAnsi="黑体" w:eastAsia="黑体" w:cs="黑体"/>
          <w:caps/>
          <w:kern w:val="0"/>
          <w:szCs w:val="21"/>
        </w:rPr>
      </w:pPr>
      <w:r>
        <w:rPr>
          <w:rFonts w:ascii="黑体" w:hAnsi="黑体" w:eastAsia="黑体" w:cs="黑体"/>
          <w:caps/>
          <w:kern w:val="0"/>
          <w:szCs w:val="21"/>
        </w:rPr>
        <w:t>9</w:t>
      </w:r>
      <w:r>
        <w:rPr>
          <w:rFonts w:hint="eastAsia" w:ascii="黑体" w:hAnsi="黑体" w:eastAsia="黑体" w:cs="黑体"/>
          <w:caps/>
          <w:kern w:val="0"/>
          <w:szCs w:val="21"/>
        </w:rPr>
        <w:t>订货单内容</w:t>
      </w:r>
    </w:p>
    <w:p w14:paraId="753A0051">
      <w:pPr>
        <w:pStyle w:val="136"/>
        <w:ind w:left="420" w:firstLine="0" w:firstLineChars="0"/>
      </w:pPr>
      <w:r>
        <w:rPr>
          <w:rFonts w:hint="eastAsia"/>
          <w:szCs w:val="21"/>
        </w:rPr>
        <w:t>需方可根据自身的需要，在订购本文件所列产品的订货单内，列出下列内容：</w:t>
      </w:r>
    </w:p>
    <w:p w14:paraId="76E604CA"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a）产品名称；</w:t>
      </w:r>
    </w:p>
    <w:p w14:paraId="7152BB75"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b）牌号；</w:t>
      </w:r>
    </w:p>
    <w:p w14:paraId="0DEE5DEF"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规格；</w:t>
      </w:r>
    </w:p>
    <w:p w14:paraId="0C9658FE"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d）供应状态；</w:t>
      </w:r>
    </w:p>
    <w:p w14:paraId="7EE0C077"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e）尺寸及其允许偏差（高精级或特殊要求时）；</w:t>
      </w:r>
    </w:p>
    <w:p w14:paraId="0F449E47"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f）重量；</w:t>
      </w:r>
    </w:p>
    <w:p w14:paraId="0D05787C">
      <w:pPr>
        <w:ind w:firstLine="420" w:firstLineChars="200"/>
        <w:rPr>
          <w:rFonts w:eastAsiaTheme="minorEastAsia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g）</w:t>
      </w:r>
      <w:r>
        <w:rPr>
          <w:rFonts w:hint="eastAsia"/>
        </w:rPr>
        <w:t>电性能、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晶粒度</w:t>
      </w:r>
      <w:r>
        <w:rPr>
          <w:rFonts w:hint="eastAsia" w:eastAsiaTheme="minorEastAsia"/>
        </w:rPr>
        <w:t>（需方有要求时）；</w:t>
      </w:r>
    </w:p>
    <w:p w14:paraId="724982FE"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h）本文件编号；</w:t>
      </w:r>
    </w:p>
    <w:p w14:paraId="4E5C00AB"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1090930</wp:posOffset>
                </wp:positionH>
                <wp:positionV relativeFrom="paragraph">
                  <wp:posOffset>1220470</wp:posOffset>
                </wp:positionV>
                <wp:extent cx="3241040" cy="6985"/>
                <wp:effectExtent l="10160" t="7620" r="6350" b="13970"/>
                <wp:wrapNone/>
                <wp:docPr id="502040985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104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85.9pt;margin-top:96.1pt;height:0.55pt;width:255.2pt;mso-position-horizontal-relative:margin;z-index:251668480;mso-width-relative:page;mso-height-relative:page;" filled="f" stroked="t" coordsize="21600,21600" o:gfxdata="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8&#10;XkHF1gAAAAsBAAAPAAAAAAAAAAEAIAAAACIAAABkcnMvZG93bnJldi54bWxQSwECFAAUAAAACACH&#10;TuJAww1SYe0BAAC1AwAADgAAAAAAAAABACAAAAAl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i）其他。</w:t>
      </w:r>
    </w:p>
    <w:sectPr>
      <w:pgSz w:w="11907" w:h="16839"/>
      <w:pgMar w:top="1418" w:right="1134" w:bottom="1134" w:left="1418" w:header="1418" w:footer="851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Roboto">
    <w:altName w:val="Wide Latin"/>
    <w:panose1 w:val="02000000000000000000"/>
    <w:charset w:val="00"/>
    <w:family w:val="auto"/>
    <w:pitch w:val="default"/>
    <w:sig w:usb0="00000000" w:usb1="00000000" w:usb2="00000021" w:usb3="00000000" w:csb0="0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5DCDB">
    <w:pPr>
      <w:pStyle w:val="102"/>
      <w:rPr>
        <w:rStyle w:val="41"/>
      </w:rPr>
    </w:pPr>
    <w:r>
      <w:fldChar w:fldCharType="begin"/>
    </w:r>
    <w:r>
      <w:rPr>
        <w:rStyle w:val="41"/>
      </w:rPr>
      <w:instrText xml:space="preserve">PAGE  </w:instrText>
    </w:r>
    <w:r>
      <w:fldChar w:fldCharType="separate"/>
    </w:r>
    <w:r>
      <w:rPr>
        <w:rStyle w:val="41"/>
      </w:rPr>
      <w:t>III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8E31C">
    <w:pPr>
      <w:pStyle w:val="28"/>
      <w:framePr w:wrap="around" w:vAnchor="text" w:hAnchor="margin" w:xAlign="right" w:y="1"/>
      <w:rPr>
        <w:rStyle w:val="41"/>
      </w:rPr>
    </w:pPr>
    <w:r>
      <w:fldChar w:fldCharType="begin"/>
    </w:r>
    <w:r>
      <w:rPr>
        <w:rStyle w:val="41"/>
      </w:rPr>
      <w:instrText xml:space="preserve">PAGE  </w:instrText>
    </w:r>
    <w:r>
      <w:fldChar w:fldCharType="separate"/>
    </w:r>
    <w:r>
      <w:rPr>
        <w:rStyle w:val="41"/>
      </w:rPr>
      <w:t>III</w:t>
    </w:r>
    <w:r>
      <w:fldChar w:fldCharType="end"/>
    </w:r>
  </w:p>
  <w:p w14:paraId="6CCD4A36">
    <w:pPr>
      <w:pStyle w:val="2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E48A3">
    <w:pPr>
      <w:pStyle w:val="28"/>
      <w:framePr w:wrap="around" w:vAnchor="text" w:hAnchor="margin" w:xAlign="outside" w:y="1"/>
    </w:pPr>
    <w:r>
      <w:fldChar w:fldCharType="begin"/>
    </w:r>
    <w:r>
      <w:rPr>
        <w:rStyle w:val="41"/>
      </w:rPr>
      <w:instrText xml:space="preserve">PAGE  </w:instrText>
    </w:r>
    <w:r>
      <w:fldChar w:fldCharType="separate"/>
    </w:r>
    <w:r>
      <w:rPr>
        <w:rStyle w:val="41"/>
      </w:rPr>
      <w:t>3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D1119">
    <w:pPr>
      <w:pStyle w:val="28"/>
      <w:framePr w:wrap="around" w:vAnchor="text" w:hAnchor="margin" w:xAlign="outside" w:y="1"/>
      <w:rPr>
        <w:rStyle w:val="41"/>
      </w:rPr>
    </w:pPr>
    <w:r>
      <w:fldChar w:fldCharType="begin"/>
    </w:r>
    <w:r>
      <w:rPr>
        <w:rStyle w:val="41"/>
      </w:rPr>
      <w:instrText xml:space="preserve">PAGE  </w:instrText>
    </w:r>
    <w:r>
      <w:fldChar w:fldCharType="end"/>
    </w:r>
  </w:p>
  <w:p w14:paraId="19B5DE47">
    <w:pPr>
      <w:pStyle w:val="2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27C25">
    <w:pPr>
      <w:pStyle w:val="84"/>
    </w:pPr>
    <w:r>
      <w:rPr>
        <w:rFonts w:hint="eastAsia"/>
      </w:rPr>
      <w:t>YS</w:t>
    </w:r>
    <w:r>
      <w:t>/T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F175B">
    <w:pPr>
      <w:pStyle w:val="113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none"/>
      <w:pStyle w:val="100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 w:tentative="0">
      <w:start w:val="1"/>
      <w:numFmt w:val="none"/>
      <w:pStyle w:val="93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C"/>
    <w:multiLevelType w:val="multilevel"/>
    <w:tmpl w:val="0000000C"/>
    <w:lvl w:ilvl="0" w:tentative="0">
      <w:start w:val="1"/>
      <w:numFmt w:val="none"/>
      <w:pStyle w:val="65"/>
      <w:lvlText w:val="图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multilevel"/>
    <w:tmpl w:val="0000000D"/>
    <w:lvl w:ilvl="0" w:tentative="0">
      <w:start w:val="1"/>
      <w:numFmt w:val="none"/>
      <w:pStyle w:val="76"/>
      <w:lvlText w:val="%1●　"/>
      <w:lvlJc w:val="left"/>
      <w:pPr>
        <w:tabs>
          <w:tab w:val="left" w:pos="760"/>
        </w:tabs>
        <w:ind w:left="717" w:hanging="317"/>
      </w:pPr>
      <w:rPr>
        <w:rFonts w:hint="eastAsia" w:ascii="宋体" w:hAnsi="Times New Roman" w:eastAsia="宋体"/>
        <w:b w:val="0"/>
        <w:i w:val="0"/>
        <w:position w:val="4"/>
        <w:sz w:val="13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E"/>
    <w:multiLevelType w:val="multilevel"/>
    <w:tmpl w:val="0000000E"/>
    <w:lvl w:ilvl="0" w:tentative="0">
      <w:start w:val="1"/>
      <w:numFmt w:val="none"/>
      <w:pStyle w:val="79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77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7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6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88"/>
      <w:suff w:val="nothing"/>
      <w:lvlText w:val="%1.%2.%3.%4.%5.%6　"/>
      <w:lvlJc w:val="left"/>
      <w:pPr>
        <w:ind w:left="2411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7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0"/>
    <w:multiLevelType w:val="multilevel"/>
    <w:tmpl w:val="00000010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97"/>
      <w:suff w:val="nothing"/>
      <w:lvlText w:val="%1%2　"/>
      <w:lvlJc w:val="left"/>
      <w:pPr>
        <w:ind w:left="284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80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2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1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12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17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00000011"/>
    <w:multiLevelType w:val="multilevel"/>
    <w:tmpl w:val="00000011"/>
    <w:lvl w:ilvl="0" w:tentative="0">
      <w:start w:val="1"/>
      <w:numFmt w:val="decimal"/>
      <w:pStyle w:val="98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00000012"/>
    <w:multiLevelType w:val="multilevel"/>
    <w:tmpl w:val="00000012"/>
    <w:lvl w:ilvl="0" w:tentative="0">
      <w:start w:val="1"/>
      <w:numFmt w:val="none"/>
      <w:pStyle w:val="96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00000013"/>
    <w:multiLevelType w:val="multilevel"/>
    <w:tmpl w:val="00000013"/>
    <w:lvl w:ilvl="0" w:tentative="0">
      <w:start w:val="1"/>
      <w:numFmt w:val="decimal"/>
      <w:pStyle w:val="111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0">
    <w:nsid w:val="00000014"/>
    <w:multiLevelType w:val="multilevel"/>
    <w:tmpl w:val="00000014"/>
    <w:lvl w:ilvl="0" w:tentative="0">
      <w:start w:val="1"/>
      <w:numFmt w:val="none"/>
      <w:pStyle w:val="114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00000015"/>
    <w:multiLevelType w:val="multilevel"/>
    <w:tmpl w:val="00000015"/>
    <w:lvl w:ilvl="0" w:tentative="0">
      <w:start w:val="1"/>
      <w:numFmt w:val="none"/>
      <w:pStyle w:val="101"/>
      <w:lvlText w:val="%1◆　"/>
      <w:lvlJc w:val="left"/>
      <w:pPr>
        <w:tabs>
          <w:tab w:val="left" w:pos="960"/>
        </w:tabs>
        <w:ind w:left="917" w:hanging="317"/>
      </w:pPr>
      <w:rPr>
        <w:rFonts w:hint="eastAsia" w:ascii="宋体" w:hAnsi="Times New Roman" w:eastAsia="宋体"/>
        <w:b w:val="0"/>
        <w:i w:val="0"/>
        <w:position w:val="4"/>
        <w:sz w:val="1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62956629"/>
    <w:multiLevelType w:val="multilevel"/>
    <w:tmpl w:val="6295662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  <w:num w:numId="13">
    <w:abstractNumId w:val="12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韩知为">
    <w15:presenceInfo w15:providerId="WPS Office" w15:userId="10756515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trackRevisions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wZTk3MjE0NDE1YTFjYzI3NDVmNTdiMmYxMjhkZGMifQ=="/>
  </w:docVars>
  <w:rsids>
    <w:rsidRoot w:val="00172A27"/>
    <w:rsid w:val="0000004D"/>
    <w:rsid w:val="00000473"/>
    <w:rsid w:val="00001A85"/>
    <w:rsid w:val="000024D7"/>
    <w:rsid w:val="00011D96"/>
    <w:rsid w:val="00015D16"/>
    <w:rsid w:val="00017889"/>
    <w:rsid w:val="00017A4A"/>
    <w:rsid w:val="00017D78"/>
    <w:rsid w:val="00023807"/>
    <w:rsid w:val="00024EB6"/>
    <w:rsid w:val="0002556C"/>
    <w:rsid w:val="0003085A"/>
    <w:rsid w:val="000320EE"/>
    <w:rsid w:val="0003266B"/>
    <w:rsid w:val="00032809"/>
    <w:rsid w:val="0003482A"/>
    <w:rsid w:val="000416AD"/>
    <w:rsid w:val="00050242"/>
    <w:rsid w:val="000509B4"/>
    <w:rsid w:val="0005196E"/>
    <w:rsid w:val="00052888"/>
    <w:rsid w:val="0005518F"/>
    <w:rsid w:val="00055C68"/>
    <w:rsid w:val="00056FE4"/>
    <w:rsid w:val="0005787A"/>
    <w:rsid w:val="00063F61"/>
    <w:rsid w:val="000725D7"/>
    <w:rsid w:val="000740E8"/>
    <w:rsid w:val="00082B0A"/>
    <w:rsid w:val="00082E7F"/>
    <w:rsid w:val="000867A8"/>
    <w:rsid w:val="0009172B"/>
    <w:rsid w:val="000917F8"/>
    <w:rsid w:val="000922C5"/>
    <w:rsid w:val="0009543A"/>
    <w:rsid w:val="00095C68"/>
    <w:rsid w:val="000A1987"/>
    <w:rsid w:val="000A6DD5"/>
    <w:rsid w:val="000B6469"/>
    <w:rsid w:val="000C1F62"/>
    <w:rsid w:val="000C723F"/>
    <w:rsid w:val="000D10B2"/>
    <w:rsid w:val="000D2C85"/>
    <w:rsid w:val="000E1ADD"/>
    <w:rsid w:val="000E2FB3"/>
    <w:rsid w:val="000E3EA2"/>
    <w:rsid w:val="000E6F7B"/>
    <w:rsid w:val="000F1459"/>
    <w:rsid w:val="000F2D9C"/>
    <w:rsid w:val="0010194C"/>
    <w:rsid w:val="00103E51"/>
    <w:rsid w:val="00110088"/>
    <w:rsid w:val="00112395"/>
    <w:rsid w:val="00113433"/>
    <w:rsid w:val="001251AA"/>
    <w:rsid w:val="0013466C"/>
    <w:rsid w:val="001401FB"/>
    <w:rsid w:val="0014292C"/>
    <w:rsid w:val="0014389A"/>
    <w:rsid w:val="00144F3C"/>
    <w:rsid w:val="0016129F"/>
    <w:rsid w:val="00162696"/>
    <w:rsid w:val="00166CDC"/>
    <w:rsid w:val="001703B2"/>
    <w:rsid w:val="0017109C"/>
    <w:rsid w:val="00171DCF"/>
    <w:rsid w:val="00172A27"/>
    <w:rsid w:val="00173E87"/>
    <w:rsid w:val="001816BE"/>
    <w:rsid w:val="00185A5C"/>
    <w:rsid w:val="001941D4"/>
    <w:rsid w:val="00196710"/>
    <w:rsid w:val="001A402D"/>
    <w:rsid w:val="001B2DD3"/>
    <w:rsid w:val="001C3DF7"/>
    <w:rsid w:val="001C6AED"/>
    <w:rsid w:val="001D1F0D"/>
    <w:rsid w:val="001D799B"/>
    <w:rsid w:val="001E59EE"/>
    <w:rsid w:val="001F6634"/>
    <w:rsid w:val="00202B46"/>
    <w:rsid w:val="00203964"/>
    <w:rsid w:val="00204CF4"/>
    <w:rsid w:val="002100D7"/>
    <w:rsid w:val="002221DD"/>
    <w:rsid w:val="00224E7C"/>
    <w:rsid w:val="00231BC5"/>
    <w:rsid w:val="00242CC4"/>
    <w:rsid w:val="00244178"/>
    <w:rsid w:val="0024685C"/>
    <w:rsid w:val="00252374"/>
    <w:rsid w:val="00262AC4"/>
    <w:rsid w:val="00264737"/>
    <w:rsid w:val="002659FE"/>
    <w:rsid w:val="00266874"/>
    <w:rsid w:val="00267FF7"/>
    <w:rsid w:val="0027065E"/>
    <w:rsid w:val="0027628E"/>
    <w:rsid w:val="002767E2"/>
    <w:rsid w:val="00290BC6"/>
    <w:rsid w:val="00292E56"/>
    <w:rsid w:val="002942FD"/>
    <w:rsid w:val="00294E72"/>
    <w:rsid w:val="00297BD5"/>
    <w:rsid w:val="002A33AD"/>
    <w:rsid w:val="002A792C"/>
    <w:rsid w:val="002B080C"/>
    <w:rsid w:val="002B40AB"/>
    <w:rsid w:val="002C6400"/>
    <w:rsid w:val="002C7514"/>
    <w:rsid w:val="002C751E"/>
    <w:rsid w:val="002D0630"/>
    <w:rsid w:val="002D52E6"/>
    <w:rsid w:val="002E0B66"/>
    <w:rsid w:val="002E1EC7"/>
    <w:rsid w:val="002E51AA"/>
    <w:rsid w:val="003025F8"/>
    <w:rsid w:val="00306B41"/>
    <w:rsid w:val="003102C9"/>
    <w:rsid w:val="00313DBF"/>
    <w:rsid w:val="003212AE"/>
    <w:rsid w:val="00321A7F"/>
    <w:rsid w:val="00323B02"/>
    <w:rsid w:val="00324680"/>
    <w:rsid w:val="00324863"/>
    <w:rsid w:val="00330CA4"/>
    <w:rsid w:val="00331B10"/>
    <w:rsid w:val="003332ED"/>
    <w:rsid w:val="00335AD8"/>
    <w:rsid w:val="0034199D"/>
    <w:rsid w:val="003454C1"/>
    <w:rsid w:val="00352AA8"/>
    <w:rsid w:val="00353584"/>
    <w:rsid w:val="00355087"/>
    <w:rsid w:val="0036129A"/>
    <w:rsid w:val="00364ABC"/>
    <w:rsid w:val="003657F8"/>
    <w:rsid w:val="00367B07"/>
    <w:rsid w:val="003722A8"/>
    <w:rsid w:val="003808FC"/>
    <w:rsid w:val="003849E5"/>
    <w:rsid w:val="003908F7"/>
    <w:rsid w:val="003977DD"/>
    <w:rsid w:val="00397DDC"/>
    <w:rsid w:val="003A2976"/>
    <w:rsid w:val="003A4BD6"/>
    <w:rsid w:val="003C1823"/>
    <w:rsid w:val="003C2958"/>
    <w:rsid w:val="003C3AF5"/>
    <w:rsid w:val="003C4482"/>
    <w:rsid w:val="003C6017"/>
    <w:rsid w:val="003C65E8"/>
    <w:rsid w:val="003C710E"/>
    <w:rsid w:val="003D1D98"/>
    <w:rsid w:val="003D30AD"/>
    <w:rsid w:val="003D4F75"/>
    <w:rsid w:val="003D6491"/>
    <w:rsid w:val="003E2FE8"/>
    <w:rsid w:val="003E606B"/>
    <w:rsid w:val="003E63DC"/>
    <w:rsid w:val="003F13B1"/>
    <w:rsid w:val="003F36DB"/>
    <w:rsid w:val="003F4B5E"/>
    <w:rsid w:val="003F73A9"/>
    <w:rsid w:val="003F75DC"/>
    <w:rsid w:val="003F7C9A"/>
    <w:rsid w:val="00401581"/>
    <w:rsid w:val="00413C5C"/>
    <w:rsid w:val="0041443F"/>
    <w:rsid w:val="00417E47"/>
    <w:rsid w:val="00421629"/>
    <w:rsid w:val="00424415"/>
    <w:rsid w:val="00424DFF"/>
    <w:rsid w:val="00425617"/>
    <w:rsid w:val="00430357"/>
    <w:rsid w:val="004412E5"/>
    <w:rsid w:val="00445747"/>
    <w:rsid w:val="00447F12"/>
    <w:rsid w:val="00450A61"/>
    <w:rsid w:val="004555D0"/>
    <w:rsid w:val="004559F6"/>
    <w:rsid w:val="00456FC3"/>
    <w:rsid w:val="00460F39"/>
    <w:rsid w:val="0046527D"/>
    <w:rsid w:val="004658A4"/>
    <w:rsid w:val="00471D99"/>
    <w:rsid w:val="004737B2"/>
    <w:rsid w:val="0047483A"/>
    <w:rsid w:val="00476E08"/>
    <w:rsid w:val="004774CF"/>
    <w:rsid w:val="004840A5"/>
    <w:rsid w:val="004840FC"/>
    <w:rsid w:val="00486D64"/>
    <w:rsid w:val="00490017"/>
    <w:rsid w:val="00490590"/>
    <w:rsid w:val="00492714"/>
    <w:rsid w:val="004A49C1"/>
    <w:rsid w:val="004A78DA"/>
    <w:rsid w:val="004B0B14"/>
    <w:rsid w:val="004B6ED2"/>
    <w:rsid w:val="004C2DDF"/>
    <w:rsid w:val="004C3280"/>
    <w:rsid w:val="004C511B"/>
    <w:rsid w:val="004C59F5"/>
    <w:rsid w:val="004D1E00"/>
    <w:rsid w:val="004E30BF"/>
    <w:rsid w:val="004E3F63"/>
    <w:rsid w:val="004E40BE"/>
    <w:rsid w:val="004E4138"/>
    <w:rsid w:val="004E654D"/>
    <w:rsid w:val="004E74E0"/>
    <w:rsid w:val="004F56EE"/>
    <w:rsid w:val="005027D9"/>
    <w:rsid w:val="00507F78"/>
    <w:rsid w:val="00512E44"/>
    <w:rsid w:val="005221E4"/>
    <w:rsid w:val="005259F5"/>
    <w:rsid w:val="00531CD6"/>
    <w:rsid w:val="00532886"/>
    <w:rsid w:val="00532AE2"/>
    <w:rsid w:val="005340EA"/>
    <w:rsid w:val="00555EAD"/>
    <w:rsid w:val="005640C8"/>
    <w:rsid w:val="00564ECE"/>
    <w:rsid w:val="00565AF8"/>
    <w:rsid w:val="005724B0"/>
    <w:rsid w:val="00574B8E"/>
    <w:rsid w:val="005769A7"/>
    <w:rsid w:val="00582033"/>
    <w:rsid w:val="00585468"/>
    <w:rsid w:val="005906F1"/>
    <w:rsid w:val="005937FA"/>
    <w:rsid w:val="00594594"/>
    <w:rsid w:val="005A2378"/>
    <w:rsid w:val="005B6F7D"/>
    <w:rsid w:val="005B7FB6"/>
    <w:rsid w:val="005C3826"/>
    <w:rsid w:val="005C4423"/>
    <w:rsid w:val="005C69E3"/>
    <w:rsid w:val="005D1F17"/>
    <w:rsid w:val="005D6705"/>
    <w:rsid w:val="005E72AD"/>
    <w:rsid w:val="005F1817"/>
    <w:rsid w:val="005F21BF"/>
    <w:rsid w:val="005F4774"/>
    <w:rsid w:val="006000C5"/>
    <w:rsid w:val="006156F5"/>
    <w:rsid w:val="00617FB3"/>
    <w:rsid w:val="00620C9E"/>
    <w:rsid w:val="00620D5E"/>
    <w:rsid w:val="006237D3"/>
    <w:rsid w:val="00627B05"/>
    <w:rsid w:val="00634333"/>
    <w:rsid w:val="00636FAC"/>
    <w:rsid w:val="00646AA6"/>
    <w:rsid w:val="00647632"/>
    <w:rsid w:val="006528F3"/>
    <w:rsid w:val="006552EA"/>
    <w:rsid w:val="006559F8"/>
    <w:rsid w:val="006569D3"/>
    <w:rsid w:val="006613D7"/>
    <w:rsid w:val="00662E68"/>
    <w:rsid w:val="0066430D"/>
    <w:rsid w:val="00664EBC"/>
    <w:rsid w:val="00675707"/>
    <w:rsid w:val="00686DEE"/>
    <w:rsid w:val="0069342B"/>
    <w:rsid w:val="00696ECC"/>
    <w:rsid w:val="006B1CC3"/>
    <w:rsid w:val="006B3C42"/>
    <w:rsid w:val="006B4529"/>
    <w:rsid w:val="006B49F4"/>
    <w:rsid w:val="006B4EAA"/>
    <w:rsid w:val="006B61FF"/>
    <w:rsid w:val="006B62A0"/>
    <w:rsid w:val="006C08C5"/>
    <w:rsid w:val="006C1273"/>
    <w:rsid w:val="006C2AEB"/>
    <w:rsid w:val="006D07E0"/>
    <w:rsid w:val="006D492F"/>
    <w:rsid w:val="006E0F46"/>
    <w:rsid w:val="006E575A"/>
    <w:rsid w:val="006F1460"/>
    <w:rsid w:val="006F7CB0"/>
    <w:rsid w:val="007158C9"/>
    <w:rsid w:val="007160E8"/>
    <w:rsid w:val="00716A12"/>
    <w:rsid w:val="0071732C"/>
    <w:rsid w:val="007173E7"/>
    <w:rsid w:val="007177A6"/>
    <w:rsid w:val="00722304"/>
    <w:rsid w:val="007240EC"/>
    <w:rsid w:val="007244F9"/>
    <w:rsid w:val="0072668E"/>
    <w:rsid w:val="0072716C"/>
    <w:rsid w:val="007422A4"/>
    <w:rsid w:val="0074686C"/>
    <w:rsid w:val="00746D89"/>
    <w:rsid w:val="007565F5"/>
    <w:rsid w:val="007568BA"/>
    <w:rsid w:val="007613E9"/>
    <w:rsid w:val="00761E4E"/>
    <w:rsid w:val="00776EF9"/>
    <w:rsid w:val="00782113"/>
    <w:rsid w:val="00795D3D"/>
    <w:rsid w:val="007A1059"/>
    <w:rsid w:val="007A1924"/>
    <w:rsid w:val="007A1EC1"/>
    <w:rsid w:val="007A47FE"/>
    <w:rsid w:val="007B2118"/>
    <w:rsid w:val="007B466B"/>
    <w:rsid w:val="007B46BF"/>
    <w:rsid w:val="007B6E9A"/>
    <w:rsid w:val="007C0B38"/>
    <w:rsid w:val="007C0BB3"/>
    <w:rsid w:val="007C3BAA"/>
    <w:rsid w:val="007E3BA0"/>
    <w:rsid w:val="007F2462"/>
    <w:rsid w:val="007F371A"/>
    <w:rsid w:val="007F490C"/>
    <w:rsid w:val="007F57E5"/>
    <w:rsid w:val="007F6456"/>
    <w:rsid w:val="00807C99"/>
    <w:rsid w:val="0083347C"/>
    <w:rsid w:val="00845AC1"/>
    <w:rsid w:val="00847A99"/>
    <w:rsid w:val="00847CDB"/>
    <w:rsid w:val="008507BE"/>
    <w:rsid w:val="0086009F"/>
    <w:rsid w:val="00861ED1"/>
    <w:rsid w:val="00874187"/>
    <w:rsid w:val="008767EB"/>
    <w:rsid w:val="00877CFB"/>
    <w:rsid w:val="00886DD5"/>
    <w:rsid w:val="008935FA"/>
    <w:rsid w:val="008A167C"/>
    <w:rsid w:val="008B0CB4"/>
    <w:rsid w:val="008B44C8"/>
    <w:rsid w:val="008C1280"/>
    <w:rsid w:val="008C1D5A"/>
    <w:rsid w:val="008C1E76"/>
    <w:rsid w:val="008E3948"/>
    <w:rsid w:val="008E3FF4"/>
    <w:rsid w:val="008E4524"/>
    <w:rsid w:val="008E4E77"/>
    <w:rsid w:val="008F7668"/>
    <w:rsid w:val="00903DB2"/>
    <w:rsid w:val="009046CB"/>
    <w:rsid w:val="009108FE"/>
    <w:rsid w:val="0091399A"/>
    <w:rsid w:val="00920D43"/>
    <w:rsid w:val="009314BB"/>
    <w:rsid w:val="00934913"/>
    <w:rsid w:val="009355D5"/>
    <w:rsid w:val="009365D0"/>
    <w:rsid w:val="00937438"/>
    <w:rsid w:val="00937D36"/>
    <w:rsid w:val="00940BE9"/>
    <w:rsid w:val="00944E2B"/>
    <w:rsid w:val="00944EF9"/>
    <w:rsid w:val="00945943"/>
    <w:rsid w:val="009579A6"/>
    <w:rsid w:val="0096578C"/>
    <w:rsid w:val="00977E9A"/>
    <w:rsid w:val="00985B0C"/>
    <w:rsid w:val="009867A6"/>
    <w:rsid w:val="00991C72"/>
    <w:rsid w:val="009964CC"/>
    <w:rsid w:val="009A2394"/>
    <w:rsid w:val="009A6B8D"/>
    <w:rsid w:val="009A6E48"/>
    <w:rsid w:val="009B1321"/>
    <w:rsid w:val="009B5D91"/>
    <w:rsid w:val="009B6ED0"/>
    <w:rsid w:val="009C40CF"/>
    <w:rsid w:val="009D04A1"/>
    <w:rsid w:val="009D54E7"/>
    <w:rsid w:val="009E01A9"/>
    <w:rsid w:val="009E267C"/>
    <w:rsid w:val="009E3FDD"/>
    <w:rsid w:val="009E4281"/>
    <w:rsid w:val="009E5348"/>
    <w:rsid w:val="009E6C2E"/>
    <w:rsid w:val="009F776D"/>
    <w:rsid w:val="00A0032E"/>
    <w:rsid w:val="00A04997"/>
    <w:rsid w:val="00A05C18"/>
    <w:rsid w:val="00A06C4D"/>
    <w:rsid w:val="00A12A58"/>
    <w:rsid w:val="00A2171A"/>
    <w:rsid w:val="00A41C37"/>
    <w:rsid w:val="00A42C9C"/>
    <w:rsid w:val="00A443EE"/>
    <w:rsid w:val="00A445C0"/>
    <w:rsid w:val="00A50162"/>
    <w:rsid w:val="00A54C56"/>
    <w:rsid w:val="00A5510B"/>
    <w:rsid w:val="00A5638C"/>
    <w:rsid w:val="00A609EA"/>
    <w:rsid w:val="00A66CEE"/>
    <w:rsid w:val="00A66F92"/>
    <w:rsid w:val="00A86431"/>
    <w:rsid w:val="00A8766A"/>
    <w:rsid w:val="00A90E6D"/>
    <w:rsid w:val="00A96C5E"/>
    <w:rsid w:val="00AA4B3F"/>
    <w:rsid w:val="00AB0A55"/>
    <w:rsid w:val="00AB1B76"/>
    <w:rsid w:val="00AB382E"/>
    <w:rsid w:val="00AB6B1C"/>
    <w:rsid w:val="00AB7E8C"/>
    <w:rsid w:val="00AC331E"/>
    <w:rsid w:val="00AC53B0"/>
    <w:rsid w:val="00AC5B1B"/>
    <w:rsid w:val="00AD114B"/>
    <w:rsid w:val="00AD2BF7"/>
    <w:rsid w:val="00AD57DC"/>
    <w:rsid w:val="00AE0FEA"/>
    <w:rsid w:val="00AE189B"/>
    <w:rsid w:val="00AE38D7"/>
    <w:rsid w:val="00AE63FC"/>
    <w:rsid w:val="00AE6A99"/>
    <w:rsid w:val="00AF0F2F"/>
    <w:rsid w:val="00AF30D8"/>
    <w:rsid w:val="00AF3BDE"/>
    <w:rsid w:val="00AF6FBF"/>
    <w:rsid w:val="00AF7CF6"/>
    <w:rsid w:val="00B036EE"/>
    <w:rsid w:val="00B04104"/>
    <w:rsid w:val="00B10CB8"/>
    <w:rsid w:val="00B13112"/>
    <w:rsid w:val="00B142C2"/>
    <w:rsid w:val="00B14AAD"/>
    <w:rsid w:val="00B174A7"/>
    <w:rsid w:val="00B24FEE"/>
    <w:rsid w:val="00B43AC7"/>
    <w:rsid w:val="00B45E00"/>
    <w:rsid w:val="00B4685D"/>
    <w:rsid w:val="00B54D5A"/>
    <w:rsid w:val="00B71CC8"/>
    <w:rsid w:val="00B731C7"/>
    <w:rsid w:val="00B746A2"/>
    <w:rsid w:val="00B8393F"/>
    <w:rsid w:val="00B84F17"/>
    <w:rsid w:val="00B913FA"/>
    <w:rsid w:val="00B9270D"/>
    <w:rsid w:val="00B97C42"/>
    <w:rsid w:val="00BA0657"/>
    <w:rsid w:val="00BA247A"/>
    <w:rsid w:val="00BB7A97"/>
    <w:rsid w:val="00BC101D"/>
    <w:rsid w:val="00BD2623"/>
    <w:rsid w:val="00BD30F4"/>
    <w:rsid w:val="00BE1294"/>
    <w:rsid w:val="00BE3E0E"/>
    <w:rsid w:val="00BF08EA"/>
    <w:rsid w:val="00BF1222"/>
    <w:rsid w:val="00BF292D"/>
    <w:rsid w:val="00BF3B52"/>
    <w:rsid w:val="00BF46B4"/>
    <w:rsid w:val="00C02E6D"/>
    <w:rsid w:val="00C03AF7"/>
    <w:rsid w:val="00C06AD9"/>
    <w:rsid w:val="00C116E4"/>
    <w:rsid w:val="00C14CF7"/>
    <w:rsid w:val="00C20F04"/>
    <w:rsid w:val="00C2261E"/>
    <w:rsid w:val="00C2755A"/>
    <w:rsid w:val="00C278FF"/>
    <w:rsid w:val="00C34559"/>
    <w:rsid w:val="00C402D1"/>
    <w:rsid w:val="00C42C6D"/>
    <w:rsid w:val="00C43CBD"/>
    <w:rsid w:val="00C4604B"/>
    <w:rsid w:val="00C51129"/>
    <w:rsid w:val="00C513F8"/>
    <w:rsid w:val="00C53C5A"/>
    <w:rsid w:val="00C57690"/>
    <w:rsid w:val="00C6094E"/>
    <w:rsid w:val="00C60F94"/>
    <w:rsid w:val="00C6283D"/>
    <w:rsid w:val="00C74C8F"/>
    <w:rsid w:val="00C875B1"/>
    <w:rsid w:val="00C90441"/>
    <w:rsid w:val="00CB1594"/>
    <w:rsid w:val="00CB6EBD"/>
    <w:rsid w:val="00CC253A"/>
    <w:rsid w:val="00CC3F4D"/>
    <w:rsid w:val="00CC4486"/>
    <w:rsid w:val="00CC4C41"/>
    <w:rsid w:val="00CD06FB"/>
    <w:rsid w:val="00CD1622"/>
    <w:rsid w:val="00CD1FFB"/>
    <w:rsid w:val="00CD7CED"/>
    <w:rsid w:val="00CE2B58"/>
    <w:rsid w:val="00CE33E5"/>
    <w:rsid w:val="00CE38AE"/>
    <w:rsid w:val="00CE71D5"/>
    <w:rsid w:val="00CE78CB"/>
    <w:rsid w:val="00D01C56"/>
    <w:rsid w:val="00D15E98"/>
    <w:rsid w:val="00D17076"/>
    <w:rsid w:val="00D21290"/>
    <w:rsid w:val="00D21C30"/>
    <w:rsid w:val="00D35478"/>
    <w:rsid w:val="00D35E45"/>
    <w:rsid w:val="00D41BAE"/>
    <w:rsid w:val="00D51F09"/>
    <w:rsid w:val="00D520E0"/>
    <w:rsid w:val="00D547ED"/>
    <w:rsid w:val="00D54BF3"/>
    <w:rsid w:val="00D55E99"/>
    <w:rsid w:val="00D76036"/>
    <w:rsid w:val="00D8498B"/>
    <w:rsid w:val="00DA0D16"/>
    <w:rsid w:val="00DA10DF"/>
    <w:rsid w:val="00DA4F38"/>
    <w:rsid w:val="00DB1732"/>
    <w:rsid w:val="00DB3259"/>
    <w:rsid w:val="00DC100E"/>
    <w:rsid w:val="00DC3428"/>
    <w:rsid w:val="00DD17A2"/>
    <w:rsid w:val="00DD2C31"/>
    <w:rsid w:val="00DE02E7"/>
    <w:rsid w:val="00DE2341"/>
    <w:rsid w:val="00DE2DA7"/>
    <w:rsid w:val="00DF0B87"/>
    <w:rsid w:val="00DF5377"/>
    <w:rsid w:val="00E030DB"/>
    <w:rsid w:val="00E12E86"/>
    <w:rsid w:val="00E23E48"/>
    <w:rsid w:val="00E30EA5"/>
    <w:rsid w:val="00E37863"/>
    <w:rsid w:val="00E44D6A"/>
    <w:rsid w:val="00E45B18"/>
    <w:rsid w:val="00E4652E"/>
    <w:rsid w:val="00E47B89"/>
    <w:rsid w:val="00E5002F"/>
    <w:rsid w:val="00E5340C"/>
    <w:rsid w:val="00E60B64"/>
    <w:rsid w:val="00E64677"/>
    <w:rsid w:val="00E66A98"/>
    <w:rsid w:val="00E70847"/>
    <w:rsid w:val="00E71A1D"/>
    <w:rsid w:val="00E8557A"/>
    <w:rsid w:val="00E95613"/>
    <w:rsid w:val="00EA309A"/>
    <w:rsid w:val="00EA567C"/>
    <w:rsid w:val="00EA5877"/>
    <w:rsid w:val="00EA6675"/>
    <w:rsid w:val="00EA7D2A"/>
    <w:rsid w:val="00EB7CB4"/>
    <w:rsid w:val="00EC12C5"/>
    <w:rsid w:val="00EC525E"/>
    <w:rsid w:val="00EC56F5"/>
    <w:rsid w:val="00ED014E"/>
    <w:rsid w:val="00ED1089"/>
    <w:rsid w:val="00ED2641"/>
    <w:rsid w:val="00ED4368"/>
    <w:rsid w:val="00ED6001"/>
    <w:rsid w:val="00EE1156"/>
    <w:rsid w:val="00EE35A7"/>
    <w:rsid w:val="00EE51B8"/>
    <w:rsid w:val="00EF1C5F"/>
    <w:rsid w:val="00EF72F3"/>
    <w:rsid w:val="00F006BD"/>
    <w:rsid w:val="00F00F2A"/>
    <w:rsid w:val="00F035E8"/>
    <w:rsid w:val="00F0392C"/>
    <w:rsid w:val="00F26928"/>
    <w:rsid w:val="00F30523"/>
    <w:rsid w:val="00F33059"/>
    <w:rsid w:val="00F33295"/>
    <w:rsid w:val="00F336EC"/>
    <w:rsid w:val="00F4204D"/>
    <w:rsid w:val="00F46AF0"/>
    <w:rsid w:val="00F52FCF"/>
    <w:rsid w:val="00F53AA4"/>
    <w:rsid w:val="00F57FA0"/>
    <w:rsid w:val="00F66B83"/>
    <w:rsid w:val="00F71899"/>
    <w:rsid w:val="00F71DCB"/>
    <w:rsid w:val="00F731AA"/>
    <w:rsid w:val="00F76E1E"/>
    <w:rsid w:val="00F93C8B"/>
    <w:rsid w:val="00FA066F"/>
    <w:rsid w:val="00FA2487"/>
    <w:rsid w:val="00FA48D6"/>
    <w:rsid w:val="00FB0459"/>
    <w:rsid w:val="00FB269F"/>
    <w:rsid w:val="00FC27D1"/>
    <w:rsid w:val="00FC39C6"/>
    <w:rsid w:val="00FC6F1B"/>
    <w:rsid w:val="00FD1F4A"/>
    <w:rsid w:val="00FE1093"/>
    <w:rsid w:val="00FE26A3"/>
    <w:rsid w:val="00FE4DAF"/>
    <w:rsid w:val="00FE4F53"/>
    <w:rsid w:val="00FE6A4D"/>
    <w:rsid w:val="00FF1CBD"/>
    <w:rsid w:val="00FF2324"/>
    <w:rsid w:val="00FF4354"/>
    <w:rsid w:val="00FF6317"/>
    <w:rsid w:val="00FF7523"/>
    <w:rsid w:val="00FF7649"/>
    <w:rsid w:val="07D26D6C"/>
    <w:rsid w:val="0E2A2944"/>
    <w:rsid w:val="0FF7140F"/>
    <w:rsid w:val="139E2856"/>
    <w:rsid w:val="17DF34BB"/>
    <w:rsid w:val="23F7618A"/>
    <w:rsid w:val="26BF4173"/>
    <w:rsid w:val="333D4FDA"/>
    <w:rsid w:val="33D12052"/>
    <w:rsid w:val="344B3E9F"/>
    <w:rsid w:val="36C77B32"/>
    <w:rsid w:val="377C576F"/>
    <w:rsid w:val="3A876798"/>
    <w:rsid w:val="3D63704F"/>
    <w:rsid w:val="3EDD14A3"/>
    <w:rsid w:val="3F407866"/>
    <w:rsid w:val="42E275C2"/>
    <w:rsid w:val="437321E2"/>
    <w:rsid w:val="482254E2"/>
    <w:rsid w:val="4B5F3389"/>
    <w:rsid w:val="4D1971F8"/>
    <w:rsid w:val="54071A30"/>
    <w:rsid w:val="585013E3"/>
    <w:rsid w:val="62106F98"/>
    <w:rsid w:val="634427DD"/>
    <w:rsid w:val="6374385C"/>
    <w:rsid w:val="65374534"/>
    <w:rsid w:val="741C3DF3"/>
    <w:rsid w:val="767754D6"/>
    <w:rsid w:val="789D6988"/>
    <w:rsid w:val="7B5B702E"/>
    <w:rsid w:val="7C10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2"/>
    <w:next w:val="7"/>
    <w:link w:val="54"/>
    <w:autoRedefine/>
    <w:qFormat/>
    <w:uiPriority w:val="0"/>
    <w:pPr>
      <w:spacing w:before="260" w:after="260" w:line="416" w:lineRule="auto"/>
      <w:outlineLvl w:val="2"/>
    </w:pPr>
    <w:rPr>
      <w:sz w:val="32"/>
      <w:szCs w:val="32"/>
    </w:rPr>
  </w:style>
  <w:style w:type="paragraph" w:styleId="8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9">
    <w:name w:val="heading 5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10">
    <w:name w:val="heading 6"/>
    <w:basedOn w:val="1"/>
    <w:next w:val="1"/>
    <w:autoRedefine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11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2">
    <w:name w:val="heading 8"/>
    <w:basedOn w:val="1"/>
    <w:next w:val="1"/>
    <w:autoRedefine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9">
    <w:name w:val="Default Paragraph Font"/>
    <w:semiHidden/>
    <w:unhideWhenUsed/>
    <w:qFormat/>
    <w:uiPriority w:val="1"/>
  </w:style>
  <w:style w:type="table" w:default="1" w:styleId="3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link w:val="61"/>
    <w:autoRedefine/>
    <w:qFormat/>
    <w:uiPriority w:val="0"/>
    <w:pPr>
      <w:tabs>
        <w:tab w:val="left" w:pos="2400"/>
      </w:tabs>
      <w:adjustRightInd w:val="0"/>
      <w:spacing w:before="156" w:beforeLines="50" w:after="0"/>
      <w:ind w:firstLine="420" w:firstLineChars="200"/>
      <w:textAlignment w:val="baseline"/>
    </w:pPr>
    <w:rPr>
      <w:kern w:val="0"/>
      <w:szCs w:val="21"/>
    </w:rPr>
  </w:style>
  <w:style w:type="paragraph" w:styleId="4">
    <w:name w:val="Body Text"/>
    <w:basedOn w:val="1"/>
    <w:link w:val="56"/>
    <w:qFormat/>
    <w:uiPriority w:val="0"/>
    <w:pPr>
      <w:spacing w:after="120"/>
    </w:pPr>
  </w:style>
  <w:style w:type="paragraph" w:styleId="7">
    <w:name w:val="Normal Indent"/>
    <w:basedOn w:val="1"/>
    <w:autoRedefine/>
    <w:qFormat/>
    <w:uiPriority w:val="0"/>
    <w:pPr>
      <w:contextualSpacing/>
      <w:jc w:val="center"/>
    </w:pPr>
  </w:style>
  <w:style w:type="paragraph" w:styleId="14">
    <w:name w:val="toc 7"/>
    <w:basedOn w:val="15"/>
    <w:next w:val="1"/>
    <w:qFormat/>
    <w:uiPriority w:val="0"/>
  </w:style>
  <w:style w:type="paragraph" w:styleId="15">
    <w:name w:val="toc 6"/>
    <w:basedOn w:val="16"/>
    <w:next w:val="1"/>
    <w:qFormat/>
    <w:uiPriority w:val="0"/>
  </w:style>
  <w:style w:type="paragraph" w:styleId="16">
    <w:name w:val="toc 5"/>
    <w:basedOn w:val="17"/>
    <w:next w:val="1"/>
    <w:qFormat/>
    <w:uiPriority w:val="0"/>
  </w:style>
  <w:style w:type="paragraph" w:styleId="17">
    <w:name w:val="toc 4"/>
    <w:basedOn w:val="18"/>
    <w:next w:val="1"/>
    <w:qFormat/>
    <w:uiPriority w:val="0"/>
  </w:style>
  <w:style w:type="paragraph" w:styleId="18">
    <w:name w:val="toc 3"/>
    <w:basedOn w:val="19"/>
    <w:next w:val="1"/>
    <w:qFormat/>
    <w:uiPriority w:val="0"/>
  </w:style>
  <w:style w:type="paragraph" w:styleId="19">
    <w:name w:val="toc 2"/>
    <w:basedOn w:val="20"/>
    <w:next w:val="1"/>
    <w:qFormat/>
    <w:uiPriority w:val="0"/>
  </w:style>
  <w:style w:type="paragraph" w:styleId="20">
    <w:name w:val="toc 1"/>
    <w:next w:val="1"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1">
    <w:name w:val="annotation text"/>
    <w:basedOn w:val="1"/>
    <w:link w:val="55"/>
    <w:qFormat/>
    <w:uiPriority w:val="0"/>
    <w:pPr>
      <w:jc w:val="left"/>
    </w:pPr>
  </w:style>
  <w:style w:type="paragraph" w:styleId="22">
    <w:name w:val="Body Text Indent"/>
    <w:basedOn w:val="1"/>
    <w:link w:val="57"/>
    <w:qFormat/>
    <w:uiPriority w:val="0"/>
    <w:pPr>
      <w:ind w:firstLine="420" w:firstLineChars="200"/>
    </w:pPr>
  </w:style>
  <w:style w:type="paragraph" w:styleId="23">
    <w:name w:val="HTML Address"/>
    <w:basedOn w:val="1"/>
    <w:qFormat/>
    <w:uiPriority w:val="0"/>
    <w:rPr>
      <w:i/>
      <w:iCs/>
    </w:rPr>
  </w:style>
  <w:style w:type="paragraph" w:styleId="24">
    <w:name w:val="Plain Text"/>
    <w:basedOn w:val="1"/>
    <w:link w:val="130"/>
    <w:unhideWhenUsed/>
    <w:qFormat/>
    <w:uiPriority w:val="99"/>
    <w:rPr>
      <w:rFonts w:ascii="宋体" w:hAnsi="Courier New" w:cs="Courier New"/>
      <w:szCs w:val="21"/>
    </w:rPr>
  </w:style>
  <w:style w:type="paragraph" w:styleId="25">
    <w:name w:val="toc 8"/>
    <w:basedOn w:val="14"/>
    <w:next w:val="1"/>
    <w:qFormat/>
    <w:uiPriority w:val="0"/>
  </w:style>
  <w:style w:type="paragraph" w:styleId="26">
    <w:name w:val="Date"/>
    <w:basedOn w:val="1"/>
    <w:next w:val="1"/>
    <w:qFormat/>
    <w:uiPriority w:val="0"/>
    <w:pPr>
      <w:ind w:left="100" w:leftChars="2500"/>
    </w:pPr>
  </w:style>
  <w:style w:type="paragraph" w:styleId="27">
    <w:name w:val="Balloon Text"/>
    <w:basedOn w:val="1"/>
    <w:link w:val="58"/>
    <w:qFormat/>
    <w:uiPriority w:val="0"/>
    <w:rPr>
      <w:sz w:val="18"/>
      <w:szCs w:val="18"/>
    </w:rPr>
  </w:style>
  <w:style w:type="paragraph" w:styleId="2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31">
    <w:name w:val="Body Text Indent 3"/>
    <w:basedOn w:val="1"/>
    <w:link w:val="59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2">
    <w:name w:val="toc 9"/>
    <w:basedOn w:val="25"/>
    <w:next w:val="1"/>
    <w:qFormat/>
    <w:uiPriority w:val="0"/>
  </w:style>
  <w:style w:type="paragraph" w:styleId="33">
    <w:name w:val="HTML Preformatted"/>
    <w:basedOn w:val="1"/>
    <w:autoRedefine/>
    <w:qFormat/>
    <w:uiPriority w:val="0"/>
    <w:rPr>
      <w:rFonts w:ascii="Courier New" w:hAnsi="Courier New" w:cs="Courier New"/>
      <w:sz w:val="20"/>
      <w:szCs w:val="20"/>
    </w:rPr>
  </w:style>
  <w:style w:type="paragraph" w:styleId="34">
    <w:name w:val="Normal (Web)"/>
    <w:basedOn w:val="1"/>
    <w:autoRedefine/>
    <w:unhideWhenUsed/>
    <w:qFormat/>
    <w:uiPriority w:val="99"/>
    <w:rPr>
      <w:sz w:val="24"/>
    </w:rPr>
  </w:style>
  <w:style w:type="paragraph" w:styleId="35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6">
    <w:name w:val="annotation subject"/>
    <w:basedOn w:val="21"/>
    <w:next w:val="21"/>
    <w:link w:val="60"/>
    <w:qFormat/>
    <w:uiPriority w:val="0"/>
    <w:rPr>
      <w:b/>
      <w:bCs/>
    </w:rPr>
  </w:style>
  <w:style w:type="table" w:styleId="38">
    <w:name w:val="Table Grid"/>
    <w:basedOn w:val="3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0">
    <w:name w:val="Strong"/>
    <w:basedOn w:val="39"/>
    <w:autoRedefine/>
    <w:qFormat/>
    <w:uiPriority w:val="0"/>
    <w:rPr>
      <w:b/>
      <w:bCs/>
    </w:rPr>
  </w:style>
  <w:style w:type="character" w:styleId="41">
    <w:name w:val="page number"/>
    <w:autoRedefine/>
    <w:qFormat/>
    <w:uiPriority w:val="0"/>
    <w:rPr>
      <w:rFonts w:ascii="Times New Roman" w:hAnsi="Times New Roman" w:eastAsia="宋体"/>
      <w:sz w:val="18"/>
    </w:rPr>
  </w:style>
  <w:style w:type="character" w:styleId="42">
    <w:name w:val="FollowedHyperlink"/>
    <w:basedOn w:val="39"/>
    <w:autoRedefine/>
    <w:qFormat/>
    <w:uiPriority w:val="0"/>
    <w:rPr>
      <w:color w:val="2962FF"/>
      <w:u w:val="none"/>
    </w:rPr>
  </w:style>
  <w:style w:type="character" w:styleId="43">
    <w:name w:val="HTML Definition"/>
    <w:autoRedefine/>
    <w:qFormat/>
    <w:uiPriority w:val="0"/>
    <w:rPr>
      <w:i/>
      <w:iCs/>
    </w:rPr>
  </w:style>
  <w:style w:type="character" w:styleId="44">
    <w:name w:val="HTML Typewriter"/>
    <w:autoRedefine/>
    <w:qFormat/>
    <w:uiPriority w:val="0"/>
    <w:rPr>
      <w:rFonts w:ascii="Courier New" w:hAnsi="Courier New"/>
      <w:sz w:val="20"/>
      <w:szCs w:val="20"/>
    </w:rPr>
  </w:style>
  <w:style w:type="character" w:styleId="45">
    <w:name w:val="HTML Acronym"/>
    <w:basedOn w:val="39"/>
    <w:autoRedefine/>
    <w:qFormat/>
    <w:uiPriority w:val="0"/>
  </w:style>
  <w:style w:type="character" w:styleId="46">
    <w:name w:val="HTML Variable"/>
    <w:autoRedefine/>
    <w:qFormat/>
    <w:uiPriority w:val="0"/>
    <w:rPr>
      <w:i/>
      <w:iCs/>
    </w:rPr>
  </w:style>
  <w:style w:type="character" w:styleId="47">
    <w:name w:val="Hyperlink"/>
    <w:autoRedefine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48">
    <w:name w:val="HTML Code"/>
    <w:autoRedefine/>
    <w:qFormat/>
    <w:uiPriority w:val="0"/>
    <w:rPr>
      <w:rFonts w:ascii="Courier New" w:hAnsi="Courier New"/>
      <w:sz w:val="20"/>
      <w:szCs w:val="20"/>
    </w:rPr>
  </w:style>
  <w:style w:type="character" w:styleId="49">
    <w:name w:val="annotation reference"/>
    <w:autoRedefine/>
    <w:qFormat/>
    <w:uiPriority w:val="0"/>
    <w:rPr>
      <w:sz w:val="21"/>
      <w:szCs w:val="21"/>
    </w:rPr>
  </w:style>
  <w:style w:type="character" w:styleId="50">
    <w:name w:val="HTML Cite"/>
    <w:autoRedefine/>
    <w:qFormat/>
    <w:uiPriority w:val="0"/>
    <w:rPr>
      <w:i/>
      <w:iCs/>
    </w:rPr>
  </w:style>
  <w:style w:type="character" w:styleId="51">
    <w:name w:val="footnote reference"/>
    <w:autoRedefine/>
    <w:qFormat/>
    <w:uiPriority w:val="0"/>
    <w:rPr>
      <w:vertAlign w:val="superscript"/>
    </w:rPr>
  </w:style>
  <w:style w:type="character" w:styleId="52">
    <w:name w:val="HTML Keyboard"/>
    <w:autoRedefine/>
    <w:qFormat/>
    <w:uiPriority w:val="0"/>
    <w:rPr>
      <w:rFonts w:ascii="Courier New" w:hAnsi="Courier New"/>
      <w:sz w:val="20"/>
      <w:szCs w:val="20"/>
    </w:rPr>
  </w:style>
  <w:style w:type="character" w:styleId="53">
    <w:name w:val="HTML Sample"/>
    <w:autoRedefine/>
    <w:qFormat/>
    <w:uiPriority w:val="0"/>
    <w:rPr>
      <w:rFonts w:ascii="Courier New" w:hAnsi="Courier New"/>
    </w:rPr>
  </w:style>
  <w:style w:type="character" w:customStyle="1" w:styleId="54">
    <w:name w:val="标题 3 字符"/>
    <w:basedOn w:val="39"/>
    <w:link w:val="6"/>
    <w:autoRedefine/>
    <w:qFormat/>
    <w:locked/>
    <w:uiPriority w:val="0"/>
    <w:rPr>
      <w:b/>
      <w:bCs/>
      <w:kern w:val="2"/>
      <w:sz w:val="32"/>
      <w:szCs w:val="32"/>
    </w:rPr>
  </w:style>
  <w:style w:type="character" w:customStyle="1" w:styleId="55">
    <w:name w:val="批注文字 字符"/>
    <w:link w:val="21"/>
    <w:autoRedefine/>
    <w:qFormat/>
    <w:uiPriority w:val="0"/>
    <w:rPr>
      <w:kern w:val="2"/>
      <w:sz w:val="21"/>
      <w:szCs w:val="24"/>
    </w:rPr>
  </w:style>
  <w:style w:type="character" w:customStyle="1" w:styleId="56">
    <w:name w:val="正文文本 字符"/>
    <w:basedOn w:val="39"/>
    <w:link w:val="4"/>
    <w:autoRedefine/>
    <w:qFormat/>
    <w:uiPriority w:val="0"/>
    <w:rPr>
      <w:kern w:val="2"/>
      <w:sz w:val="21"/>
      <w:szCs w:val="24"/>
    </w:rPr>
  </w:style>
  <w:style w:type="character" w:customStyle="1" w:styleId="57">
    <w:name w:val="正文文本缩进 字符"/>
    <w:basedOn w:val="39"/>
    <w:link w:val="22"/>
    <w:autoRedefine/>
    <w:qFormat/>
    <w:uiPriority w:val="0"/>
    <w:rPr>
      <w:kern w:val="2"/>
      <w:sz w:val="21"/>
      <w:szCs w:val="24"/>
    </w:rPr>
  </w:style>
  <w:style w:type="character" w:customStyle="1" w:styleId="58">
    <w:name w:val="批注框文本 字符"/>
    <w:link w:val="27"/>
    <w:autoRedefine/>
    <w:qFormat/>
    <w:uiPriority w:val="0"/>
    <w:rPr>
      <w:kern w:val="2"/>
      <w:sz w:val="18"/>
      <w:szCs w:val="18"/>
    </w:rPr>
  </w:style>
  <w:style w:type="character" w:customStyle="1" w:styleId="59">
    <w:name w:val="正文文本缩进 3 字符"/>
    <w:basedOn w:val="39"/>
    <w:link w:val="31"/>
    <w:autoRedefine/>
    <w:qFormat/>
    <w:uiPriority w:val="0"/>
    <w:rPr>
      <w:kern w:val="2"/>
      <w:sz w:val="16"/>
      <w:szCs w:val="16"/>
    </w:rPr>
  </w:style>
  <w:style w:type="character" w:customStyle="1" w:styleId="60">
    <w:name w:val="批注主题 字符"/>
    <w:link w:val="36"/>
    <w:autoRedefine/>
    <w:qFormat/>
    <w:uiPriority w:val="0"/>
    <w:rPr>
      <w:b/>
      <w:bCs/>
      <w:kern w:val="2"/>
      <w:sz w:val="21"/>
      <w:szCs w:val="24"/>
    </w:rPr>
  </w:style>
  <w:style w:type="character" w:customStyle="1" w:styleId="61">
    <w:name w:val="正文文本首行缩进 字符"/>
    <w:basedOn w:val="56"/>
    <w:link w:val="3"/>
    <w:autoRedefine/>
    <w:qFormat/>
    <w:uiPriority w:val="0"/>
    <w:rPr>
      <w:kern w:val="2"/>
      <w:sz w:val="21"/>
      <w:szCs w:val="21"/>
    </w:rPr>
  </w:style>
  <w:style w:type="character" w:customStyle="1" w:styleId="62">
    <w:name w:val="发布"/>
    <w:autoRedefine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63">
    <w:name w:val="个人答复风格"/>
    <w:autoRedefine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64">
    <w:name w:val="个人撰写风格"/>
    <w:autoRedefine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65">
    <w:name w:val="附录图标题"/>
    <w:next w:val="66"/>
    <w:autoRedefine/>
    <w:qFormat/>
    <w:uiPriority w:val="0"/>
    <w:pPr>
      <w:numPr>
        <w:ilvl w:val="0"/>
        <w:numId w:val="1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6">
    <w:name w:val="段"/>
    <w:qFormat/>
    <w:uiPriority w:val="0"/>
    <w:pPr>
      <w:autoSpaceDE w:val="0"/>
      <w:autoSpaceDN w:val="0"/>
      <w:contextualSpacing/>
      <w:jc w:val="center"/>
    </w:pPr>
    <w:rPr>
      <w:rFonts w:ascii="Times New Roman" w:hAnsi="Times New Roman" w:cs="Times New Roman" w:eastAsiaTheme="minorEastAsia"/>
      <w:kern w:val="2"/>
      <w:lang w:val="en-US" w:eastAsia="zh-CN" w:bidi="ar-SA"/>
    </w:rPr>
  </w:style>
  <w:style w:type="paragraph" w:customStyle="1" w:styleId="67">
    <w:name w:val="条文脚注"/>
    <w:basedOn w:val="30"/>
    <w:autoRedefine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68">
    <w:name w:val="附录二级条标题"/>
    <w:basedOn w:val="69"/>
    <w:next w:val="66"/>
    <w:autoRedefine/>
    <w:qFormat/>
    <w:uiPriority w:val="0"/>
    <w:pPr>
      <w:numPr>
        <w:ilvl w:val="3"/>
      </w:numPr>
      <w:outlineLvl w:val="3"/>
    </w:pPr>
  </w:style>
  <w:style w:type="paragraph" w:customStyle="1" w:styleId="69">
    <w:name w:val="附录一级条标题"/>
    <w:basedOn w:val="70"/>
    <w:next w:val="66"/>
    <w:autoRedefine/>
    <w:qFormat/>
    <w:uiPriority w:val="0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70">
    <w:name w:val="附录章标题"/>
    <w:next w:val="66"/>
    <w:autoRedefine/>
    <w:qFormat/>
    <w:uiPriority w:val="0"/>
    <w:pPr>
      <w:numPr>
        <w:ilvl w:val="1"/>
        <w:numId w:val="2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1">
    <w:name w:val="标准称谓"/>
    <w:next w:val="1"/>
    <w:autoRedefine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72">
    <w:name w:val="参考文献、索引标题"/>
    <w:basedOn w:val="73"/>
    <w:next w:val="1"/>
    <w:autoRedefine/>
    <w:qFormat/>
    <w:uiPriority w:val="0"/>
    <w:pPr>
      <w:spacing w:after="200"/>
    </w:pPr>
    <w:rPr>
      <w:sz w:val="21"/>
    </w:rPr>
  </w:style>
  <w:style w:type="paragraph" w:customStyle="1" w:styleId="73">
    <w:name w:val="前言、引言标题"/>
    <w:next w:val="1"/>
    <w:autoRedefine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74">
    <w:name w:val="其他发布部门"/>
    <w:basedOn w:val="75"/>
    <w:autoRedefine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75">
    <w:name w:val="发布部门"/>
    <w:next w:val="66"/>
    <w:autoRedefine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76">
    <w:name w:val="列项●（二级）"/>
    <w:autoRedefine/>
    <w:qFormat/>
    <w:uiPriority w:val="0"/>
    <w:pPr>
      <w:numPr>
        <w:ilvl w:val="0"/>
        <w:numId w:val="3"/>
      </w:numPr>
      <w:tabs>
        <w:tab w:val="left" w:pos="840"/>
      </w:tabs>
      <w:ind w:left="6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7">
    <w:name w:val="附录标识"/>
    <w:basedOn w:val="73"/>
    <w:autoRedefine/>
    <w:qFormat/>
    <w:uiPriority w:val="0"/>
    <w:pPr>
      <w:numPr>
        <w:ilvl w:val="0"/>
        <w:numId w:val="2"/>
      </w:numPr>
      <w:tabs>
        <w:tab w:val="left" w:pos="6405"/>
      </w:tabs>
      <w:spacing w:after="200"/>
    </w:pPr>
    <w:rPr>
      <w:sz w:val="21"/>
    </w:rPr>
  </w:style>
  <w:style w:type="paragraph" w:customStyle="1" w:styleId="78">
    <w:name w:val="封面正文"/>
    <w:autoRedefine/>
    <w:qFormat/>
    <w:uiPriority w:val="0"/>
    <w:pPr>
      <w:spacing w:line="360" w:lineRule="auto"/>
      <w:contextualSpacing/>
      <w:jc w:val="both"/>
    </w:pPr>
    <w:rPr>
      <w:rFonts w:ascii="黑体" w:hAnsi="黑体" w:eastAsia="黑体" w:cs="黑体"/>
      <w:sz w:val="21"/>
      <w:szCs w:val="21"/>
      <w:lang w:val="en-US" w:eastAsia="zh-CN" w:bidi="ar-SA"/>
    </w:rPr>
  </w:style>
  <w:style w:type="paragraph" w:customStyle="1" w:styleId="79">
    <w:name w:val="附录表标题"/>
    <w:next w:val="66"/>
    <w:autoRedefine/>
    <w:qFormat/>
    <w:uiPriority w:val="0"/>
    <w:pPr>
      <w:numPr>
        <w:ilvl w:val="0"/>
        <w:numId w:val="4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0">
    <w:name w:val="一级条标题"/>
    <w:next w:val="66"/>
    <w:autoRedefine/>
    <w:qFormat/>
    <w:uiPriority w:val="0"/>
    <w:pPr>
      <w:numPr>
        <w:ilvl w:val="2"/>
        <w:numId w:val="5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81">
    <w:name w:val="三级条标题"/>
    <w:basedOn w:val="82"/>
    <w:next w:val="66"/>
    <w:autoRedefine/>
    <w:qFormat/>
    <w:uiPriority w:val="0"/>
    <w:pPr>
      <w:numPr>
        <w:ilvl w:val="4"/>
      </w:numPr>
      <w:outlineLvl w:val="4"/>
    </w:pPr>
  </w:style>
  <w:style w:type="paragraph" w:customStyle="1" w:styleId="82">
    <w:name w:val="二级条标题"/>
    <w:basedOn w:val="80"/>
    <w:next w:val="66"/>
    <w:autoRedefine/>
    <w:qFormat/>
    <w:uiPriority w:val="0"/>
    <w:pPr>
      <w:numPr>
        <w:ilvl w:val="3"/>
      </w:numPr>
      <w:outlineLvl w:val="3"/>
    </w:pPr>
  </w:style>
  <w:style w:type="paragraph" w:customStyle="1" w:styleId="83">
    <w:name w:val="标准书眉_偶数页"/>
    <w:basedOn w:val="84"/>
    <w:next w:val="1"/>
    <w:autoRedefine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84">
    <w:name w:val="标准书眉_奇数页"/>
    <w:next w:val="1"/>
    <w:autoRedefine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85">
    <w:name w:val="文献分类号"/>
    <w:autoRedefine/>
    <w:qFormat/>
    <w:uiPriority w:val="0"/>
    <w:pPr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86">
    <w:name w:val="编号列项（三级）"/>
    <w:autoRedefine/>
    <w:qFormat/>
    <w:uiPriority w:val="0"/>
    <w:p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7">
    <w:name w:val="封面标准文稿类别"/>
    <w:autoRedefine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88">
    <w:name w:val="附录四级条标题"/>
    <w:basedOn w:val="89"/>
    <w:next w:val="66"/>
    <w:autoRedefine/>
    <w:qFormat/>
    <w:uiPriority w:val="0"/>
    <w:pPr>
      <w:numPr>
        <w:ilvl w:val="5"/>
      </w:numPr>
      <w:outlineLvl w:val="5"/>
    </w:pPr>
  </w:style>
  <w:style w:type="paragraph" w:customStyle="1" w:styleId="89">
    <w:name w:val="附录三级条标题"/>
    <w:basedOn w:val="68"/>
    <w:next w:val="66"/>
    <w:autoRedefine/>
    <w:qFormat/>
    <w:uiPriority w:val="0"/>
    <w:pPr>
      <w:numPr>
        <w:ilvl w:val="4"/>
      </w:numPr>
      <w:outlineLvl w:val="4"/>
    </w:pPr>
  </w:style>
  <w:style w:type="paragraph" w:customStyle="1" w:styleId="90">
    <w:name w:val="封面标准号1"/>
    <w:autoRedefine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91">
    <w:name w:val="实施日期"/>
    <w:basedOn w:val="92"/>
    <w:autoRedefine/>
    <w:qFormat/>
    <w:uiPriority w:val="0"/>
    <w:pPr>
      <w:jc w:val="right"/>
    </w:pPr>
  </w:style>
  <w:style w:type="paragraph" w:customStyle="1" w:styleId="92">
    <w:name w:val="发布日期"/>
    <w:autoRedefine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93">
    <w:name w:val="注×："/>
    <w:autoRedefine/>
    <w:qFormat/>
    <w:uiPriority w:val="0"/>
    <w:pPr>
      <w:widowControl w:val="0"/>
      <w:numPr>
        <w:ilvl w:val="0"/>
        <w:numId w:val="6"/>
      </w:numPr>
      <w:tabs>
        <w:tab w:val="left" w:pos="63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4">
    <w:name w:val="标准书脚_偶数页"/>
    <w:autoRedefine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95">
    <w:name w:val="封面标准英文名称"/>
    <w:autoRedefine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96">
    <w:name w:val="注："/>
    <w:next w:val="66"/>
    <w:autoRedefine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7">
    <w:name w:val="章标题"/>
    <w:next w:val="66"/>
    <w:autoRedefine/>
    <w:qFormat/>
    <w:uiPriority w:val="0"/>
    <w:pPr>
      <w:numPr>
        <w:ilvl w:val="1"/>
        <w:numId w:val="5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8">
    <w:name w:val="正文图标题"/>
    <w:next w:val="66"/>
    <w:autoRedefine/>
    <w:qFormat/>
    <w:uiPriority w:val="0"/>
    <w:pPr>
      <w:numPr>
        <w:ilvl w:val="0"/>
        <w:numId w:val="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9">
    <w:name w:val="ENFI表体"/>
    <w:basedOn w:val="1"/>
    <w:autoRedefine/>
    <w:qFormat/>
    <w:uiPriority w:val="0"/>
    <w:pPr>
      <w:widowControl/>
      <w:adjustRightInd w:val="0"/>
      <w:snapToGrid w:val="0"/>
      <w:spacing w:line="240" w:lineRule="atLeast"/>
      <w:jc w:val="left"/>
    </w:pPr>
    <w:rPr>
      <w:rFonts w:ascii="宋体" w:hAnsi="宋体" w:eastAsia="仿宋_GB2312"/>
      <w:kern w:val="0"/>
    </w:rPr>
  </w:style>
  <w:style w:type="paragraph" w:customStyle="1" w:styleId="100">
    <w:name w:val="列项——（一级）"/>
    <w:autoRedefine/>
    <w:qFormat/>
    <w:uiPriority w:val="0"/>
    <w:pPr>
      <w:widowControl w:val="0"/>
      <w:numPr>
        <w:ilvl w:val="0"/>
        <w:numId w:val="9"/>
      </w:numPr>
      <w:tabs>
        <w:tab w:val="left" w:pos="854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1">
    <w:name w:val="列项◆（三级）"/>
    <w:qFormat/>
    <w:uiPriority w:val="0"/>
    <w:pPr>
      <w:numPr>
        <w:ilvl w:val="0"/>
        <w:numId w:val="10"/>
      </w:num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标准书脚_奇数页"/>
    <w:autoRedefine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03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字母编号列项（一级）"/>
    <w:autoRedefine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06">
    <w:name w:val="封面标准名称"/>
    <w:autoRedefine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07">
    <w:name w:val="附录五级条标题"/>
    <w:basedOn w:val="88"/>
    <w:next w:val="66"/>
    <w:autoRedefine/>
    <w:qFormat/>
    <w:uiPriority w:val="0"/>
    <w:pPr>
      <w:numPr>
        <w:ilvl w:val="6"/>
      </w:numPr>
      <w:outlineLvl w:val="6"/>
    </w:pPr>
  </w:style>
  <w:style w:type="paragraph" w:customStyle="1" w:styleId="108">
    <w:name w:val="标准标志"/>
    <w:next w:val="1"/>
    <w:qFormat/>
    <w:uiPriority w:val="0"/>
    <w:pPr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109">
    <w:name w:val="数字编号列项（二级）"/>
    <w:autoRedefine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图表脚注"/>
    <w:next w:val="66"/>
    <w:autoRedefine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1">
    <w:name w:val="正文表标题"/>
    <w:next w:val="66"/>
    <w:qFormat/>
    <w:uiPriority w:val="0"/>
    <w:pPr>
      <w:numPr>
        <w:ilvl w:val="0"/>
        <w:numId w:val="11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2">
    <w:name w:val="四级条标题"/>
    <w:basedOn w:val="81"/>
    <w:next w:val="66"/>
    <w:autoRedefine/>
    <w:qFormat/>
    <w:uiPriority w:val="0"/>
    <w:pPr>
      <w:numPr>
        <w:ilvl w:val="5"/>
      </w:numPr>
      <w:outlineLvl w:val="5"/>
    </w:pPr>
  </w:style>
  <w:style w:type="paragraph" w:customStyle="1" w:styleId="11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14">
    <w:name w:val="示例"/>
    <w:next w:val="66"/>
    <w:autoRedefine/>
    <w:qFormat/>
    <w:uiPriority w:val="0"/>
    <w:pPr>
      <w:numPr>
        <w:ilvl w:val="0"/>
        <w:numId w:val="12"/>
      </w:numPr>
      <w:tabs>
        <w:tab w:val="left" w:pos="816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5">
    <w:name w:val="封面标准代替信息"/>
    <w:basedOn w:val="116"/>
    <w:autoRedefine/>
    <w:qFormat/>
    <w:uiPriority w:val="0"/>
    <w:pPr>
      <w:spacing w:before="57"/>
    </w:pPr>
    <w:rPr>
      <w:rFonts w:ascii="宋体"/>
      <w:sz w:val="21"/>
    </w:rPr>
  </w:style>
  <w:style w:type="paragraph" w:customStyle="1" w:styleId="116">
    <w:name w:val="封面标准号2"/>
    <w:basedOn w:val="90"/>
    <w:qFormat/>
    <w:uiPriority w:val="0"/>
    <w:pPr>
      <w:adjustRightInd w:val="0"/>
      <w:spacing w:before="357" w:line="280" w:lineRule="exact"/>
    </w:pPr>
  </w:style>
  <w:style w:type="paragraph" w:customStyle="1" w:styleId="117">
    <w:name w:val="五级条标题"/>
    <w:basedOn w:val="112"/>
    <w:next w:val="66"/>
    <w:qFormat/>
    <w:uiPriority w:val="0"/>
    <w:pPr>
      <w:numPr>
        <w:ilvl w:val="6"/>
      </w:numPr>
      <w:outlineLvl w:val="6"/>
    </w:pPr>
  </w:style>
  <w:style w:type="paragraph" w:customStyle="1" w:styleId="118">
    <w:name w:val="封面一致性程度标识"/>
    <w:autoRedefine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119">
    <w:name w:val="封面标准文稿编辑信息"/>
    <w:autoRedefine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0">
    <w:name w:val="目次、标准名称标题"/>
    <w:basedOn w:val="73"/>
    <w:next w:val="66"/>
    <w:autoRedefine/>
    <w:qFormat/>
    <w:uiPriority w:val="0"/>
    <w:pPr>
      <w:spacing w:line="460" w:lineRule="exact"/>
    </w:pPr>
  </w:style>
  <w:style w:type="paragraph" w:customStyle="1" w:styleId="121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22">
    <w:name w:val="_Style 4"/>
    <w:basedOn w:val="1"/>
    <w:autoRedefine/>
    <w:qFormat/>
    <w:uiPriority w:val="34"/>
    <w:pPr>
      <w:ind w:firstLine="420"/>
    </w:pPr>
  </w:style>
  <w:style w:type="paragraph" w:customStyle="1" w:styleId="123">
    <w:name w:val="Table Paragraph"/>
    <w:basedOn w:val="1"/>
    <w:autoRedefine/>
    <w:unhideWhenUsed/>
    <w:qFormat/>
    <w:uiPriority w:val="0"/>
    <w:rPr>
      <w:sz w:val="24"/>
    </w:rPr>
  </w:style>
  <w:style w:type="paragraph" w:customStyle="1" w:styleId="124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5">
    <w:name w:val="font21"/>
    <w:basedOn w:val="39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6">
    <w:name w:val="font11"/>
    <w:basedOn w:val="39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7">
    <w:name w:val="gb_d2"/>
    <w:basedOn w:val="39"/>
    <w:autoRedefine/>
    <w:qFormat/>
    <w:uiPriority w:val="0"/>
    <w:rPr>
      <w:u w:val="none"/>
    </w:rPr>
  </w:style>
  <w:style w:type="character" w:customStyle="1" w:styleId="128">
    <w:name w:val="gb_d3"/>
    <w:basedOn w:val="39"/>
    <w:qFormat/>
    <w:uiPriority w:val="0"/>
    <w:rPr>
      <w:color w:val="FFFFFF"/>
    </w:rPr>
  </w:style>
  <w:style w:type="paragraph" w:customStyle="1" w:styleId="129">
    <w:name w:val="修订2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0">
    <w:name w:val="纯文本 字符"/>
    <w:basedOn w:val="39"/>
    <w:link w:val="24"/>
    <w:autoRedefine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31">
    <w:name w:val="font5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2">
    <w:name w:val="font4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33">
    <w:name w:val="font101"/>
    <w:autoRedefine/>
    <w:qFormat/>
    <w:uiPriority w:val="0"/>
    <w:rPr>
      <w:rFonts w:ascii="黑体" w:hAnsi="宋体" w:eastAsia="黑体" w:cs="黑体"/>
      <w:color w:val="000000"/>
      <w:sz w:val="18"/>
      <w:szCs w:val="18"/>
      <w:u w:val="none"/>
    </w:rPr>
  </w:style>
  <w:style w:type="character" w:customStyle="1" w:styleId="134">
    <w:name w:val="font01"/>
    <w:autoRedefine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5">
    <w:name w:val="font3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perscript"/>
    </w:rPr>
  </w:style>
  <w:style w:type="paragraph" w:styleId="136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37">
    <w:name w:val="修订3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8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73\Desktop\tds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ABFEFB-5C0E-4E87-BB3A-9572E398A9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tds2</Template>
  <Company>CNIS</Company>
  <Pages>9</Pages>
  <Words>3532</Words>
  <Characters>4705</Characters>
  <Lines>41</Lines>
  <Paragraphs>11</Paragraphs>
  <TotalTime>91</TotalTime>
  <ScaleCrop>false</ScaleCrop>
  <LinksUpToDate>false</LinksUpToDate>
  <CharactersWithSpaces>5202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2024-09-27T07:21:00Z</dcterms:created>
  <dc:creator>xx</dc:creator>
  <cp:lastModifiedBy>韩知为</cp:lastModifiedBy>
  <cp:lastPrinted>2024-06-27T07:04:00Z</cp:lastPrinted>
  <dcterms:modified xsi:type="dcterms:W3CDTF">2024-10-21T05:23:47Z</dcterms:modified>
  <dc:title>数控车床用铜合金棒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  <property fmtid="{D5CDD505-2E9C-101B-9397-08002B2CF9AE}" pid="3" name="KSOProductBuildVer">
    <vt:lpwstr>2052-12.1.0.18608</vt:lpwstr>
  </property>
  <property fmtid="{D5CDD505-2E9C-101B-9397-08002B2CF9AE}" pid="4" name="ICV">
    <vt:lpwstr>2F8011C6FE654516ABA91042A3B7E7DA</vt:lpwstr>
  </property>
</Properties>
</file>