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  <w:lang w:val="en-US" w:eastAsia="zh-CN"/>
        </w:rPr>
        <w:t>行业</w:t>
      </w:r>
      <w:r>
        <w:rPr>
          <w:rFonts w:eastAsia="黑体"/>
          <w:b/>
          <w:sz w:val="44"/>
        </w:rPr>
        <w:t>标准《</w:t>
      </w:r>
      <w:r>
        <w:rPr>
          <w:rFonts w:hint="eastAsia" w:eastAsia="黑体"/>
          <w:b/>
          <w:sz w:val="44"/>
        </w:rPr>
        <w:t>富锂</w:t>
      </w:r>
      <w:r>
        <w:rPr>
          <w:rFonts w:hint="eastAsia" w:eastAsia="黑体"/>
          <w:b/>
          <w:sz w:val="44"/>
          <w:lang w:val="en-US" w:eastAsia="zh-CN"/>
        </w:rPr>
        <w:t>镍</w:t>
      </w:r>
      <w:r>
        <w:rPr>
          <w:rFonts w:hint="eastAsia" w:eastAsia="黑体"/>
          <w:b/>
          <w:sz w:val="44"/>
        </w:rPr>
        <w:t>酸锂</w:t>
      </w:r>
      <w:r>
        <w:rPr>
          <w:rFonts w:eastAsia="黑体"/>
          <w:b/>
          <w:sz w:val="44"/>
        </w:rPr>
        <w:t>》</w:t>
      </w: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tabs>
          <w:tab w:val="left" w:pos="7200"/>
        </w:tabs>
        <w:jc w:val="center"/>
        <w:rPr>
          <w:rFonts w:eastAsia="黑体"/>
          <w:b/>
          <w:sz w:val="36"/>
        </w:rPr>
      </w:pPr>
    </w:p>
    <w:p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编</w:t>
      </w:r>
    </w:p>
    <w:p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制</w:t>
      </w:r>
    </w:p>
    <w:p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说</w:t>
      </w:r>
    </w:p>
    <w:p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明</w:t>
      </w:r>
    </w:p>
    <w:p>
      <w:pPr>
        <w:jc w:val="center"/>
        <w:rPr>
          <w:rFonts w:eastAsia="黑体"/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讨论</w:t>
      </w:r>
      <w:r>
        <w:rPr>
          <w:b/>
          <w:sz w:val="36"/>
        </w:rPr>
        <w:t>稿）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湖南长远锂科新能源</w:t>
      </w:r>
      <w:r>
        <w:rPr>
          <w:rFonts w:hint="eastAsia"/>
          <w:b/>
          <w:sz w:val="36"/>
        </w:rPr>
        <w:t>有限公司</w:t>
      </w:r>
    </w:p>
    <w:p>
      <w:pPr>
        <w:jc w:val="center"/>
        <w:rPr>
          <w:b/>
          <w:sz w:val="36"/>
        </w:rPr>
      </w:pPr>
      <w:r>
        <w:rPr>
          <w:b/>
          <w:sz w:val="36"/>
        </w:rPr>
        <w:t>202</w:t>
      </w:r>
      <w:r>
        <w:rPr>
          <w:rFonts w:hint="eastAsia"/>
          <w:b/>
          <w:sz w:val="36"/>
        </w:rPr>
        <w:t>4年</w:t>
      </w:r>
      <w:r>
        <w:rPr>
          <w:rFonts w:hint="eastAsia"/>
          <w:b/>
          <w:sz w:val="36"/>
          <w:lang w:val="en-US" w:eastAsia="zh-CN"/>
        </w:rPr>
        <w:t>10</w:t>
      </w:r>
      <w:r>
        <w:rPr>
          <w:rFonts w:hint="eastAsia"/>
          <w:b/>
          <w:sz w:val="36"/>
        </w:rPr>
        <w:t>月</w:t>
      </w:r>
      <w:r>
        <w:rPr>
          <w:rFonts w:hint="eastAsia"/>
          <w:b/>
          <w:sz w:val="36"/>
          <w:lang w:val="en-US" w:eastAsia="zh-CN"/>
        </w:rPr>
        <w:t>21</w:t>
      </w:r>
      <w:r>
        <w:rPr>
          <w:rFonts w:hint="eastAsia"/>
          <w:b/>
          <w:sz w:val="36"/>
        </w:rPr>
        <w:t>日</w:t>
      </w:r>
    </w:p>
    <w:p>
      <w:pPr>
        <w:tabs>
          <w:tab w:val="left" w:pos="7200"/>
        </w:tabs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24"/>
        </w:rPr>
        <w:br w:type="page"/>
      </w:r>
      <w:r>
        <w:rPr>
          <w:rFonts w:hint="eastAsia" w:eastAsia="黑体"/>
          <w:bCs/>
          <w:sz w:val="32"/>
          <w:szCs w:val="32"/>
          <w:lang w:val="en-US" w:eastAsia="zh-CN"/>
        </w:rPr>
        <w:t>行业</w:t>
      </w:r>
      <w:r>
        <w:rPr>
          <w:rFonts w:eastAsia="黑体"/>
          <w:bCs/>
          <w:sz w:val="32"/>
          <w:szCs w:val="32"/>
        </w:rPr>
        <w:t>标准《</w:t>
      </w:r>
      <w:r>
        <w:rPr>
          <w:rFonts w:hint="eastAsia" w:eastAsia="黑体"/>
          <w:bCs/>
          <w:sz w:val="32"/>
          <w:szCs w:val="32"/>
        </w:rPr>
        <w:t>富锂</w:t>
      </w:r>
      <w:r>
        <w:rPr>
          <w:rFonts w:hint="eastAsia" w:eastAsia="黑体"/>
          <w:bCs/>
          <w:sz w:val="32"/>
          <w:szCs w:val="32"/>
          <w:lang w:val="en-US" w:eastAsia="zh-CN"/>
        </w:rPr>
        <w:t>镍</w:t>
      </w:r>
      <w:r>
        <w:rPr>
          <w:rFonts w:hint="eastAsia" w:eastAsia="黑体"/>
          <w:bCs/>
          <w:sz w:val="32"/>
          <w:szCs w:val="32"/>
        </w:rPr>
        <w:t>酸锂</w:t>
      </w:r>
      <w:r>
        <w:rPr>
          <w:rFonts w:eastAsia="黑体"/>
          <w:bCs/>
          <w:sz w:val="32"/>
          <w:szCs w:val="32"/>
        </w:rPr>
        <w:t>》</w:t>
      </w:r>
    </w:p>
    <w:p>
      <w:pPr>
        <w:tabs>
          <w:tab w:val="left" w:pos="7200"/>
        </w:tabs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编制说明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一、工作简况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1</w:t>
      </w:r>
      <w:r>
        <w:rPr>
          <w:rFonts w:eastAsia="黑体"/>
          <w:bCs/>
          <w:sz w:val="24"/>
        </w:rPr>
        <w:t>.1任务来源与计划要求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1.1.1任务</w:t>
      </w:r>
      <w:r>
        <w:rPr>
          <w:rFonts w:eastAsia="黑体"/>
          <w:bCs/>
          <w:sz w:val="24"/>
        </w:rPr>
        <w:t>下达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</w:t>
      </w:r>
      <w:r>
        <w:rPr>
          <w:rFonts w:hint="eastAsia"/>
          <w:sz w:val="24"/>
          <w:lang w:val="en-US" w:eastAsia="zh-CN"/>
        </w:rPr>
        <w:t>工业和信息化部办公厅</w:t>
      </w:r>
      <w:r>
        <w:rPr>
          <w:rFonts w:hint="eastAsia"/>
          <w:sz w:val="24"/>
        </w:rPr>
        <w:t>关于</w:t>
      </w:r>
      <w:r>
        <w:rPr>
          <w:rFonts w:hint="eastAsia"/>
          <w:sz w:val="24"/>
          <w:lang w:val="en-US" w:eastAsia="zh-CN"/>
        </w:rPr>
        <w:t>印发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批</w:t>
      </w:r>
      <w:r>
        <w:rPr>
          <w:rFonts w:hint="eastAsia"/>
          <w:sz w:val="24"/>
          <w:lang w:val="en-US" w:eastAsia="zh-CN"/>
        </w:rPr>
        <w:t>行业</w:t>
      </w:r>
      <w:r>
        <w:rPr>
          <w:rFonts w:hint="eastAsia"/>
          <w:sz w:val="24"/>
        </w:rPr>
        <w:t>标准</w:t>
      </w:r>
      <w:r>
        <w:rPr>
          <w:rFonts w:hint="eastAsia"/>
          <w:sz w:val="24"/>
          <w:lang w:val="en-US" w:eastAsia="zh-CN"/>
        </w:rPr>
        <w:t>制修订</w:t>
      </w:r>
      <w:r>
        <w:rPr>
          <w:rFonts w:hint="eastAsia"/>
          <w:sz w:val="24"/>
        </w:rPr>
        <w:t>计划的通知（</w:t>
      </w:r>
      <w:r>
        <w:rPr>
          <w:rFonts w:hint="eastAsia"/>
          <w:sz w:val="24"/>
          <w:lang w:val="en-US" w:eastAsia="zh-CN"/>
        </w:rPr>
        <w:t>工信厅科函</w:t>
      </w:r>
      <w:r>
        <w:rPr>
          <w:rFonts w:hint="eastAsia"/>
          <w:sz w:val="24"/>
        </w:rPr>
        <w:t>【202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】</w:t>
      </w:r>
      <w:r>
        <w:rPr>
          <w:rFonts w:hint="eastAsia"/>
          <w:sz w:val="24"/>
          <w:lang w:val="en-US" w:eastAsia="zh-CN"/>
        </w:rPr>
        <w:t>317</w:t>
      </w:r>
      <w:r>
        <w:rPr>
          <w:rFonts w:hint="eastAsia"/>
          <w:sz w:val="24"/>
        </w:rPr>
        <w:t>号）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行业</w:t>
      </w:r>
      <w:r>
        <w:rPr>
          <w:sz w:val="24"/>
        </w:rPr>
        <w:t>标准《</w:t>
      </w:r>
      <w:r>
        <w:rPr>
          <w:rFonts w:hint="eastAsia"/>
          <w:sz w:val="24"/>
        </w:rPr>
        <w:t>富锂</w:t>
      </w:r>
      <w:r>
        <w:rPr>
          <w:rFonts w:hint="eastAsia"/>
          <w:sz w:val="24"/>
          <w:lang w:val="en-US" w:eastAsia="zh-CN"/>
        </w:rPr>
        <w:t>镍</w:t>
      </w:r>
      <w:r>
        <w:rPr>
          <w:rFonts w:hint="eastAsia"/>
          <w:sz w:val="24"/>
        </w:rPr>
        <w:t>酸锂</w:t>
      </w:r>
      <w:r>
        <w:rPr>
          <w:sz w:val="24"/>
        </w:rPr>
        <w:t>》由全国有色金属标准化技术委员会（SAC/TC 243）提出并归口，项目计划编号：202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929</w:t>
      </w:r>
      <w:r>
        <w:rPr>
          <w:sz w:val="24"/>
        </w:rPr>
        <w:t>T</w:t>
      </w:r>
      <w:r>
        <w:rPr>
          <w:rFonts w:hint="eastAsia"/>
          <w:sz w:val="24"/>
          <w:lang w:val="en-US" w:eastAsia="zh-CN"/>
        </w:rPr>
        <w:t>-YS</w:t>
      </w:r>
      <w:r>
        <w:rPr>
          <w:sz w:val="24"/>
        </w:rPr>
        <w:t>，由</w:t>
      </w:r>
      <w:r>
        <w:rPr>
          <w:rFonts w:hint="eastAsia"/>
          <w:sz w:val="24"/>
        </w:rPr>
        <w:t>湖南长远锂科新能源有限公司</w:t>
      </w:r>
      <w:r>
        <w:rPr>
          <w:sz w:val="24"/>
        </w:rPr>
        <w:t>牵头起草，该标准计划完成年限202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1.1.2项目</w:t>
      </w:r>
      <w:r>
        <w:rPr>
          <w:rFonts w:eastAsia="黑体"/>
          <w:bCs/>
          <w:sz w:val="24"/>
        </w:rPr>
        <w:t>编制组单位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标准编制组单位包括</w:t>
      </w:r>
      <w:r>
        <w:rPr>
          <w:sz w:val="24"/>
        </w:rPr>
        <w:t>：</w:t>
      </w:r>
      <w:r>
        <w:rPr>
          <w:rFonts w:hint="eastAsia"/>
          <w:sz w:val="24"/>
        </w:rPr>
        <w:t>湖南长远锂科新能源材料有限公司、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宁波容百新能源科技股份有限公司、深圳市德方创域新能源科技有限公司、淮安锦锂新材料有限公司等单位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1.</w:t>
      </w:r>
      <w:r>
        <w:rPr>
          <w:rFonts w:eastAsia="黑体"/>
          <w:bCs/>
          <w:sz w:val="24"/>
        </w:rPr>
        <w:t xml:space="preserve">2 </w:t>
      </w:r>
      <w:r>
        <w:rPr>
          <w:rFonts w:hint="eastAsia" w:eastAsia="黑体"/>
          <w:bCs/>
          <w:sz w:val="24"/>
        </w:rPr>
        <w:t>主要</w:t>
      </w:r>
      <w:r>
        <w:rPr>
          <w:rFonts w:eastAsia="黑体"/>
          <w:bCs/>
          <w:sz w:val="24"/>
        </w:rPr>
        <w:t>参</w:t>
      </w:r>
      <w:r>
        <w:rPr>
          <w:rFonts w:hint="eastAsia" w:eastAsia="黑体"/>
          <w:bCs/>
          <w:sz w:val="24"/>
        </w:rPr>
        <w:t>加</w:t>
      </w:r>
      <w:r>
        <w:rPr>
          <w:rFonts w:eastAsia="黑体"/>
          <w:bCs/>
          <w:sz w:val="24"/>
        </w:rPr>
        <w:t>单位和工作成员及其所</w:t>
      </w:r>
      <w:r>
        <w:rPr>
          <w:rFonts w:hint="eastAsia" w:eastAsia="黑体"/>
          <w:bCs/>
          <w:sz w:val="24"/>
        </w:rPr>
        <w:t>做</w:t>
      </w:r>
      <w:r>
        <w:rPr>
          <w:rFonts w:eastAsia="黑体"/>
          <w:bCs/>
          <w:sz w:val="24"/>
        </w:rPr>
        <w:t>工作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1.2.1 起草单位简介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湖南长远锂科新能源材料有限公司成立于20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年，位于</w:t>
      </w:r>
      <w:r>
        <w:rPr>
          <w:rFonts w:hint="eastAsia"/>
          <w:sz w:val="24"/>
          <w:lang w:val="en-US" w:eastAsia="zh-CN"/>
        </w:rPr>
        <w:t>湖南省长沙</w:t>
      </w:r>
      <w:r>
        <w:rPr>
          <w:rFonts w:hint="eastAsia"/>
          <w:sz w:val="24"/>
        </w:rPr>
        <w:t>市，</w:t>
      </w:r>
      <w:r>
        <w:rPr>
          <w:rFonts w:hint="eastAsia"/>
          <w:sz w:val="24"/>
          <w:lang w:val="en-US" w:eastAsia="zh-CN"/>
        </w:rPr>
        <w:t>隶属于</w:t>
      </w:r>
      <w:r>
        <w:rPr>
          <w:rFonts w:hint="eastAsia"/>
          <w:sz w:val="24"/>
        </w:rPr>
        <w:t>世界500强企业中国五矿集团有限公司。公司专注于高效电池材料的研究、生产与销售，是国内最早从事三元正极材料研发生产的企业之一，拥有锂电多元材料前驱体和正极材料、磷酸铁锂正极材料完整产品体系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拥有“国家企业技术中心”、“国家绿色工厂”“国家专精特精小巨人”“湖南省企业技术中心”、“湖南省工程实验室”等平台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具有三元正极材料产能12万吨/年、磷酸铁锂材料6万吨/年以及三元前驱体3万吨/年的产能，同时拥有一条年处理能力5000吨的废旧动力电池回收示范线。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1.2.2主要参</w:t>
      </w:r>
      <w:r>
        <w:rPr>
          <w:rFonts w:hint="eastAsia" w:eastAsia="黑体"/>
          <w:bCs/>
          <w:sz w:val="24"/>
        </w:rPr>
        <w:t>编</w:t>
      </w:r>
      <w:r>
        <w:rPr>
          <w:rFonts w:eastAsia="黑体"/>
          <w:bCs/>
          <w:sz w:val="24"/>
        </w:rPr>
        <w:t>单位</w:t>
      </w:r>
      <w:r>
        <w:rPr>
          <w:rFonts w:hint="eastAsia" w:eastAsia="黑体"/>
          <w:bCs/>
          <w:sz w:val="24"/>
        </w:rPr>
        <w:t>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湖南长远锂科新能源材料有限公司，作为标准牵头</w:t>
      </w:r>
      <w:r>
        <w:rPr>
          <w:sz w:val="24"/>
        </w:rPr>
        <w:t>编制单位</w:t>
      </w:r>
      <w:r>
        <w:rPr>
          <w:rFonts w:hint="eastAsia"/>
          <w:sz w:val="24"/>
        </w:rPr>
        <w:t>，负责组织开展标准的研制工作，包括前期调研、文献查询、框架内容调整、技术分析、样品收集和试验验证等工作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金驰能源材料有限公司、广东邦普循环科技有限公司、天津国安盟固利新材料科技股份有限公司、北京当升材料科技股份有限公司、华友新能源科技（衢州）有限公司、长沙矿冶研究院有限责任公司、中伟新材料股份有限公司、格林美股份有限公司、厦门厦钨新能源材料股份有限公司、宁波容百新能源科技股份有限公司、深圳市德方创域新能源科技有限公司、淮安锦锂新材料有限公司等</w:t>
      </w:r>
      <w:r>
        <w:rPr>
          <w:sz w:val="24"/>
        </w:rPr>
        <w:t>单位均为</w:t>
      </w:r>
      <w:r>
        <w:rPr>
          <w:rFonts w:hint="eastAsia"/>
          <w:sz w:val="24"/>
          <w:lang w:eastAsia="zh-CN"/>
        </w:rPr>
        <w:t>富锂镍酸锂</w:t>
      </w:r>
      <w:r>
        <w:rPr>
          <w:rFonts w:hint="eastAsia"/>
          <w:sz w:val="24"/>
        </w:rPr>
        <w:t>产品</w:t>
      </w:r>
      <w:r>
        <w:rPr>
          <w:sz w:val="24"/>
        </w:rPr>
        <w:t>的</w:t>
      </w:r>
      <w:r>
        <w:rPr>
          <w:rFonts w:hint="eastAsia"/>
          <w:sz w:val="24"/>
        </w:rPr>
        <w:t>生产</w:t>
      </w:r>
      <w:r>
        <w:rPr>
          <w:sz w:val="24"/>
        </w:rPr>
        <w:t>、使用及研究企业，在标准编制过程中，积极参与标准的调研工作，为</w:t>
      </w:r>
      <w:r>
        <w:rPr>
          <w:rFonts w:hint="eastAsia"/>
          <w:sz w:val="24"/>
        </w:rPr>
        <w:t>标准</w:t>
      </w:r>
      <w:r>
        <w:rPr>
          <w:sz w:val="24"/>
        </w:rPr>
        <w:t>编制提供了大量的实测数据。同时</w:t>
      </w:r>
      <w:r>
        <w:rPr>
          <w:rFonts w:hint="eastAsia"/>
          <w:sz w:val="24"/>
        </w:rPr>
        <w:t>，针对</w:t>
      </w:r>
      <w:r>
        <w:rPr>
          <w:sz w:val="24"/>
        </w:rPr>
        <w:t>标准的讨论稿</w:t>
      </w:r>
      <w:r>
        <w:rPr>
          <w:rFonts w:hint="eastAsia"/>
          <w:sz w:val="24"/>
        </w:rPr>
        <w:t>和征求意见稿提出</w:t>
      </w:r>
      <w:r>
        <w:rPr>
          <w:sz w:val="24"/>
        </w:rPr>
        <w:t>修改意见</w:t>
      </w:r>
      <w:r>
        <w:rPr>
          <w:rFonts w:hint="eastAsia"/>
          <w:sz w:val="24"/>
        </w:rPr>
        <w:t>，</w:t>
      </w:r>
      <w:r>
        <w:rPr>
          <w:sz w:val="24"/>
        </w:rPr>
        <w:t>确保产品的指标能</w:t>
      </w:r>
      <w:r>
        <w:rPr>
          <w:rFonts w:hint="eastAsia"/>
          <w:sz w:val="24"/>
        </w:rPr>
        <w:t>满足生产</w:t>
      </w:r>
      <w:r>
        <w:rPr>
          <w:sz w:val="24"/>
        </w:rPr>
        <w:t>、使用要求，确保</w:t>
      </w:r>
      <w:r>
        <w:rPr>
          <w:rFonts w:hint="eastAsia"/>
          <w:sz w:val="24"/>
        </w:rPr>
        <w:t>产品的</w:t>
      </w:r>
      <w:r>
        <w:rPr>
          <w:sz w:val="24"/>
        </w:rPr>
        <w:t>检测方法</w:t>
      </w:r>
      <w:r>
        <w:rPr>
          <w:rFonts w:hint="eastAsia"/>
          <w:sz w:val="24"/>
        </w:rPr>
        <w:t>能实际</w:t>
      </w:r>
      <w:r>
        <w:rPr>
          <w:sz w:val="24"/>
        </w:rPr>
        <w:t>应用于企业。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1.2.</w:t>
      </w:r>
      <w:r>
        <w:rPr>
          <w:rFonts w:hint="eastAsia" w:eastAsia="黑体"/>
          <w:bCs/>
          <w:sz w:val="24"/>
        </w:rPr>
        <w:t>3</w:t>
      </w:r>
      <w:r>
        <w:rPr>
          <w:rFonts w:eastAsia="黑体"/>
          <w:bCs/>
          <w:sz w:val="24"/>
        </w:rPr>
        <w:t>主要工作成员所</w:t>
      </w:r>
      <w:r>
        <w:rPr>
          <w:rFonts w:hint="eastAsia" w:eastAsia="黑体"/>
          <w:bCs/>
          <w:sz w:val="24"/>
        </w:rPr>
        <w:t>负责</w:t>
      </w:r>
      <w:r>
        <w:rPr>
          <w:rFonts w:eastAsia="黑体"/>
          <w:bCs/>
          <w:sz w:val="24"/>
        </w:rPr>
        <w:t>的工作情况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本标准主要起草人及其工作职责见表1。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表1 主要</w:t>
      </w:r>
      <w:r>
        <w:rPr>
          <w:b/>
          <w:bCs/>
          <w:sz w:val="24"/>
        </w:rPr>
        <w:t>起草人及工作职责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5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</w:t>
            </w:r>
            <w:r>
              <w:rPr>
                <w:szCs w:val="21"/>
              </w:rPr>
              <w:t>人</w:t>
            </w:r>
          </w:p>
        </w:tc>
        <w:tc>
          <w:tcPr>
            <w:tcW w:w="560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标准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指导及</w:t>
            </w:r>
            <w:r>
              <w:rPr>
                <w:szCs w:val="21"/>
              </w:rPr>
              <w:t>组织协调，</w:t>
            </w: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关键指标的把控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标准的调研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标准文本、标准编制说明的撰写</w:t>
            </w:r>
            <w:r>
              <w:rPr>
                <w:rFonts w:hint="eastAsia"/>
                <w:szCs w:val="21"/>
              </w:rPr>
              <w:t>，意见</w:t>
            </w:r>
            <w:r>
              <w:rPr>
                <w:szCs w:val="21"/>
              </w:rPr>
              <w:t>汇总处理，参加标准讨论和审定会议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产品指标及试验方法的把控</w:t>
            </w:r>
            <w:r>
              <w:rPr>
                <w:rFonts w:hint="eastAsia"/>
                <w:szCs w:val="21"/>
              </w:rPr>
              <w:t>，对讨论稿和征求意见稿提出修改意见</w:t>
            </w:r>
          </w:p>
        </w:tc>
      </w:tr>
    </w:tbl>
    <w:p>
      <w:pPr>
        <w:spacing w:before="312" w:beforeLines="100" w:after="312" w:afterLines="10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1.3主要工作过程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1.3.</w:t>
      </w:r>
      <w:r>
        <w:rPr>
          <w:rFonts w:hint="eastAsia" w:eastAsia="黑体"/>
          <w:bCs/>
          <w:sz w:val="24"/>
        </w:rPr>
        <w:t>1</w:t>
      </w:r>
      <w:r>
        <w:rPr>
          <w:rFonts w:eastAsia="黑体"/>
          <w:bCs/>
          <w:sz w:val="24"/>
        </w:rPr>
        <w:t>立项阶段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，</w:t>
      </w:r>
      <w:r>
        <w:rPr>
          <w:rFonts w:hint="eastAsia"/>
          <w:sz w:val="24"/>
        </w:rPr>
        <w:t>湖南长远锂科新能源材料有限公司向</w:t>
      </w:r>
      <w:r>
        <w:rPr>
          <w:sz w:val="24"/>
        </w:rPr>
        <w:t>全国</w:t>
      </w:r>
      <w:r>
        <w:rPr>
          <w:rFonts w:hint="eastAsia"/>
          <w:sz w:val="24"/>
        </w:rPr>
        <w:t>有色</w:t>
      </w:r>
      <w:r>
        <w:rPr>
          <w:sz w:val="24"/>
        </w:rPr>
        <w:t>金属标准化技术委员会粉末冶金分会（</w:t>
      </w:r>
      <w:r>
        <w:rPr>
          <w:rFonts w:hint="eastAsia"/>
          <w:sz w:val="24"/>
        </w:rPr>
        <w:t>SAC/TC243/SC</w:t>
      </w:r>
      <w:r>
        <w:rPr>
          <w:sz w:val="24"/>
        </w:rPr>
        <w:t>4）</w:t>
      </w:r>
      <w:r>
        <w:rPr>
          <w:rFonts w:hint="eastAsia"/>
          <w:sz w:val="24"/>
        </w:rPr>
        <w:t>提交</w:t>
      </w:r>
      <w:r>
        <w:rPr>
          <w:rFonts w:hint="eastAsia"/>
          <w:sz w:val="24"/>
          <w:lang w:eastAsia="zh-CN"/>
        </w:rPr>
        <w:t>行业标准</w:t>
      </w:r>
      <w:r>
        <w:rPr>
          <w:rFonts w:hint="eastAsia"/>
          <w:sz w:val="24"/>
        </w:rPr>
        <w:t>《富锂</w:t>
      </w:r>
      <w:r>
        <w:rPr>
          <w:rFonts w:hint="eastAsia"/>
          <w:sz w:val="24"/>
          <w:lang w:val="en-US" w:eastAsia="zh-CN"/>
        </w:rPr>
        <w:t>镍</w:t>
      </w:r>
      <w:r>
        <w:rPr>
          <w:rFonts w:hint="eastAsia"/>
          <w:sz w:val="24"/>
        </w:rPr>
        <w:t>酸锂》项目</w:t>
      </w:r>
      <w:r>
        <w:rPr>
          <w:sz w:val="24"/>
        </w:rPr>
        <w:t>建议书。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1.3.2</w:t>
      </w:r>
      <w:r>
        <w:rPr>
          <w:rFonts w:hint="eastAsia" w:eastAsia="黑体"/>
          <w:bCs/>
          <w:sz w:val="24"/>
        </w:rPr>
        <w:t>起草</w:t>
      </w:r>
      <w:r>
        <w:rPr>
          <w:rFonts w:eastAsia="黑体"/>
          <w:bCs/>
          <w:sz w:val="24"/>
        </w:rPr>
        <w:t>阶段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月至202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，湖南长远锂科新能源材料有限公司、金驰能源材料有限公司、广东邦普循环科技有限公司、天津国安盟固利新材料科技股份有限公司、北京当升材料科技股份有限公司、华友新能源科技（衢州）有限公司、中伟新材料股份有限公司、格林美股份有限公司、厦门厦钨新能源材料股份有限公司、宁波容百新能源科技股份有限公司、深圳市德方创域新能源科技有限公司、淮安锦锂新材料有限公司等单位，接到《</w:t>
      </w:r>
      <w:r>
        <w:rPr>
          <w:rFonts w:hint="eastAsia"/>
          <w:sz w:val="24"/>
          <w:lang w:eastAsia="zh-CN"/>
        </w:rPr>
        <w:t>富锂镍酸锂</w:t>
      </w:r>
      <w:r>
        <w:rPr>
          <w:rFonts w:hint="eastAsia"/>
          <w:sz w:val="24"/>
        </w:rPr>
        <w:t>》起草编制工作任务后，成立了标准编制工作组，展开了标准讨论稿和编制说明的工作分配及实施工作计划等事项。本文件在起草过程中，</w:t>
      </w:r>
      <w:r>
        <w:rPr>
          <w:sz w:val="24"/>
        </w:rPr>
        <w:t>标准编制工作组成员查阅了大量的国内外相关文献资料，收集、整理、对比分析了相关企业的技术资料，结合目前国内外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的生产和用户需求情况，形成了标准草案。本标准草案完成后，在</w:t>
      </w:r>
      <w:r>
        <w:rPr>
          <w:rFonts w:hint="eastAsia"/>
          <w:sz w:val="24"/>
        </w:rPr>
        <w:t>标准</w:t>
      </w:r>
      <w:r>
        <w:rPr>
          <w:sz w:val="24"/>
        </w:rPr>
        <w:t>编制</w:t>
      </w:r>
      <w:r>
        <w:rPr>
          <w:rFonts w:hint="eastAsia"/>
          <w:sz w:val="24"/>
        </w:rPr>
        <w:t>工作</w:t>
      </w:r>
      <w:r>
        <w:rPr>
          <w:sz w:val="24"/>
        </w:rPr>
        <w:t>组进行了多次交流，对本标准进行了认真的修改和完善，最后形成了该标准的讨论稿</w:t>
      </w:r>
      <w:r>
        <w:rPr>
          <w:rFonts w:hint="eastAsia"/>
          <w:sz w:val="24"/>
        </w:rPr>
        <w:t>和编制说明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月，为了确保制定的标准符合市场要求，对</w:t>
      </w:r>
      <w:r>
        <w:rPr>
          <w:rFonts w:hint="eastAsia"/>
          <w:sz w:val="24"/>
        </w:rPr>
        <w:t>广东邦普循环科技有限公司、天津国安盟固利新材料科技股份有限公司、北京当升材料科技股份有限公司、华友新能源科技（衢州）有限公司、中伟新材料股份有限公司、格林美股份有限公司、厦门厦钨新能源材料股份有限公司、宁波容百新能源科技股份有限公司、深圳市德方创域新能源科技有限公司、淮安锦锂新材料有限公司</w:t>
      </w:r>
      <w:r>
        <w:rPr>
          <w:sz w:val="24"/>
        </w:rPr>
        <w:t>等单位</w:t>
      </w:r>
      <w:r>
        <w:rPr>
          <w:rFonts w:hint="eastAsia"/>
          <w:sz w:val="24"/>
        </w:rPr>
        <w:t>以</w:t>
      </w:r>
      <w:r>
        <w:rPr>
          <w:sz w:val="24"/>
        </w:rPr>
        <w:t>函件的形式进行了调研。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2023年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至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，</w:t>
      </w:r>
      <w:r>
        <w:rPr>
          <w:rFonts w:hint="eastAsia"/>
          <w:sz w:val="24"/>
        </w:rPr>
        <w:t>标准编制</w:t>
      </w:r>
      <w:r>
        <w:rPr>
          <w:sz w:val="24"/>
        </w:rPr>
        <w:t>工作组对产品的各项指标的调研数据进行汇总，结合产品特性，</w:t>
      </w:r>
      <w:r>
        <w:rPr>
          <w:rFonts w:hint="eastAsia"/>
          <w:sz w:val="24"/>
        </w:rPr>
        <w:t>确定了</w:t>
      </w:r>
      <w:r>
        <w:rPr>
          <w:sz w:val="24"/>
        </w:rPr>
        <w:t>各项产品指标</w:t>
      </w:r>
      <w:r>
        <w:rPr>
          <w:rFonts w:hint="eastAsia"/>
          <w:sz w:val="24"/>
        </w:rPr>
        <w:t>的</w:t>
      </w:r>
      <w:r>
        <w:rPr>
          <w:sz w:val="24"/>
        </w:rPr>
        <w:t>要求</w:t>
      </w:r>
      <w:r>
        <w:rPr>
          <w:rFonts w:hint="eastAsia"/>
          <w:sz w:val="24"/>
        </w:rPr>
        <w:t>，</w:t>
      </w:r>
      <w:r>
        <w:rPr>
          <w:sz w:val="24"/>
        </w:rPr>
        <w:t>形成标准</w:t>
      </w:r>
      <w:r>
        <w:rPr>
          <w:rFonts w:hint="eastAsia"/>
          <w:sz w:val="24"/>
        </w:rPr>
        <w:t>的征求</w:t>
      </w:r>
      <w:r>
        <w:rPr>
          <w:sz w:val="24"/>
        </w:rPr>
        <w:t>意见稿</w:t>
      </w:r>
      <w:r>
        <w:rPr>
          <w:rFonts w:hint="eastAsia"/>
          <w:sz w:val="24"/>
        </w:rPr>
        <w:t>及</w:t>
      </w:r>
      <w:r>
        <w:rPr>
          <w:sz w:val="24"/>
        </w:rPr>
        <w:t>编制说明。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1.3.3</w:t>
      </w:r>
      <w:r>
        <w:rPr>
          <w:rFonts w:hint="eastAsia" w:eastAsia="黑体"/>
          <w:bCs/>
          <w:sz w:val="24"/>
        </w:rPr>
        <w:t>征求</w:t>
      </w:r>
      <w:r>
        <w:rPr>
          <w:rFonts w:eastAsia="黑体"/>
          <w:bCs/>
          <w:sz w:val="24"/>
        </w:rPr>
        <w:t>意见阶段</w:t>
      </w:r>
    </w:p>
    <w:p>
      <w:pPr>
        <w:spacing w:line="360" w:lineRule="auto"/>
        <w:ind w:firstLine="420" w:firstLineChars="200"/>
        <w:rPr>
          <w:sz w:val="24"/>
        </w:rPr>
      </w:pPr>
      <w:r>
        <w:t xml:space="preserve"> 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日，全国有色金属标准化技术委员会</w:t>
      </w:r>
      <w:r>
        <w:rPr>
          <w:rFonts w:hint="eastAsia"/>
          <w:sz w:val="24"/>
          <w:lang w:val="en-US" w:eastAsia="zh-CN"/>
        </w:rPr>
        <w:t>将</w:t>
      </w:r>
      <w:r>
        <w:rPr>
          <w:rFonts w:hint="eastAsia"/>
          <w:sz w:val="24"/>
        </w:rPr>
        <w:t>在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省</w:t>
      </w:r>
      <w:r>
        <w:rPr>
          <w:rFonts w:hint="eastAsia"/>
          <w:sz w:val="24"/>
          <w:lang w:val="en-US" w:eastAsia="zh-CN"/>
        </w:rPr>
        <w:t>南京</w:t>
      </w:r>
      <w:r>
        <w:rPr>
          <w:rFonts w:hint="eastAsia"/>
          <w:sz w:val="24"/>
        </w:rPr>
        <w:t>市组织召开了有色标准工作会议，会议对《</w:t>
      </w:r>
      <w:r>
        <w:rPr>
          <w:rFonts w:hint="eastAsia"/>
          <w:sz w:val="24"/>
          <w:lang w:eastAsia="zh-CN"/>
        </w:rPr>
        <w:t>富锂镍酸锂</w:t>
      </w:r>
      <w:r>
        <w:rPr>
          <w:rFonts w:hint="eastAsia"/>
          <w:sz w:val="24"/>
        </w:rPr>
        <w:t>》进行了讨论。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1.3.4</w:t>
      </w:r>
      <w:r>
        <w:rPr>
          <w:rFonts w:hint="eastAsia" w:eastAsia="黑体"/>
          <w:bCs/>
          <w:sz w:val="24"/>
        </w:rPr>
        <w:t>审查</w:t>
      </w:r>
      <w:r>
        <w:rPr>
          <w:rFonts w:eastAsia="黑体"/>
          <w:bCs/>
          <w:sz w:val="24"/>
        </w:rPr>
        <w:t>阶段</w:t>
      </w:r>
    </w:p>
    <w:p>
      <w:r>
        <w:t>…..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1.3.5</w:t>
      </w:r>
      <w:r>
        <w:rPr>
          <w:rFonts w:hint="eastAsia" w:eastAsia="黑体"/>
          <w:bCs/>
          <w:sz w:val="24"/>
        </w:rPr>
        <w:t>报批</w:t>
      </w:r>
      <w:r>
        <w:rPr>
          <w:rFonts w:eastAsia="黑体"/>
          <w:bCs/>
          <w:sz w:val="24"/>
        </w:rPr>
        <w:t>阶段</w:t>
      </w:r>
    </w:p>
    <w:p>
      <w:r>
        <w:t>……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二、 编制原则、主要内容及其确定依据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2.1</w:t>
      </w:r>
      <w:r>
        <w:rPr>
          <w:rFonts w:eastAsia="黑体"/>
          <w:bCs/>
          <w:sz w:val="24"/>
        </w:rPr>
        <w:t xml:space="preserve"> </w:t>
      </w:r>
      <w:r>
        <w:rPr>
          <w:rFonts w:hint="eastAsia" w:eastAsia="黑体"/>
          <w:bCs/>
          <w:sz w:val="24"/>
        </w:rPr>
        <w:t>编制原则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、本标准按照GB/T 1.1—2020的要求编写。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2、遵循科学性、先进性、统一性，以与实际相结合为原则，提高标准的可操作性。满足国内锂离子</w:t>
      </w:r>
      <w:r>
        <w:rPr>
          <w:sz w:val="24"/>
        </w:rPr>
        <w:t>电池正极</w:t>
      </w:r>
      <w:r>
        <w:rPr>
          <w:rFonts w:hint="eastAsia"/>
          <w:sz w:val="24"/>
        </w:rPr>
        <w:t>补锂添加剂</w:t>
      </w:r>
      <w:r>
        <w:rPr>
          <w:sz w:val="24"/>
        </w:rPr>
        <w:t>材料</w:t>
      </w:r>
      <w:r>
        <w:rPr>
          <w:rFonts w:hint="eastAsia"/>
          <w:sz w:val="24"/>
        </w:rPr>
        <w:t>的研究</w:t>
      </w:r>
      <w:r>
        <w:rPr>
          <w:sz w:val="24"/>
        </w:rPr>
        <w:t>、</w:t>
      </w:r>
      <w:r>
        <w:rPr>
          <w:rFonts w:hint="eastAsia"/>
          <w:sz w:val="24"/>
        </w:rPr>
        <w:t>生产和使用的需要为原则，提高标准的适用性。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、对</w:t>
      </w:r>
      <w:r>
        <w:rPr>
          <w:sz w:val="24"/>
        </w:rPr>
        <w:t>产品</w:t>
      </w:r>
      <w:r>
        <w:rPr>
          <w:rFonts w:hint="eastAsia"/>
          <w:sz w:val="24"/>
        </w:rPr>
        <w:t>的</w:t>
      </w:r>
      <w:r>
        <w:rPr>
          <w:sz w:val="24"/>
        </w:rPr>
        <w:t>化学</w:t>
      </w:r>
      <w:r>
        <w:rPr>
          <w:rFonts w:hint="eastAsia"/>
          <w:sz w:val="24"/>
        </w:rPr>
        <w:t>成分</w:t>
      </w:r>
      <w:r>
        <w:rPr>
          <w:sz w:val="24"/>
        </w:rPr>
        <w:t>、水分</w:t>
      </w:r>
      <w:r>
        <w:rPr>
          <w:rFonts w:hint="eastAsia"/>
          <w:sz w:val="24"/>
        </w:rPr>
        <w:t>、外观、物理等指标进行</w:t>
      </w:r>
      <w:r>
        <w:rPr>
          <w:sz w:val="24"/>
        </w:rPr>
        <w:t>了</w:t>
      </w:r>
      <w:r>
        <w:rPr>
          <w:rFonts w:hint="eastAsia"/>
          <w:sz w:val="24"/>
        </w:rPr>
        <w:t>规定</w:t>
      </w:r>
      <w:r>
        <w:rPr>
          <w:sz w:val="24"/>
        </w:rPr>
        <w:t>，保证了产品的质量。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4、对</w:t>
      </w:r>
      <w:r>
        <w:rPr>
          <w:sz w:val="24"/>
        </w:rPr>
        <w:t>产品</w:t>
      </w:r>
      <w:r>
        <w:rPr>
          <w:rFonts w:hint="eastAsia"/>
          <w:sz w:val="24"/>
        </w:rPr>
        <w:t>首次</w:t>
      </w:r>
      <w:r>
        <w:rPr>
          <w:sz w:val="24"/>
        </w:rPr>
        <w:t>充放电比容量</w:t>
      </w:r>
      <w:r>
        <w:rPr>
          <w:rFonts w:hint="eastAsia"/>
          <w:sz w:val="24"/>
        </w:rPr>
        <w:t>和首次放电比容量</w:t>
      </w:r>
      <w:r>
        <w:rPr>
          <w:sz w:val="24"/>
        </w:rPr>
        <w:t>进行了规定，保证了产品</w:t>
      </w:r>
      <w:r>
        <w:rPr>
          <w:rFonts w:hint="eastAsia"/>
          <w:sz w:val="24"/>
        </w:rPr>
        <w:t>的适</w:t>
      </w:r>
      <w:r>
        <w:rPr>
          <w:sz w:val="24"/>
        </w:rPr>
        <w:t>用性。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5、规定</w:t>
      </w:r>
      <w:r>
        <w:rPr>
          <w:sz w:val="24"/>
        </w:rPr>
        <w:t>了产品的试验方法</w:t>
      </w:r>
      <w:r>
        <w:rPr>
          <w:rFonts w:hint="eastAsia"/>
          <w:sz w:val="24"/>
        </w:rPr>
        <w:t>、</w:t>
      </w:r>
      <w:r>
        <w:rPr>
          <w:sz w:val="24"/>
        </w:rPr>
        <w:t>检验规则，</w:t>
      </w:r>
      <w:r>
        <w:rPr>
          <w:rFonts w:hint="eastAsia"/>
          <w:sz w:val="24"/>
        </w:rPr>
        <w:t>避免</w:t>
      </w:r>
      <w:r>
        <w:rPr>
          <w:sz w:val="24"/>
        </w:rPr>
        <w:t>了供需双方的冲突，促进了</w:t>
      </w:r>
      <w:r>
        <w:rPr>
          <w:rFonts w:hint="eastAsia"/>
          <w:sz w:val="24"/>
        </w:rPr>
        <w:t>本</w:t>
      </w:r>
      <w:r>
        <w:rPr>
          <w:sz w:val="24"/>
        </w:rPr>
        <w:t>行业健康发展</w:t>
      </w:r>
      <w:r>
        <w:rPr>
          <w:rFonts w:hint="eastAsia"/>
          <w:sz w:val="24"/>
        </w:rPr>
        <w:t>。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.2</w:t>
      </w:r>
      <w:r>
        <w:rPr>
          <w:rFonts w:hint="eastAsia" w:eastAsia="黑体"/>
          <w:bCs/>
          <w:sz w:val="24"/>
        </w:rPr>
        <w:t>主要内容及其确定依据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2.2</w:t>
      </w:r>
      <w:r>
        <w:rPr>
          <w:rFonts w:eastAsia="黑体"/>
          <w:bCs/>
          <w:sz w:val="24"/>
        </w:rPr>
        <w:t>.1 范围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本文件规定了富锂镍酸锂的术语和定义、产品分类、技术要求、试验方法、检验规则、标志、包装、运输、贮存、随行文件及订货单内容。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本文件适用于锂离子电池用正极补锂添加材料富锂镍酸锂。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2.2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3</w:t>
      </w:r>
      <w:r>
        <w:rPr>
          <w:rFonts w:eastAsia="黑体"/>
          <w:bCs/>
          <w:sz w:val="24"/>
        </w:rPr>
        <w:t xml:space="preserve"> 主要技术指标及确定依据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 xml:space="preserve">.1 </w:t>
      </w:r>
      <w:r>
        <w:rPr>
          <w:rFonts w:hint="eastAsia" w:eastAsia="黑体"/>
          <w:bCs/>
          <w:sz w:val="24"/>
        </w:rPr>
        <w:t>化学</w:t>
      </w:r>
      <w:r>
        <w:rPr>
          <w:rFonts w:eastAsia="黑体"/>
          <w:bCs/>
          <w:sz w:val="24"/>
        </w:rPr>
        <w:t>成分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bookmarkStart w:id="0" w:name="_Hlk37167104"/>
      <w:r>
        <w:rPr>
          <w:sz w:val="24"/>
        </w:rPr>
        <w:t>表2为行业内</w:t>
      </w:r>
      <w:r>
        <w:rPr>
          <w:rFonts w:hint="eastAsia"/>
          <w:sz w:val="24"/>
        </w:rPr>
        <w:t>富锂</w:t>
      </w:r>
      <w:r>
        <w:rPr>
          <w:rFonts w:hint="eastAsia"/>
          <w:sz w:val="24"/>
          <w:lang w:val="en-US" w:eastAsia="zh-CN"/>
        </w:rPr>
        <w:t>镍</w:t>
      </w:r>
      <w:r>
        <w:rPr>
          <w:rFonts w:hint="eastAsia"/>
          <w:sz w:val="24"/>
        </w:rPr>
        <w:t>酸锂</w:t>
      </w:r>
      <w:r>
        <w:rPr>
          <w:sz w:val="24"/>
        </w:rPr>
        <w:t>的研究、生产和使用的主要企业对主含量金属元素的调研情况。</w:t>
      </w:r>
      <w:bookmarkEnd w:id="0"/>
      <w:r>
        <w:rPr>
          <w:sz w:val="24"/>
        </w:rPr>
        <w:t>由表2可知，</w:t>
      </w:r>
      <w:r>
        <w:rPr>
          <w:rFonts w:hint="eastAsia"/>
          <w:sz w:val="24"/>
        </w:rPr>
        <w:t>富锂</w:t>
      </w:r>
      <w:r>
        <w:rPr>
          <w:rFonts w:hint="eastAsia"/>
          <w:sz w:val="24"/>
          <w:lang w:val="en-US" w:eastAsia="zh-CN"/>
        </w:rPr>
        <w:t>镍</w:t>
      </w:r>
      <w:r>
        <w:rPr>
          <w:rFonts w:hint="eastAsia"/>
          <w:sz w:val="24"/>
        </w:rPr>
        <w:t>酸锂</w:t>
      </w:r>
      <w:r>
        <w:rPr>
          <w:sz w:val="24"/>
        </w:rPr>
        <w:t>中主含量金属元素</w:t>
      </w:r>
      <w:r>
        <w:rPr>
          <w:rFonts w:hint="eastAsia"/>
          <w:sz w:val="24"/>
          <w:lang w:val="en-US" w:eastAsia="zh-CN"/>
        </w:rPr>
        <w:t>镍</w:t>
      </w:r>
      <w:r>
        <w:rPr>
          <w:sz w:val="24"/>
        </w:rPr>
        <w:t>、锂的含量高低不同，产品中除主元素</w:t>
      </w:r>
      <w:r>
        <w:rPr>
          <w:rFonts w:hint="eastAsia"/>
          <w:sz w:val="24"/>
        </w:rPr>
        <w:t>铁</w:t>
      </w:r>
      <w:r>
        <w:rPr>
          <w:sz w:val="24"/>
        </w:rPr>
        <w:t>和</w:t>
      </w:r>
      <w:r>
        <w:rPr>
          <w:rFonts w:hint="eastAsia"/>
          <w:sz w:val="24"/>
        </w:rPr>
        <w:t>锂</w:t>
      </w:r>
      <w:r>
        <w:rPr>
          <w:sz w:val="24"/>
        </w:rPr>
        <w:t>总含量存在较大差异外，还会引入</w:t>
      </w:r>
      <w:bookmarkStart w:id="1" w:name="_Hlk36377788"/>
      <w:r>
        <w:rPr>
          <w:sz w:val="24"/>
        </w:rPr>
        <w:t>钠、钙、锌、铜、铬</w:t>
      </w:r>
      <w:bookmarkEnd w:id="1"/>
      <w:r>
        <w:rPr>
          <w:rFonts w:hint="eastAsia"/>
          <w:sz w:val="24"/>
        </w:rPr>
        <w:t>、钾</w:t>
      </w:r>
      <w:r>
        <w:rPr>
          <w:sz w:val="24"/>
        </w:rPr>
        <w:t>等杂质元素</w:t>
      </w:r>
      <w:r>
        <w:rPr>
          <w:rFonts w:hint="eastAsia"/>
          <w:sz w:val="24"/>
        </w:rPr>
        <w:t>。</w:t>
      </w:r>
      <w:r>
        <w:rPr>
          <w:sz w:val="24"/>
        </w:rPr>
        <w:t>表3为</w:t>
      </w:r>
      <w:r>
        <w:rPr>
          <w:rFonts w:hint="eastAsia"/>
          <w:sz w:val="24"/>
        </w:rPr>
        <w:t>主要企业</w:t>
      </w:r>
      <w:r>
        <w:rPr>
          <w:sz w:val="24"/>
        </w:rPr>
        <w:t>对杂质元素的调研情况。</w:t>
      </w:r>
      <w:r>
        <w:rPr>
          <w:rFonts w:hint="eastAsia"/>
          <w:sz w:val="24"/>
        </w:rPr>
        <w:t>产品的化学成分应符合表4的规定。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 w:eastAsia="宋体"/>
          <w:b/>
          <w:bCs/>
          <w:sz w:val="24"/>
          <w:lang w:val="en-US" w:eastAsia="zh-CN"/>
        </w:rPr>
      </w:pPr>
      <w:r>
        <w:rPr>
          <w:b/>
          <w:bCs/>
          <w:sz w:val="24"/>
        </w:rPr>
        <w:t xml:space="preserve">表2 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主要元素成分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693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主元素</w:t>
            </w:r>
          </w:p>
        </w:tc>
        <w:tc>
          <w:tcPr>
            <w:tcW w:w="56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质量百分数（%）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调研单位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58.73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54.0-58.0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11.0-13.0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53.0-57.0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12.0-14.0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55.79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55.0-57.0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11.5-14.0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55.0-57.0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11.5-14.0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55.0-57.0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11.5-14.0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E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56.3±3.5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13.2±2.1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F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55~57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12~14</w:t>
            </w:r>
          </w:p>
        </w:tc>
      </w:tr>
    </w:tbl>
    <w:p>
      <w:pPr>
        <w:spacing w:before="156" w:beforeLines="50" w:line="360" w:lineRule="auto"/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 xml:space="preserve">表3 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产品中杂质元素成分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80"/>
        <w:gridCol w:w="1200"/>
        <w:gridCol w:w="1284"/>
        <w:gridCol w:w="1188"/>
        <w:gridCol w:w="1188"/>
        <w:gridCol w:w="1164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杂质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元素</w:t>
            </w:r>
          </w:p>
        </w:tc>
        <w:tc>
          <w:tcPr>
            <w:tcW w:w="714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质量百分数（%）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调研单位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0.000874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0.053860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0.000597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0.002418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0.000000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E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Style w:val="21"/>
                <w:lang w:val="en-US" w:eastAsia="zh-CN" w:bidi="ar"/>
              </w:rPr>
              <w:t>0.01%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Style w:val="22"/>
                <w:lang w:val="en-US" w:eastAsia="zh-CN" w:bidi="ar"/>
              </w:rPr>
              <w:t>0.01%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Style w:val="22"/>
                <w:lang w:val="en-US" w:eastAsia="zh-CN" w:bidi="ar"/>
              </w:rPr>
              <w:t>0.01%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Style w:val="21"/>
                <w:lang w:val="en-US" w:eastAsia="zh-CN" w:bidi="ar"/>
              </w:rPr>
              <w:t>0.05%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Style w:val="21"/>
                <w:lang w:val="en-US" w:eastAsia="zh-CN" w:bidi="ar"/>
              </w:rPr>
              <w:t>0.03%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Style w:val="21"/>
                <w:lang w:val="en-US" w:eastAsia="zh-CN" w:bidi="ar"/>
              </w:rPr>
              <w:t>0.005%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F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≤0.05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≤0.03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≤0.03</w:t>
            </w:r>
          </w:p>
        </w:tc>
      </w:tr>
    </w:tbl>
    <w:p>
      <w:pPr>
        <w:spacing w:before="156" w:beforeLines="50" w:line="360" w:lineRule="auto"/>
        <w:jc w:val="center"/>
        <w:rPr>
          <w:rFonts w:hint="eastAsia"/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产品的化学成分</w:t>
      </w:r>
    </w:p>
    <w:tbl>
      <w:tblPr>
        <w:tblStyle w:val="7"/>
        <w:tblpPr w:leftFromText="180" w:rightFromText="180" w:vertAnchor="text" w:horzAnchor="page" w:tblpX="1682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43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972" w:type="dxa"/>
            <w:gridSpan w:val="2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化学成分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18"/>
                <w:sz w:val="21"/>
                <w:szCs w:val="21"/>
                <w:lang w:val="en-US" w:eastAsia="zh-CN"/>
              </w:rPr>
              <w:t>质量分数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8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542" w:type="dxa"/>
            <w:vMerge w:val="restart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元素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Ni 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53.0</w:t>
            </w:r>
            <w:r>
              <w:rPr>
                <w:rFonts w:ascii="Times New Roman" w:hAnsi="Times New Roman"/>
                <w:sz w:val="21"/>
                <w:szCs w:val="21"/>
              </w:rPr>
              <w:t>~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42" w:type="dxa"/>
            <w:vMerge w:val="continue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Li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11.0</w:t>
            </w:r>
            <w:r>
              <w:rPr>
                <w:rFonts w:ascii="Times New Roman" w:hAnsi="Times New Roman"/>
                <w:sz w:val="21"/>
                <w:szCs w:val="21"/>
              </w:rPr>
              <w:t>~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42" w:type="dxa"/>
            <w:vMerge w:val="restart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杂质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元素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Pb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42" w:type="dxa"/>
            <w:vMerge w:val="continue"/>
            <w:noWrap w:val="0"/>
            <w:vAlign w:val="top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42" w:type="dxa"/>
            <w:vMerge w:val="continue"/>
            <w:noWrap w:val="0"/>
            <w:vAlign w:val="top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42" w:type="dxa"/>
            <w:vMerge w:val="continue"/>
            <w:noWrap w:val="0"/>
            <w:vAlign w:val="top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2" w:type="dxa"/>
            <w:vMerge w:val="continue"/>
            <w:noWrap w:val="0"/>
            <w:vAlign w:val="top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42" w:type="dxa"/>
            <w:vMerge w:val="continue"/>
            <w:noWrap w:val="0"/>
            <w:vAlign w:val="top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2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注： 掺杂和包覆的元素包括但不限于镁、钛、铝、钴、镍、锰、硅、硼等中的一种或几种，掺杂和包覆的元素含量由供需双方协商确定。</w:t>
            </w:r>
          </w:p>
        </w:tc>
      </w:tr>
    </w:tbl>
    <w:p>
      <w:pPr>
        <w:spacing w:line="360" w:lineRule="auto"/>
        <w:jc w:val="both"/>
        <w:rPr>
          <w:b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 xml:space="preserve">.2 </w:t>
      </w:r>
      <w:r>
        <w:rPr>
          <w:rFonts w:hint="eastAsia" w:eastAsia="黑体"/>
          <w:bCs/>
          <w:sz w:val="24"/>
        </w:rPr>
        <w:t>晶体结构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产品的</w:t>
      </w:r>
      <w:r>
        <w:rPr>
          <w:rFonts w:hint="eastAsia"/>
          <w:sz w:val="24"/>
        </w:rPr>
        <w:t>晶体结构应符合</w:t>
      </w:r>
      <w:r>
        <w:rPr>
          <w:sz w:val="24"/>
        </w:rPr>
        <w:t>JCPDS</w:t>
      </w:r>
      <w:r>
        <w:rPr>
          <w:rFonts w:hint="eastAsia"/>
          <w:sz w:val="24"/>
        </w:rPr>
        <w:t>标准（</w:t>
      </w:r>
      <w:r>
        <w:rPr>
          <w:sz w:val="24"/>
        </w:rPr>
        <w:t>24-0623</w:t>
      </w:r>
      <w:r>
        <w:rPr>
          <w:rFonts w:hint="eastAsia"/>
          <w:sz w:val="24"/>
        </w:rPr>
        <w:t>）。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2.2.3.3</w:t>
      </w:r>
      <w:r>
        <w:rPr>
          <w:rFonts w:eastAsia="黑体"/>
          <w:bCs/>
          <w:sz w:val="24"/>
        </w:rPr>
        <w:t>水分含量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bookmarkStart w:id="2" w:name="_Hlk36383123"/>
      <w:r>
        <w:rPr>
          <w:rFonts w:hint="eastAsia"/>
          <w:sz w:val="24"/>
        </w:rPr>
        <w:t>产品的水分含量应不大于0.1 %。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</w:t>
      </w:r>
      <w:r>
        <w:rPr>
          <w:sz w:val="24"/>
        </w:rPr>
        <w:t>材料水分超标，会引起浆料团聚，极片涂覆性能差，极片掉粉等问题，多余的水分带入电池中，会和电解液反应产生氢氟酸，腐蚀电池引发安全问题，所以应严格控制产品水分含量。</w:t>
      </w:r>
      <w:r>
        <w:rPr>
          <w:rFonts w:hint="eastAsia"/>
          <w:sz w:val="24"/>
        </w:rPr>
        <w:t>行业内各家企业的水分指标调研数据如表5所示，</w:t>
      </w:r>
      <w:r>
        <w:rPr>
          <w:sz w:val="24"/>
        </w:rPr>
        <w:t>考虑生产企业生产产品水分含量和使用企业水分要求，结合</w:t>
      </w:r>
      <w:r>
        <w:rPr>
          <w:rFonts w:hint="eastAsia"/>
          <w:sz w:val="24"/>
        </w:rPr>
        <w:t>表5</w:t>
      </w:r>
      <w:r>
        <w:rPr>
          <w:sz w:val="24"/>
        </w:rPr>
        <w:t>调研</w:t>
      </w:r>
      <w:r>
        <w:rPr>
          <w:rFonts w:hint="eastAsia"/>
          <w:sz w:val="24"/>
        </w:rPr>
        <w:t>数据情况，选取最大值0.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%作为本文件的控制指标</w:t>
      </w:r>
      <w:r>
        <w:rPr>
          <w:sz w:val="24"/>
        </w:rPr>
        <w:t>。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</w:t>
      </w:r>
      <w:r>
        <w:rPr>
          <w:rFonts w:hint="eastAsia"/>
          <w:b/>
          <w:bCs/>
          <w:sz w:val="24"/>
        </w:rPr>
        <w:t>水分</w:t>
      </w:r>
      <w:r>
        <w:rPr>
          <w:b/>
          <w:bCs/>
          <w:sz w:val="24"/>
        </w:rPr>
        <w:t>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6"/>
        <w:gridCol w:w="1011"/>
        <w:gridCol w:w="906"/>
        <w:gridCol w:w="894"/>
        <w:gridCol w:w="960"/>
        <w:gridCol w:w="11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水分含量/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bookmarkEnd w:id="2"/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4耐湿性</w:t>
      </w:r>
      <w:bookmarkStart w:id="3" w:name="_GoBack"/>
      <w:bookmarkEnd w:id="3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产品在温度25 ℃，相对湿度30%±2%条件下，放置20 min的吸湿速率应不大于5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g/（g·s）。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Cs/>
          <w:sz w:val="24"/>
        </w:rPr>
        <w:t>【条文说明】材料的耐湿性会影响：电极材料存储和加工的环境要求、电池加工过程的稳定性、电池服役的安全性。耐湿性好的材料，其存储和加工环境对湿度的要求比较低，可以降低成本。耐湿性差的材料，其在匀浆涂布过程中，容易吸水导致浆料凝胶，影响电池加工过程的稳定性，且容易导致电池胀气、鼓包甚至爆炸等安全问题。目前行业内对该指标普遍有质量控制要求，</w:t>
      </w:r>
      <w:r>
        <w:rPr>
          <w:sz w:val="24"/>
        </w:rPr>
        <w:t>考虑使用企业</w:t>
      </w:r>
      <w:r>
        <w:rPr>
          <w:rFonts w:hint="eastAsia"/>
          <w:sz w:val="24"/>
        </w:rPr>
        <w:t>对产品耐湿性的</w:t>
      </w:r>
      <w:r>
        <w:rPr>
          <w:sz w:val="24"/>
        </w:rPr>
        <w:t>要求</w:t>
      </w:r>
      <w:r>
        <w:rPr>
          <w:rFonts w:hint="eastAsia"/>
          <w:sz w:val="24"/>
        </w:rPr>
        <w:t>，规定产品在温度25 ℃，相对湿度30%±2%条件下，放置20 min的吸湿速率应不大于5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g/（g·s）。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5外观质量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产品的外观质量应颜色均一，无结块，无夹杂物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产品的主要元素是</w:t>
      </w:r>
      <w:r>
        <w:rPr>
          <w:rFonts w:hint="eastAsia"/>
          <w:sz w:val="24"/>
          <w:lang w:val="en-US" w:eastAsia="zh-CN"/>
        </w:rPr>
        <w:t>Ni</w:t>
      </w:r>
      <w:r>
        <w:rPr>
          <w:sz w:val="24"/>
        </w:rPr>
        <w:t>、Li，随着主含量的配比不同</w:t>
      </w:r>
      <w:r>
        <w:rPr>
          <w:rFonts w:hint="eastAsia"/>
          <w:sz w:val="24"/>
        </w:rPr>
        <w:t>，</w:t>
      </w:r>
      <w:r>
        <w:rPr>
          <w:sz w:val="24"/>
        </w:rPr>
        <w:t>颜色存在轻微差异。</w:t>
      </w:r>
      <w:r>
        <w:rPr>
          <w:rFonts w:hint="eastAsia"/>
          <w:sz w:val="24"/>
        </w:rPr>
        <w:t>行业内各家企业的外观质量调研数据如表6所示，</w:t>
      </w:r>
      <w:r>
        <w:rPr>
          <w:sz w:val="24"/>
        </w:rPr>
        <w:t>目前</w:t>
      </w:r>
      <w:r>
        <w:rPr>
          <w:rFonts w:hint="eastAsia"/>
          <w:sz w:val="24"/>
        </w:rPr>
        <w:t>大部分企业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产品的颜色为</w:t>
      </w:r>
      <w:r>
        <w:rPr>
          <w:rFonts w:hint="eastAsia"/>
          <w:sz w:val="24"/>
          <w:lang w:val="en-US" w:eastAsia="zh-CN"/>
        </w:rPr>
        <w:t>绿</w:t>
      </w:r>
      <w:r>
        <w:rPr>
          <w:sz w:val="24"/>
        </w:rPr>
        <w:t>色</w:t>
      </w:r>
      <w:r>
        <w:rPr>
          <w:rFonts w:hint="eastAsia"/>
          <w:sz w:val="24"/>
          <w:lang w:val="en-US" w:eastAsia="zh-CN"/>
        </w:rPr>
        <w:t>/黑色</w:t>
      </w:r>
      <w:r>
        <w:rPr>
          <w:sz w:val="24"/>
        </w:rPr>
        <w:t>。</w:t>
      </w:r>
      <w:r>
        <w:rPr>
          <w:rFonts w:hint="eastAsia"/>
          <w:sz w:val="24"/>
        </w:rPr>
        <w:t>根据合成工艺的不同，颜色也存在差异，考虑外观颜色不属于影响其性能的重要指标，故在此不做特殊限定，颜色按供需双方协商来确定。只要求产品的外观质量应颜色均一，无结块，无夹杂物</w:t>
      </w:r>
      <w:r>
        <w:rPr>
          <w:sz w:val="24"/>
        </w:rPr>
        <w:t>。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产品外观质量指标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55"/>
        <w:gridCol w:w="1041"/>
        <w:gridCol w:w="1041"/>
        <w:gridCol w:w="1041"/>
        <w:gridCol w:w="1041"/>
        <w:gridCol w:w="10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外观颜色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绿色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墨绿色/黑色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绿色至墨绿色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黑色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黑色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黑色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6</w:t>
      </w:r>
      <w:r>
        <w:rPr>
          <w:rFonts w:eastAsia="黑体"/>
          <w:bCs/>
          <w:sz w:val="24"/>
        </w:rPr>
        <w:t xml:space="preserve"> </w:t>
      </w:r>
      <w:r>
        <w:rPr>
          <w:rFonts w:hint="eastAsia" w:eastAsia="黑体"/>
          <w:bCs/>
          <w:sz w:val="24"/>
        </w:rPr>
        <w:t>p</w:t>
      </w:r>
      <w:r>
        <w:rPr>
          <w:rFonts w:eastAsia="黑体"/>
          <w:bCs/>
          <w:sz w:val="24"/>
        </w:rPr>
        <w:t>H</w:t>
      </w:r>
      <w:r>
        <w:rPr>
          <w:rFonts w:hint="eastAsia" w:eastAsia="黑体"/>
          <w:bCs/>
          <w:sz w:val="24"/>
        </w:rPr>
        <w:t>值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</w:t>
      </w:r>
      <w:r>
        <w:rPr>
          <w:sz w:val="24"/>
        </w:rPr>
        <w:t>pH</w:t>
      </w:r>
      <w:r>
        <w:rPr>
          <w:rFonts w:hint="eastAsia"/>
          <w:sz w:val="24"/>
        </w:rPr>
        <w:t>值应在</w:t>
      </w:r>
      <w:r>
        <w:rPr>
          <w:sz w:val="24"/>
        </w:rPr>
        <w:t>11~13</w:t>
      </w:r>
      <w:r>
        <w:rPr>
          <w:rFonts w:hint="eastAsia"/>
          <w:sz w:val="24"/>
        </w:rPr>
        <w:t>范围内。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</w:t>
      </w:r>
      <w:r>
        <w:rPr>
          <w:sz w:val="24"/>
        </w:rPr>
        <w:t>pH值反映的是碱量的大小。结合表</w:t>
      </w:r>
      <w:r>
        <w:rPr>
          <w:rFonts w:hint="eastAsia"/>
          <w:sz w:val="24"/>
        </w:rPr>
        <w:t>7</w:t>
      </w:r>
      <w:r>
        <w:rPr>
          <w:sz w:val="24"/>
        </w:rPr>
        <w:t>行业内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的研究、生产和使用的主要企业对pH值</w:t>
      </w:r>
      <w:r>
        <w:rPr>
          <w:rFonts w:hint="eastAsia"/>
          <w:sz w:val="24"/>
        </w:rPr>
        <w:t>的</w:t>
      </w:r>
      <w:r>
        <w:rPr>
          <w:sz w:val="24"/>
        </w:rPr>
        <w:t>要求</w:t>
      </w:r>
      <w:r>
        <w:rPr>
          <w:rFonts w:hint="eastAsia"/>
          <w:sz w:val="24"/>
        </w:rPr>
        <w:t>，其p</w:t>
      </w:r>
      <w:r>
        <w:rPr>
          <w:sz w:val="24"/>
        </w:rPr>
        <w:t>H</w:t>
      </w:r>
      <w:r>
        <w:rPr>
          <w:rFonts w:hint="eastAsia"/>
          <w:sz w:val="24"/>
        </w:rPr>
        <w:t>值应在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~13范围内。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富锂</w:t>
      </w:r>
      <w:r>
        <w:rPr>
          <w:rFonts w:hint="eastAsia"/>
          <w:b/>
          <w:bCs/>
          <w:sz w:val="24"/>
          <w:lang w:val="en-US" w:eastAsia="zh-CN"/>
        </w:rPr>
        <w:t>镍</w:t>
      </w:r>
      <w:r>
        <w:rPr>
          <w:rFonts w:hint="eastAsia"/>
          <w:b/>
          <w:bCs/>
          <w:sz w:val="24"/>
        </w:rPr>
        <w:t>酸锂</w:t>
      </w:r>
      <w:r>
        <w:rPr>
          <w:b/>
          <w:bCs/>
          <w:sz w:val="24"/>
        </w:rPr>
        <w:t>产品pH值指标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710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70"/>
        <w:gridCol w:w="1206"/>
        <w:gridCol w:w="963"/>
        <w:gridCol w:w="820"/>
        <w:gridCol w:w="1087"/>
        <w:gridCol w:w="12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B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D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pH值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</w:rPr>
              <w:t>12.65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11.0-13.0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12.8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≤12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≤13.0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11.0-12.0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7振实密度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产品的振实密度应不小于</w:t>
      </w:r>
      <w:r>
        <w:rPr>
          <w:sz w:val="24"/>
        </w:rPr>
        <w:t>1.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 xml:space="preserve"> g/cm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</w:t>
      </w:r>
      <w:r>
        <w:rPr>
          <w:sz w:val="24"/>
        </w:rPr>
        <w:t>振实密度是衡量活性材料的一个重要指标，因为锂离子电池的体积是有限的，如果振实密度太低，单位体积的活性物质质量</w:t>
      </w:r>
      <w:r>
        <w:rPr>
          <w:rFonts w:hint="eastAsia"/>
          <w:sz w:val="24"/>
        </w:rPr>
        <w:t>偏</w:t>
      </w:r>
      <w:r>
        <w:rPr>
          <w:sz w:val="24"/>
        </w:rPr>
        <w:t>少，</w:t>
      </w:r>
      <w:r>
        <w:rPr>
          <w:rFonts w:hint="eastAsia"/>
          <w:sz w:val="24"/>
        </w:rPr>
        <w:t>使得</w:t>
      </w:r>
      <w:r>
        <w:rPr>
          <w:sz w:val="24"/>
        </w:rPr>
        <w:t>体积容量</w:t>
      </w:r>
      <w:r>
        <w:rPr>
          <w:rFonts w:hint="eastAsia"/>
          <w:sz w:val="24"/>
        </w:rPr>
        <w:t>偏</w:t>
      </w:r>
      <w:r>
        <w:rPr>
          <w:sz w:val="24"/>
        </w:rPr>
        <w:t>低。表</w:t>
      </w:r>
      <w:r>
        <w:rPr>
          <w:rFonts w:hint="eastAsia"/>
          <w:sz w:val="24"/>
        </w:rPr>
        <w:t>8</w:t>
      </w:r>
      <w:r>
        <w:rPr>
          <w:sz w:val="24"/>
        </w:rPr>
        <w:t>为行业内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的研究、生产和使用的主要企业对振实密度的要求</w:t>
      </w:r>
      <w:r>
        <w:rPr>
          <w:rFonts w:hint="eastAsia"/>
          <w:sz w:val="24"/>
        </w:rPr>
        <w:t>，根据其下限平均值，</w:t>
      </w:r>
      <w:r>
        <w:rPr>
          <w:sz w:val="24"/>
        </w:rPr>
        <w:t>本标准设定最小的振实密度应不小于</w:t>
      </w:r>
      <w:r>
        <w:rPr>
          <w:rFonts w:hint="eastAsia"/>
          <w:sz w:val="24"/>
        </w:rPr>
        <w:t>1.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 xml:space="preserve"> g/cm</w:t>
      </w:r>
      <w:r>
        <w:rPr>
          <w:sz w:val="24"/>
          <w:vertAlign w:val="superscript"/>
        </w:rPr>
        <w:t>3</w:t>
      </w:r>
      <w:r>
        <w:rPr>
          <w:sz w:val="24"/>
        </w:rPr>
        <w:t>。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产品振实密度指标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761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47"/>
        <w:gridCol w:w="888"/>
        <w:gridCol w:w="912"/>
        <w:gridCol w:w="840"/>
        <w:gridCol w:w="876"/>
        <w:gridCol w:w="1056"/>
        <w:gridCol w:w="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实密度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（g/cm³）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1.6-2.6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1.8-2.8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≥1.4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0.9±0.25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≥1.5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8粉末压实密度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产品的粉末压实密度应不小于1.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0 </w:t>
      </w:r>
      <w:r>
        <w:rPr>
          <w:sz w:val="24"/>
        </w:rPr>
        <w:t>g/cm³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</w:t>
      </w:r>
      <w:r>
        <w:rPr>
          <w:rFonts w:hint="eastAsia"/>
          <w:bCs/>
          <w:sz w:val="24"/>
        </w:rPr>
        <w:t>锂离子电池在制作过程中，压实密度对电池性能有较大的影响。压实密度与比容量、效率、内阻、以及电池循环性能有密切的关系。合适的压实密度可以增大电池的放电容量，减小内阻，减小极化损失，延长电池的循环寿命，提高锂离子电池的利用率。根据表9调研结果显示，大部分企业产品的压实密度均不小于</w:t>
      </w:r>
      <w:r>
        <w:rPr>
          <w:bCs/>
          <w:sz w:val="24"/>
        </w:rPr>
        <w:t>1.6</w:t>
      </w:r>
      <w:r>
        <w:rPr>
          <w:sz w:val="24"/>
        </w:rPr>
        <w:t xml:space="preserve"> g/cm³</w:t>
      </w:r>
      <w:r>
        <w:rPr>
          <w:rFonts w:hint="eastAsia"/>
          <w:sz w:val="24"/>
        </w:rPr>
        <w:t>，本标准规定产品的粉末压实密度应不小于</w:t>
      </w:r>
      <w:r>
        <w:rPr>
          <w:sz w:val="24"/>
        </w:rPr>
        <w:t>1.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0 g/cm³</w:t>
      </w:r>
      <w:r>
        <w:rPr>
          <w:rFonts w:hint="eastAsia"/>
          <w:sz w:val="24"/>
        </w:rPr>
        <w:t>。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rFonts w:hint="eastAsia"/>
          <w:b/>
          <w:bCs/>
          <w:sz w:val="24"/>
        </w:rPr>
        <w:t>粉末压实密度</w:t>
      </w:r>
      <w:r>
        <w:rPr>
          <w:b/>
          <w:bCs/>
          <w:sz w:val="24"/>
        </w:rPr>
        <w:t>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8700" w:type="dxa"/>
        <w:tblInd w:w="-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47"/>
        <w:gridCol w:w="888"/>
        <w:gridCol w:w="1104"/>
        <w:gridCol w:w="1008"/>
        <w:gridCol w:w="1356"/>
        <w:gridCol w:w="1164"/>
        <w:gridCol w:w="9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粉末压实密度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（g/cm³）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1.8-3.2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2.0-3.5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1.9±0.30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不限制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9比表面积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产品的比表面积应不大于</w:t>
      </w: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0 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/g。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【条文说明】材料</w:t>
      </w:r>
      <w:r>
        <w:rPr>
          <w:sz w:val="24"/>
        </w:rPr>
        <w:t>比表面积大时，电池的倍率特性较好，但通常更易与电解液发生反应，使得循环和存储变差。材料比表面积与颗粒大小及分布、表面孔隙度、表面包覆物等密切相关。表</w:t>
      </w:r>
      <w:r>
        <w:rPr>
          <w:rFonts w:hint="eastAsia"/>
          <w:sz w:val="24"/>
        </w:rPr>
        <w:t>10</w:t>
      </w:r>
      <w:r>
        <w:rPr>
          <w:sz w:val="24"/>
        </w:rPr>
        <w:t>为行业内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的研究、生产和使用的主要企业对比表面积要求的调研情况。</w:t>
      </w:r>
      <w:r>
        <w:rPr>
          <w:rFonts w:hint="eastAsia"/>
          <w:sz w:val="24"/>
        </w:rPr>
        <w:t>根据调研结果，本文件规定产品的比表面积应不大于</w:t>
      </w: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0 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/g。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10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产品比表面积指标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879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47"/>
        <w:gridCol w:w="888"/>
        <w:gridCol w:w="912"/>
        <w:gridCol w:w="840"/>
        <w:gridCol w:w="876"/>
        <w:gridCol w:w="720"/>
        <w:gridCol w:w="768"/>
        <w:gridCol w:w="708"/>
        <w:gridCol w:w="9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</w:t>
            </w: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比表面积（m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/g）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0.6-1.2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≤1.2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≤0.8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0.4~1.5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10 粒度分布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产品的粒度分布应呈正态分布，特征值要求范围为</w:t>
      </w:r>
      <w:r>
        <w:rPr>
          <w:sz w:val="24"/>
        </w:rPr>
        <w:t>D</w:t>
      </w:r>
      <w:r>
        <w:rPr>
          <w:sz w:val="24"/>
          <w:vertAlign w:val="subscript"/>
        </w:rPr>
        <w:t>10</w:t>
      </w:r>
      <w:r>
        <w:rPr>
          <w:rFonts w:hint="eastAsia"/>
          <w:sz w:val="24"/>
        </w:rPr>
        <w:t xml:space="preserve">应不小于0.3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rFonts w:hint="eastAsia"/>
          <w:sz w:val="24"/>
        </w:rPr>
        <w:t>；</w:t>
      </w:r>
      <w:r>
        <w:rPr>
          <w:sz w:val="24"/>
        </w:rPr>
        <w:t>D</w:t>
      </w:r>
      <w:r>
        <w:rPr>
          <w:sz w:val="24"/>
          <w:vertAlign w:val="subscript"/>
        </w:rPr>
        <w:t>50</w:t>
      </w:r>
      <w:r>
        <w:rPr>
          <w:rFonts w:hint="eastAsia"/>
          <w:sz w:val="24"/>
        </w:rPr>
        <w:t xml:space="preserve">应在2.0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rFonts w:hint="eastAsia"/>
          <w:sz w:val="24"/>
        </w:rPr>
        <w:t xml:space="preserve">~15.0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rFonts w:hint="eastAsia"/>
          <w:sz w:val="24"/>
        </w:rPr>
        <w:t>范围内；</w:t>
      </w:r>
      <w:r>
        <w:rPr>
          <w:sz w:val="24"/>
        </w:rPr>
        <w:t>D</w:t>
      </w:r>
      <w:r>
        <w:rPr>
          <w:sz w:val="24"/>
          <w:vertAlign w:val="subscript"/>
        </w:rPr>
        <w:t>90</w:t>
      </w:r>
      <w:r>
        <w:rPr>
          <w:rFonts w:hint="eastAsia"/>
          <w:sz w:val="24"/>
        </w:rPr>
        <w:t xml:space="preserve">应不大于30.0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【条文说明】</w:t>
      </w:r>
      <w:r>
        <w:rPr>
          <w:sz w:val="24"/>
        </w:rPr>
        <w:t>从大量的制浆经验以及行业交流反馈来看，粒度分布几乎决定</w:t>
      </w:r>
      <w:r>
        <w:rPr>
          <w:rFonts w:hint="eastAsia"/>
          <w:sz w:val="24"/>
        </w:rPr>
        <w:t>了</w:t>
      </w:r>
      <w:r>
        <w:rPr>
          <w:sz w:val="24"/>
        </w:rPr>
        <w:t>材料的加工性能。结合表</w:t>
      </w:r>
      <w:r>
        <w:rPr>
          <w:rFonts w:hint="eastAsia"/>
          <w:sz w:val="24"/>
        </w:rPr>
        <w:t>11</w:t>
      </w:r>
      <w:r>
        <w:rPr>
          <w:sz w:val="24"/>
        </w:rPr>
        <w:t>行业内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的研究、生产和使用的主要企业对粒度分布要求，</w:t>
      </w:r>
      <w:r>
        <w:rPr>
          <w:rFonts w:hint="eastAsia"/>
          <w:sz w:val="24"/>
        </w:rPr>
        <w:t>本标准规定产品的粒度分布要求呈正态分布</w:t>
      </w:r>
      <w:r>
        <w:rPr>
          <w:sz w:val="24"/>
        </w:rPr>
        <w:t>, D</w:t>
      </w:r>
      <w:r>
        <w:rPr>
          <w:sz w:val="24"/>
          <w:vertAlign w:val="subscript"/>
        </w:rPr>
        <w:t>10</w:t>
      </w:r>
      <w:r>
        <w:rPr>
          <w:rFonts w:hint="eastAsia"/>
          <w:sz w:val="24"/>
        </w:rPr>
        <w:t>≥</w:t>
      </w:r>
      <w:r>
        <w:rPr>
          <w:rFonts w:hint="eastAsia"/>
          <w:sz w:val="24"/>
          <w:lang w:val="en-US" w:eastAsia="zh-CN"/>
        </w:rPr>
        <w:t>0.3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rFonts w:hint="eastAsia"/>
          <w:sz w:val="24"/>
        </w:rPr>
        <w:t>；</w:t>
      </w:r>
      <w:r>
        <w:rPr>
          <w:sz w:val="24"/>
        </w:rPr>
        <w:t>D</w:t>
      </w:r>
      <w:r>
        <w:rPr>
          <w:sz w:val="24"/>
          <w:vertAlign w:val="subscript"/>
        </w:rPr>
        <w:t>50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z w:val="24"/>
        </w:rPr>
        <w:t>m ~1</w:t>
      </w:r>
      <w:r>
        <w:rPr>
          <w:rFonts w:hint="eastAsia"/>
          <w:sz w:val="24"/>
          <w:lang w:val="en-US" w:eastAsia="zh-CN"/>
        </w:rPr>
        <w:t>5</w:t>
      </w:r>
      <w:r>
        <w:rPr>
          <w:rFonts w:ascii="Symbol" w:hAnsi="Symbol"/>
          <w:sz w:val="24"/>
        </w:rPr>
        <w:t></w:t>
      </w:r>
      <w:r>
        <w:rPr>
          <w:sz w:val="24"/>
        </w:rPr>
        <w:t>m</w:t>
      </w:r>
      <w:r>
        <w:rPr>
          <w:rFonts w:hint="eastAsia"/>
          <w:sz w:val="24"/>
        </w:rPr>
        <w:t>；</w:t>
      </w:r>
      <w:r>
        <w:rPr>
          <w:sz w:val="24"/>
        </w:rPr>
        <w:t>D</w:t>
      </w:r>
      <w:r>
        <w:rPr>
          <w:sz w:val="24"/>
          <w:vertAlign w:val="subscript"/>
        </w:rPr>
        <w:t>90</w:t>
      </w:r>
      <w:r>
        <w:rPr>
          <w:rFonts w:hint="eastAsia"/>
          <w:sz w:val="24"/>
        </w:rPr>
        <w:t>≤3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rFonts w:hint="eastAsia"/>
          <w:sz w:val="24"/>
        </w:rPr>
        <w:t>。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11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粒度分布指标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865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6"/>
        <w:gridCol w:w="900"/>
        <w:gridCol w:w="996"/>
        <w:gridCol w:w="816"/>
        <w:gridCol w:w="924"/>
        <w:gridCol w:w="792"/>
        <w:gridCol w:w="768"/>
        <w:gridCol w:w="828"/>
        <w:gridCol w:w="7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szCs w:val="21"/>
                <w:vertAlign w:val="subscript"/>
              </w:rPr>
              <w:t>10</w:t>
            </w:r>
            <w:r>
              <w:rPr>
                <w:szCs w:val="21"/>
              </w:rPr>
              <w:t>（μm）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1.0-4.0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2.0-5.0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0.3-1.2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0.8-4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szCs w:val="21"/>
                <w:vertAlign w:val="subscript"/>
              </w:rPr>
              <w:t>50</w:t>
            </w:r>
            <w:r>
              <w:rPr>
                <w:szCs w:val="21"/>
              </w:rPr>
              <w:t>（μm）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3.0-10.0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4.0-12.0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8.15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2~15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szCs w:val="21"/>
                <w:vertAlign w:val="subscript"/>
              </w:rPr>
              <w:t>90</w:t>
            </w:r>
            <w:r>
              <w:rPr>
                <w:szCs w:val="21"/>
              </w:rPr>
              <w:t>（μm）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9.0-24.0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10.0-25.0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6-13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≤30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2.2.3.1</w:t>
      </w:r>
      <w:r>
        <w:rPr>
          <w:rFonts w:hint="eastAsia" w:eastAsia="黑体"/>
          <w:bCs/>
          <w:sz w:val="24"/>
        </w:rPr>
        <w:t>1</w:t>
      </w:r>
      <w:r>
        <w:rPr>
          <w:rFonts w:eastAsia="黑体"/>
          <w:bCs/>
          <w:sz w:val="24"/>
        </w:rPr>
        <w:t xml:space="preserve"> </w:t>
      </w:r>
      <w:r>
        <w:rPr>
          <w:rFonts w:hint="eastAsia" w:eastAsia="黑体"/>
          <w:bCs/>
          <w:sz w:val="24"/>
        </w:rPr>
        <w:t>残余碱和残余锂含量</w:t>
      </w:r>
    </w:p>
    <w:p>
      <w:pPr>
        <w:pStyle w:val="17"/>
        <w:spacing w:line="360" w:lineRule="auto"/>
        <w:ind w:firstLine="480"/>
        <w:rPr>
          <w:sz w:val="24"/>
        </w:rPr>
      </w:pPr>
      <w:r>
        <w:rPr>
          <w:rFonts w:hint="eastAsia"/>
          <w:sz w:val="24"/>
          <w:szCs w:val="24"/>
        </w:rPr>
        <w:t>产品的残余碱和残余锂含量由供需双方协商确定。</w:t>
      </w:r>
    </w:p>
    <w:p>
      <w:pPr>
        <w:pStyle w:val="17"/>
        <w:spacing w:line="360" w:lineRule="auto"/>
        <w:ind w:firstLine="480"/>
        <w:rPr>
          <w:sz w:val="24"/>
        </w:rPr>
      </w:pPr>
      <w:r>
        <w:rPr>
          <w:rFonts w:hint="eastAsia"/>
          <w:bCs/>
          <w:sz w:val="24"/>
        </w:rPr>
        <w:t>【条文说明】</w:t>
      </w:r>
      <w:r>
        <w:rPr>
          <w:rFonts w:ascii="Times New Roman"/>
          <w:bCs/>
          <w:sz w:val="24"/>
        </w:rPr>
        <w:t>目前针对残余碱和残余锂该项指标，6家企业中有1家先不考虑将该项指标加入标准中，其他5家企业针对残余碱和残余锂指标的下限要求差异较大，暂时无法形成统一意见。且目前针对该项指标的测试方法，未形成统一标准，故该项指标建议依据供需双方协商确定的方法测试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1</w:t>
      </w:r>
      <w:r>
        <w:rPr>
          <w:rFonts w:hint="eastAsia" w:eastAsia="黑体"/>
          <w:bCs/>
          <w:sz w:val="24"/>
          <w:lang w:val="en-US" w:eastAsia="zh-CN"/>
        </w:rPr>
        <w:t>2</w:t>
      </w:r>
      <w:r>
        <w:rPr>
          <w:rFonts w:hint="eastAsia" w:eastAsia="黑体"/>
          <w:bCs/>
          <w:sz w:val="24"/>
        </w:rPr>
        <w:t>首次放电比容量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产品在电压范围2</w:t>
      </w:r>
      <w:r>
        <w:rPr>
          <w:sz w:val="24"/>
        </w:rPr>
        <w:t>.</w:t>
      </w:r>
      <w:r>
        <w:rPr>
          <w:rFonts w:hint="eastAsia"/>
          <w:sz w:val="24"/>
        </w:rPr>
        <w:t>5</w:t>
      </w:r>
      <w:r>
        <w:rPr>
          <w:sz w:val="24"/>
        </w:rPr>
        <w:t xml:space="preserve"> V</w:t>
      </w:r>
      <w:r>
        <w:rPr>
          <w:rFonts w:hint="eastAsia"/>
          <w:sz w:val="24"/>
        </w:rPr>
        <w:t>~</w:t>
      </w:r>
      <w:r>
        <w:rPr>
          <w:sz w:val="24"/>
        </w:rPr>
        <w:t>4.</w:t>
      </w:r>
      <w:r>
        <w:rPr>
          <w:rFonts w:hint="eastAsia"/>
          <w:sz w:val="24"/>
        </w:rPr>
        <w:t>2</w:t>
      </w:r>
      <w:r>
        <w:rPr>
          <w:sz w:val="24"/>
        </w:rPr>
        <w:t xml:space="preserve"> V</w:t>
      </w:r>
      <w:r>
        <w:rPr>
          <w:rFonts w:hint="eastAsia"/>
          <w:sz w:val="24"/>
        </w:rPr>
        <w:t>，0.05</w:t>
      </w:r>
      <w:r>
        <w:rPr>
          <w:sz w:val="24"/>
        </w:rPr>
        <w:t xml:space="preserve"> C</w:t>
      </w:r>
      <w:r>
        <w:rPr>
          <w:rFonts w:hint="eastAsia"/>
          <w:sz w:val="24"/>
        </w:rPr>
        <w:t>充放电倍率下，产品的首次放电比容量应≤</w:t>
      </w:r>
      <w:r>
        <w:rPr>
          <w:rFonts w:hint="eastAsia"/>
          <w:sz w:val="24"/>
          <w:lang w:val="en-US" w:eastAsia="zh-CN"/>
        </w:rPr>
        <w:t>22</w:t>
      </w:r>
      <w:r>
        <w:rPr>
          <w:sz w:val="24"/>
        </w:rPr>
        <w:t>0 mAh/g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Cs/>
          <w:sz w:val="24"/>
        </w:rPr>
        <w:t>【条文说明】补锂添加</w:t>
      </w:r>
      <w:r>
        <w:rPr>
          <w:sz w:val="24"/>
        </w:rPr>
        <w:t>材料</w:t>
      </w:r>
      <w:r>
        <w:rPr>
          <w:rFonts w:hint="eastAsia"/>
          <w:sz w:val="24"/>
        </w:rPr>
        <w:t>作为一种牺牲型材料，主要是弥补正极材料首次充电形成SEI膜消耗的锂，从而提高电池的首效。如果补锂添加剂材料</w:t>
      </w:r>
      <w:r>
        <w:rPr>
          <w:sz w:val="24"/>
        </w:rPr>
        <w:t>的首次放电</w:t>
      </w:r>
      <w:r>
        <w:rPr>
          <w:rFonts w:hint="eastAsia"/>
          <w:sz w:val="24"/>
        </w:rPr>
        <w:t>比容量偏高，会导致电池首效降低，且导致S</w:t>
      </w:r>
      <w:r>
        <w:rPr>
          <w:sz w:val="24"/>
        </w:rPr>
        <w:t>EI</w:t>
      </w:r>
      <w:r>
        <w:rPr>
          <w:rFonts w:hint="eastAsia"/>
          <w:sz w:val="24"/>
        </w:rPr>
        <w:t>膜会不断破坏和重新形成，影响电池循环性能。</w:t>
      </w:r>
      <w:r>
        <w:rPr>
          <w:bCs/>
          <w:sz w:val="24"/>
        </w:rPr>
        <w:t>表</w:t>
      </w:r>
      <w:r>
        <w:rPr>
          <w:rFonts w:hint="eastAsia"/>
          <w:bCs/>
          <w:sz w:val="24"/>
        </w:rPr>
        <w:t>12</w:t>
      </w:r>
      <w:r>
        <w:rPr>
          <w:sz w:val="24"/>
        </w:rPr>
        <w:t>为行业内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的研究、生产和使用的主要企业，对首次</w:t>
      </w:r>
      <w:r>
        <w:rPr>
          <w:rFonts w:hint="eastAsia"/>
          <w:sz w:val="24"/>
        </w:rPr>
        <w:t>放</w:t>
      </w:r>
      <w:r>
        <w:rPr>
          <w:sz w:val="24"/>
        </w:rPr>
        <w:t>电比容量要求的调研情况。</w:t>
      </w:r>
      <w:r>
        <w:rPr>
          <w:rFonts w:hint="eastAsia"/>
          <w:sz w:val="24"/>
        </w:rPr>
        <w:t>结合实际应用需求及调研，本标准规定产品在电压范围2</w:t>
      </w:r>
      <w:r>
        <w:rPr>
          <w:sz w:val="24"/>
        </w:rPr>
        <w:t>.</w:t>
      </w:r>
      <w:r>
        <w:rPr>
          <w:rFonts w:hint="eastAsia"/>
          <w:sz w:val="24"/>
        </w:rPr>
        <w:t>5</w:t>
      </w:r>
      <w:r>
        <w:rPr>
          <w:sz w:val="24"/>
        </w:rPr>
        <w:t xml:space="preserve"> V</w:t>
      </w:r>
      <w:r>
        <w:rPr>
          <w:rFonts w:hint="eastAsia"/>
          <w:sz w:val="24"/>
        </w:rPr>
        <w:t>~</w:t>
      </w:r>
      <w:r>
        <w:rPr>
          <w:sz w:val="24"/>
        </w:rPr>
        <w:t>4.</w:t>
      </w:r>
      <w:r>
        <w:rPr>
          <w:rFonts w:hint="eastAsia"/>
          <w:sz w:val="24"/>
        </w:rPr>
        <w:t>2</w:t>
      </w:r>
      <w:r>
        <w:rPr>
          <w:sz w:val="24"/>
        </w:rPr>
        <w:t xml:space="preserve"> V</w:t>
      </w:r>
      <w:r>
        <w:rPr>
          <w:rFonts w:hint="eastAsia"/>
          <w:sz w:val="24"/>
        </w:rPr>
        <w:t>，0.05</w:t>
      </w:r>
      <w:r>
        <w:rPr>
          <w:sz w:val="24"/>
        </w:rPr>
        <w:t xml:space="preserve"> C</w:t>
      </w:r>
      <w:r>
        <w:rPr>
          <w:rFonts w:hint="eastAsia"/>
          <w:sz w:val="24"/>
        </w:rPr>
        <w:t>充放电倍率下，首次放电比容量应≤</w:t>
      </w:r>
      <w:r>
        <w:rPr>
          <w:rFonts w:hint="eastAsia"/>
          <w:sz w:val="24"/>
          <w:lang w:val="en-US" w:eastAsia="zh-CN"/>
        </w:rPr>
        <w:t>22</w:t>
      </w:r>
      <w:r>
        <w:rPr>
          <w:sz w:val="24"/>
        </w:rPr>
        <w:t>0 mAh/g</w:t>
      </w:r>
      <w:r>
        <w:rPr>
          <w:rFonts w:hint="eastAsia"/>
          <w:sz w:val="24"/>
        </w:rPr>
        <w:t>。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12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富锂镍酸锂</w:t>
      </w:r>
      <w:r>
        <w:rPr>
          <w:b/>
          <w:bCs/>
          <w:sz w:val="24"/>
        </w:rPr>
        <w:t>产品首次</w:t>
      </w:r>
      <w:r>
        <w:rPr>
          <w:rFonts w:hint="eastAsia"/>
          <w:b/>
          <w:bCs/>
          <w:sz w:val="24"/>
        </w:rPr>
        <w:t>放</w:t>
      </w:r>
      <w:r>
        <w:rPr>
          <w:b/>
          <w:bCs/>
          <w:sz w:val="24"/>
        </w:rPr>
        <w:t>电比容量指标</w:t>
      </w:r>
      <w:r>
        <w:rPr>
          <w:rFonts w:hint="eastAsia"/>
          <w:b/>
          <w:bCs/>
          <w:sz w:val="24"/>
        </w:rPr>
        <w:t>调研数据</w:t>
      </w:r>
    </w:p>
    <w:tbl>
      <w:tblPr>
        <w:tblStyle w:val="7"/>
        <w:tblW w:w="9336" w:type="dxa"/>
        <w:tblInd w:w="-5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6"/>
        <w:gridCol w:w="972"/>
        <w:gridCol w:w="984"/>
        <w:gridCol w:w="864"/>
        <w:gridCol w:w="828"/>
        <w:gridCol w:w="804"/>
        <w:gridCol w:w="792"/>
        <w:gridCol w:w="600"/>
        <w:gridCol w:w="8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9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</w:t>
            </w: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首次</w:t>
            </w:r>
            <w:r>
              <w:rPr>
                <w:rFonts w:hint="eastAsia"/>
                <w:szCs w:val="21"/>
              </w:rPr>
              <w:t>放</w:t>
            </w:r>
            <w:r>
              <w:rPr>
                <w:szCs w:val="21"/>
              </w:rPr>
              <w:t>电比容量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（mAh/g）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157.40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125-135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135-145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≤140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≤130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≤130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≤220</w:t>
            </w:r>
          </w:p>
        </w:tc>
      </w:tr>
    </w:tbl>
    <w:p>
      <w:pPr>
        <w:spacing w:before="156" w:beforeLines="50" w:after="156" w:afterLines="50" w:line="360" w:lineRule="auto"/>
        <w:rPr>
          <w:rFonts w:hint="eastAsia" w:eastAsia="黑体"/>
          <w:bCs/>
          <w:sz w:val="24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2.3</w:t>
      </w:r>
      <w:r>
        <w:rPr>
          <w:rFonts w:eastAsia="黑体"/>
          <w:bCs/>
          <w:sz w:val="24"/>
        </w:rPr>
        <w:t>.1</w:t>
      </w:r>
      <w:r>
        <w:rPr>
          <w:rFonts w:hint="eastAsia" w:eastAsia="黑体"/>
          <w:bCs/>
          <w:sz w:val="24"/>
          <w:lang w:val="en-US" w:eastAsia="zh-CN"/>
        </w:rPr>
        <w:t>3</w:t>
      </w:r>
      <w:r>
        <w:rPr>
          <w:rFonts w:eastAsia="黑体"/>
          <w:bCs/>
          <w:sz w:val="24"/>
        </w:rPr>
        <w:t>其他要求</w:t>
      </w:r>
    </w:p>
    <w:p>
      <w:pPr>
        <w:spacing w:line="360" w:lineRule="auto"/>
        <w:ind w:firstLine="482"/>
        <w:rPr>
          <w:sz w:val="24"/>
        </w:rPr>
      </w:pPr>
      <w:r>
        <w:rPr>
          <w:sz w:val="24"/>
        </w:rPr>
        <w:t>需方如对</w:t>
      </w:r>
      <w:r>
        <w:rPr>
          <w:rFonts w:hint="eastAsia"/>
          <w:sz w:val="24"/>
          <w:lang w:eastAsia="zh-CN"/>
        </w:rPr>
        <w:t>富锂镍酸锂</w:t>
      </w:r>
      <w:r>
        <w:rPr>
          <w:sz w:val="24"/>
        </w:rPr>
        <w:t>有特殊要求，可由供需双方协商确定。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2.2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4</w:t>
      </w:r>
      <w:r>
        <w:rPr>
          <w:rFonts w:eastAsia="黑体"/>
          <w:bCs/>
          <w:sz w:val="24"/>
        </w:rPr>
        <w:t xml:space="preserve"> 试验方法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2.2.4.1</w:t>
      </w:r>
      <w:r>
        <w:rPr>
          <w:sz w:val="24"/>
        </w:rPr>
        <w:t xml:space="preserve"> </w:t>
      </w:r>
      <w:r>
        <w:rPr>
          <w:rFonts w:hint="eastAsia" w:eastAsia="黑体"/>
          <w:bCs/>
          <w:sz w:val="24"/>
        </w:rPr>
        <w:t>化学</w:t>
      </w:r>
      <w:r>
        <w:rPr>
          <w:rFonts w:eastAsia="黑体"/>
          <w:bCs/>
          <w:sz w:val="24"/>
        </w:rPr>
        <w:t>成分</w:t>
      </w:r>
    </w:p>
    <w:p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产品的化学成分测试按</w:t>
      </w:r>
      <w:r>
        <w:rPr>
          <w:sz w:val="24"/>
        </w:rPr>
        <w:t xml:space="preserve">GB/T 23942 </w:t>
      </w:r>
      <w:r>
        <w:rPr>
          <w:rFonts w:hint="eastAsia"/>
          <w:sz w:val="24"/>
        </w:rPr>
        <w:t>的规定进行。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2.2.4.2</w:t>
      </w:r>
      <w:r>
        <w:rPr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晶体结构</w:t>
      </w:r>
    </w:p>
    <w:p>
      <w:pPr>
        <w:pStyle w:val="17"/>
        <w:ind w:firstLine="480"/>
        <w:rPr>
          <w:sz w:val="24"/>
        </w:rPr>
      </w:pPr>
      <w:r>
        <w:rPr>
          <w:rFonts w:hint="eastAsia"/>
          <w:sz w:val="24"/>
          <w:szCs w:val="24"/>
        </w:rPr>
        <w:t>产品的晶体结构用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射线粉末衍射仪检测。</w:t>
      </w:r>
    </w:p>
    <w:p>
      <w:pPr>
        <w:spacing w:line="360" w:lineRule="auto"/>
        <w:rPr>
          <w:sz w:val="24"/>
        </w:rPr>
      </w:pPr>
      <w:r>
        <w:rPr>
          <w:rFonts w:hint="eastAsia" w:eastAsia="黑体"/>
          <w:bCs/>
          <w:sz w:val="24"/>
        </w:rPr>
        <w:t>2.2.4.3</w:t>
      </w:r>
      <w:r>
        <w:rPr>
          <w:rFonts w:eastAsia="黑体"/>
          <w:bCs/>
          <w:sz w:val="24"/>
        </w:rPr>
        <w:t xml:space="preserve"> 水分含量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产品的水分测试按</w:t>
      </w:r>
      <w:r>
        <w:rPr>
          <w:sz w:val="24"/>
        </w:rPr>
        <w:t>GB/T 6283</w:t>
      </w:r>
      <w:r>
        <w:rPr>
          <w:rFonts w:hint="eastAsia"/>
          <w:sz w:val="24"/>
        </w:rPr>
        <w:t>的规定进行。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2.2.4.4</w:t>
      </w:r>
      <w:r>
        <w:rPr>
          <w:sz w:val="24"/>
        </w:rPr>
        <w:t xml:space="preserve"> </w:t>
      </w:r>
      <w:r>
        <w:rPr>
          <w:rFonts w:hint="eastAsia" w:eastAsia="黑体"/>
          <w:bCs/>
          <w:sz w:val="24"/>
        </w:rPr>
        <w:t>耐湿性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产品的耐湿性测试按供需双方协商的方法进行。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【条文说明】目前行业内测试</w:t>
      </w:r>
      <w:r>
        <w:rPr>
          <w:rFonts w:hint="eastAsia"/>
          <w:sz w:val="24"/>
          <w:lang w:eastAsia="zh-CN"/>
        </w:rPr>
        <w:t>富锂镍酸锂</w:t>
      </w:r>
      <w:r>
        <w:rPr>
          <w:rFonts w:hint="eastAsia"/>
          <w:sz w:val="24"/>
        </w:rPr>
        <w:t>材料的耐湿性，主要是采用在25</w:t>
      </w:r>
      <w:r>
        <w:rPr>
          <w:sz w:val="24"/>
        </w:rPr>
        <w:t xml:space="preserve"> </w:t>
      </w:r>
      <w:r>
        <w:rPr>
          <w:rFonts w:hint="eastAsia"/>
          <w:sz w:val="24"/>
        </w:rPr>
        <w:t>℃，30%±2%湿度条件下，材料在20</w:t>
      </w:r>
      <w:r>
        <w:rPr>
          <w:sz w:val="24"/>
        </w:rPr>
        <w:t xml:space="preserve"> </w:t>
      </w:r>
      <w:r>
        <w:rPr>
          <w:rFonts w:hint="eastAsia"/>
          <w:sz w:val="24"/>
        </w:rPr>
        <w:t>min内抵抗潮湿环境侵蚀的能力——吸湿速率法，来评估产品的耐湿性。但目前针对</w:t>
      </w:r>
      <w:r>
        <w:rPr>
          <w:rFonts w:hint="eastAsia"/>
          <w:sz w:val="24"/>
          <w:lang w:eastAsia="zh-CN"/>
        </w:rPr>
        <w:t>富锂镍酸锂</w:t>
      </w:r>
      <w:r>
        <w:rPr>
          <w:rFonts w:hint="eastAsia"/>
          <w:sz w:val="24"/>
        </w:rPr>
        <w:t>耐湿性的测试，行业内缺乏可以参照的统一的分析方法标准，暂定以供需双方协商的方法进行测试。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2.2.4.5</w:t>
      </w:r>
      <w:r>
        <w:rPr>
          <w:sz w:val="24"/>
        </w:rPr>
        <w:t xml:space="preserve"> </w:t>
      </w:r>
      <w:r>
        <w:rPr>
          <w:rFonts w:hint="eastAsia" w:eastAsia="黑体"/>
          <w:bCs/>
          <w:sz w:val="24"/>
        </w:rPr>
        <w:t>外观质量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产品外观质量在自然光下采用目视法检验。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2.2.4.6</w:t>
      </w:r>
      <w:r>
        <w:rPr>
          <w:sz w:val="24"/>
        </w:rPr>
        <w:t xml:space="preserve"> </w:t>
      </w:r>
      <w:r>
        <w:rPr>
          <w:rFonts w:hint="eastAsia" w:eastAsia="黑体"/>
          <w:bCs/>
          <w:sz w:val="24"/>
        </w:rPr>
        <w:t>p</w:t>
      </w:r>
      <w:r>
        <w:rPr>
          <w:rFonts w:eastAsia="黑体"/>
          <w:bCs/>
          <w:sz w:val="24"/>
        </w:rPr>
        <w:t>H</w:t>
      </w:r>
      <w:r>
        <w:rPr>
          <w:rFonts w:hint="eastAsia" w:eastAsia="黑体"/>
          <w:bCs/>
          <w:sz w:val="24"/>
        </w:rPr>
        <w:t>值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产品的p</w:t>
      </w:r>
      <w:r>
        <w:rPr>
          <w:sz w:val="24"/>
        </w:rPr>
        <w:t>H</w:t>
      </w:r>
      <w:r>
        <w:rPr>
          <w:rFonts w:hint="eastAsia"/>
          <w:sz w:val="24"/>
        </w:rPr>
        <w:t>值测定按</w:t>
      </w:r>
      <w:r>
        <w:rPr>
          <w:sz w:val="24"/>
        </w:rPr>
        <w:t>GB/T 9724</w:t>
      </w:r>
      <w:r>
        <w:rPr>
          <w:rFonts w:hint="eastAsia"/>
          <w:sz w:val="24"/>
        </w:rPr>
        <w:t>的规定进行。</w:t>
      </w:r>
    </w:p>
    <w:p>
      <w:pPr>
        <w:spacing w:line="360" w:lineRule="auto"/>
        <w:rPr>
          <w:rFonts w:eastAsia="黑体"/>
          <w:bCs/>
          <w:sz w:val="24"/>
        </w:rPr>
      </w:pPr>
      <w:r>
        <w:rPr>
          <w:rFonts w:hint="eastAsia"/>
          <w:sz w:val="24"/>
        </w:rPr>
        <w:t>2.2.4.7</w:t>
      </w:r>
      <w:r>
        <w:rPr>
          <w:sz w:val="24"/>
        </w:rPr>
        <w:t xml:space="preserve"> </w:t>
      </w:r>
      <w:r>
        <w:rPr>
          <w:rFonts w:hint="eastAsia" w:eastAsia="黑体"/>
          <w:bCs/>
          <w:sz w:val="24"/>
        </w:rPr>
        <w:t>振实密度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产品的振实密度测定按</w:t>
      </w:r>
      <w:r>
        <w:rPr>
          <w:sz w:val="24"/>
        </w:rPr>
        <w:t xml:space="preserve">GB/T </w:t>
      </w:r>
      <w:r>
        <w:rPr>
          <w:rFonts w:hint="eastAsia"/>
          <w:sz w:val="24"/>
        </w:rPr>
        <w:t>5162的规定进行。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2.4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8粉末压实密度</w:t>
      </w:r>
    </w:p>
    <w:p>
      <w:pPr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ascii="宋体" w:hAnsi="宋体"/>
          <w:bCs/>
          <w:sz w:val="24"/>
        </w:rPr>
        <w:t>产品的压实密度测定按</w:t>
      </w:r>
      <w:r>
        <w:rPr>
          <w:rFonts w:hint="eastAsia"/>
          <w:sz w:val="24"/>
        </w:rPr>
        <w:t>GB/ XXXX《锂离子电池材料 粉末压实密度的测定》的规定进行。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2.4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9比表面积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产品的比表面积测定按</w:t>
      </w:r>
      <w:r>
        <w:rPr>
          <w:sz w:val="24"/>
        </w:rPr>
        <w:t xml:space="preserve">GB/T </w:t>
      </w:r>
      <w:r>
        <w:rPr>
          <w:rFonts w:hint="eastAsia"/>
          <w:sz w:val="24"/>
        </w:rPr>
        <w:t>19587的规定进行。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2.4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10粒度分布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bCs/>
          <w:sz w:val="24"/>
        </w:rPr>
        <w:t>产品的粒度分布测定按</w:t>
      </w:r>
      <w:r>
        <w:rPr>
          <w:sz w:val="24"/>
        </w:rPr>
        <w:t xml:space="preserve">GB/T </w:t>
      </w:r>
      <w:r>
        <w:rPr>
          <w:rFonts w:hint="eastAsia"/>
          <w:sz w:val="24"/>
        </w:rPr>
        <w:t>19077的规定进行。</w:t>
      </w:r>
    </w:p>
    <w:p>
      <w:pPr>
        <w:spacing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2.4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11</w:t>
      </w:r>
      <w:r>
        <w:rPr>
          <w:rFonts w:eastAsia="黑体"/>
          <w:bCs/>
          <w:sz w:val="24"/>
        </w:rPr>
        <w:t xml:space="preserve"> </w:t>
      </w:r>
      <w:r>
        <w:rPr>
          <w:rFonts w:hint="eastAsia" w:eastAsia="黑体"/>
          <w:bCs/>
          <w:sz w:val="24"/>
        </w:rPr>
        <w:t>残余碱和残余锂含量</w:t>
      </w:r>
    </w:p>
    <w:p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产品的残余碱和残余锂含量的测定由供需双方协商认可的方法进行。</w:t>
      </w:r>
    </w:p>
    <w:p>
      <w:pPr>
        <w:spacing w:line="360" w:lineRule="auto"/>
        <w:ind w:firstLine="480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【条文说明】</w:t>
      </w:r>
      <w:r>
        <w:rPr>
          <w:rFonts w:hint="eastAsia"/>
          <w:bCs/>
          <w:sz w:val="24"/>
        </w:rPr>
        <w:t>目前行业内测试</w:t>
      </w:r>
      <w:r>
        <w:rPr>
          <w:rFonts w:hint="eastAsia"/>
          <w:bCs/>
          <w:sz w:val="24"/>
          <w:lang w:eastAsia="zh-CN"/>
        </w:rPr>
        <w:t>富锂镍酸锂</w:t>
      </w:r>
      <w:r>
        <w:rPr>
          <w:rFonts w:hint="eastAsia"/>
          <w:bCs/>
          <w:sz w:val="24"/>
        </w:rPr>
        <w:t>产品的残余碱和残余锂含量，主要是参考</w:t>
      </w:r>
      <w:r>
        <w:rPr>
          <w:bCs/>
          <w:sz w:val="24"/>
        </w:rPr>
        <w:t>GB/T 41704</w:t>
      </w:r>
      <w:r>
        <w:rPr>
          <w:rFonts w:hint="eastAsia"/>
          <w:bCs/>
          <w:sz w:val="24"/>
        </w:rPr>
        <w:t>电位滴定法，将溶剂水换成无水乙醇来进行测试；由于</w:t>
      </w:r>
      <w:r>
        <w:rPr>
          <w:bCs/>
          <w:sz w:val="24"/>
        </w:rPr>
        <w:t>碳酸锂并不溶于无水乙醇，</w:t>
      </w:r>
      <w:r>
        <w:rPr>
          <w:rFonts w:hint="eastAsia"/>
          <w:bCs/>
          <w:sz w:val="24"/>
        </w:rPr>
        <w:t>该方法仅适用于残余氢氧化锂的测试，并不适用于残余碳酸锂，采用该方法测试的最终残余碱和残余锂结果并不准确，故针对产品的残余碱和残余锂含量的测定由</w:t>
      </w:r>
      <w:r>
        <w:rPr>
          <w:rFonts w:hint="eastAsia" w:ascii="宋体" w:hAnsi="宋体"/>
          <w:bCs/>
          <w:sz w:val="24"/>
        </w:rPr>
        <w:t>供需双方协商认可的方法进行。</w:t>
      </w: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2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2.4</w:t>
      </w:r>
      <w:r>
        <w:rPr>
          <w:rFonts w:eastAsia="黑体"/>
          <w:bCs/>
          <w:sz w:val="24"/>
        </w:rPr>
        <w:t>.</w:t>
      </w:r>
      <w:r>
        <w:rPr>
          <w:rFonts w:hint="eastAsia" w:eastAsia="黑体"/>
          <w:bCs/>
          <w:sz w:val="24"/>
        </w:rPr>
        <w:t>1</w:t>
      </w:r>
      <w:r>
        <w:rPr>
          <w:rFonts w:hint="eastAsia" w:eastAsia="黑体"/>
          <w:bCs/>
          <w:sz w:val="24"/>
          <w:lang w:val="en-US" w:eastAsia="zh-CN"/>
        </w:rPr>
        <w:t>2</w:t>
      </w:r>
      <w:r>
        <w:rPr>
          <w:rFonts w:hint="eastAsia" w:eastAsia="黑体"/>
          <w:bCs/>
          <w:sz w:val="24"/>
        </w:rPr>
        <w:t>首次放电比容量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bCs/>
          <w:sz w:val="24"/>
        </w:rPr>
        <w:t>产品的首次放电比容量测定按</w:t>
      </w:r>
      <w:r>
        <w:rPr>
          <w:sz w:val="24"/>
        </w:rPr>
        <w:t xml:space="preserve">GB/T </w:t>
      </w:r>
      <w:r>
        <w:rPr>
          <w:rFonts w:hint="eastAsia"/>
          <w:sz w:val="24"/>
        </w:rPr>
        <w:t>42161的规定进行，各试验步骤应在相对湿度不大于10%，温度20</w:t>
      </w:r>
      <w:r>
        <w:rPr>
          <w:sz w:val="24"/>
        </w:rPr>
        <w:t xml:space="preserve"> </w:t>
      </w:r>
      <w:r>
        <w:rPr>
          <w:rFonts w:hint="eastAsia"/>
          <w:sz w:val="24"/>
        </w:rPr>
        <w:t>℃~30</w:t>
      </w:r>
      <w:r>
        <w:rPr>
          <w:sz w:val="24"/>
        </w:rPr>
        <w:t xml:space="preserve"> </w:t>
      </w:r>
      <w:r>
        <w:rPr>
          <w:rFonts w:hint="eastAsia"/>
          <w:sz w:val="24"/>
        </w:rPr>
        <w:t>℃的环境条件下进行。推荐充放电制度如下：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a）静置：不小于6</w:t>
      </w:r>
      <w:r>
        <w:rPr>
          <w:sz w:val="24"/>
        </w:rPr>
        <w:t xml:space="preserve"> </w:t>
      </w:r>
      <w:r>
        <w:rPr>
          <w:rFonts w:hint="eastAsia"/>
          <w:sz w:val="24"/>
        </w:rPr>
        <w:t>h；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b）恒流充电电流：0.05</w:t>
      </w:r>
      <w:r>
        <w:rPr>
          <w:sz w:val="24"/>
        </w:rPr>
        <w:t xml:space="preserve"> </w:t>
      </w:r>
      <w:r>
        <w:rPr>
          <w:rFonts w:hint="eastAsia"/>
          <w:sz w:val="24"/>
        </w:rPr>
        <w:t>C；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c）充电限制电压：4.2</w:t>
      </w:r>
      <w:r>
        <w:rPr>
          <w:sz w:val="24"/>
        </w:rPr>
        <w:t xml:space="preserve"> </w:t>
      </w:r>
      <w:r>
        <w:rPr>
          <w:rFonts w:hint="eastAsia"/>
          <w:sz w:val="24"/>
        </w:rPr>
        <w:t>V；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c）恒压充电终止电流：0.01</w:t>
      </w:r>
      <w:r>
        <w:rPr>
          <w:sz w:val="24"/>
        </w:rPr>
        <w:t xml:space="preserve"> </w:t>
      </w:r>
      <w:r>
        <w:rPr>
          <w:rFonts w:hint="eastAsia"/>
          <w:sz w:val="24"/>
        </w:rPr>
        <w:t>C；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d）静置10</w:t>
      </w:r>
      <w:r>
        <w:rPr>
          <w:sz w:val="24"/>
        </w:rPr>
        <w:t xml:space="preserve"> </w:t>
      </w:r>
      <w:r>
        <w:rPr>
          <w:rFonts w:hint="eastAsia"/>
          <w:sz w:val="24"/>
        </w:rPr>
        <w:t>min；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e）恒流放电电流：0.05</w:t>
      </w:r>
      <w:r>
        <w:rPr>
          <w:sz w:val="24"/>
        </w:rPr>
        <w:t xml:space="preserve"> </w:t>
      </w:r>
      <w:r>
        <w:rPr>
          <w:rFonts w:hint="eastAsia"/>
          <w:sz w:val="24"/>
        </w:rPr>
        <w:t>C；</w:t>
      </w:r>
    </w:p>
    <w:p>
      <w:pPr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/>
          <w:sz w:val="24"/>
        </w:rPr>
        <w:t>f）放电终止电压：2.5</w:t>
      </w:r>
      <w:r>
        <w:rPr>
          <w:sz w:val="24"/>
        </w:rPr>
        <w:t xml:space="preserve"> </w:t>
      </w:r>
      <w:r>
        <w:rPr>
          <w:rFonts w:hint="eastAsia"/>
          <w:sz w:val="24"/>
        </w:rPr>
        <w:t>V。</w:t>
      </w:r>
    </w:p>
    <w:p>
      <w:pPr>
        <w:spacing w:before="156" w:beforeLines="50" w:after="156" w:afterLines="50"/>
        <w:rPr>
          <w:rFonts w:hint="eastAsia" w:eastAsia="黑体"/>
          <w:bCs/>
          <w:sz w:val="24"/>
        </w:rPr>
      </w:pPr>
      <w:r>
        <w:rPr>
          <w:rFonts w:hint="eastAsia" w:eastAsia="黑体"/>
          <w:bCs/>
          <w:sz w:val="24"/>
        </w:rPr>
        <w:t>三、试验验证的分析、综述报告，技术经济论证，预期的经济效益、社会效益和生态效益</w:t>
      </w:r>
    </w:p>
    <w:p>
      <w:pPr>
        <w:spacing w:before="156" w:beforeLines="50" w:after="156" w:afterLines="50"/>
        <w:rPr>
          <w:rFonts w:hint="default" w:eastAsia="黑体"/>
          <w:bCs/>
          <w:sz w:val="24"/>
          <w:lang w:val="en-US" w:eastAsia="zh-CN"/>
        </w:rPr>
      </w:pPr>
      <w:r>
        <w:rPr>
          <w:rFonts w:hint="eastAsia" w:eastAsia="黑体"/>
          <w:bCs/>
          <w:sz w:val="24"/>
          <w:lang w:val="en-US" w:eastAsia="zh-CN"/>
        </w:rPr>
        <w:t>......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四、与国际、国外同类标准技术内容的比对情况，或者与测试的国外样品、样机的有关数据对标情况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经查，国外无相同类型的标准。</w:t>
      </w:r>
      <w:r>
        <w:rPr>
          <w:rFonts w:hint="eastAsia"/>
          <w:sz w:val="24"/>
        </w:rPr>
        <w:t>本标准达到了国内先进水平。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五、以国际标准为基础的起草情况，以及是否合规引用或者采用国际国外标准，并说明未采用国际标准的原因</w:t>
      </w:r>
    </w:p>
    <w:p>
      <w:pPr>
        <w:ind w:firstLine="482"/>
        <w:rPr>
          <w:sz w:val="24"/>
        </w:rPr>
      </w:pPr>
      <w:r>
        <w:rPr>
          <w:sz w:val="24"/>
        </w:rPr>
        <w:t>经查，国外无相同类型的标准。</w:t>
      </w:r>
    </w:p>
    <w:p>
      <w:pPr>
        <w:spacing w:before="312" w:beforeLines="100" w:after="312" w:afterLines="1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六</w:t>
      </w:r>
      <w:r>
        <w:rPr>
          <w:rFonts w:eastAsia="黑体"/>
          <w:bCs/>
          <w:sz w:val="24"/>
        </w:rPr>
        <w:t>、与有关法律、</w:t>
      </w:r>
      <w:r>
        <w:rPr>
          <w:rFonts w:hint="eastAsia" w:eastAsia="黑体"/>
          <w:bCs/>
          <w:sz w:val="24"/>
        </w:rPr>
        <w:t>行政</w:t>
      </w:r>
      <w:r>
        <w:rPr>
          <w:rFonts w:eastAsia="黑体"/>
          <w:bCs/>
          <w:sz w:val="24"/>
        </w:rPr>
        <w:t>法规</w:t>
      </w:r>
      <w:r>
        <w:rPr>
          <w:rFonts w:hint="eastAsia" w:eastAsia="黑体"/>
          <w:bCs/>
          <w:sz w:val="24"/>
        </w:rPr>
        <w:t>及相关</w:t>
      </w:r>
      <w:r>
        <w:rPr>
          <w:rFonts w:eastAsia="黑体"/>
          <w:bCs/>
          <w:sz w:val="24"/>
        </w:rPr>
        <w:t>标准的关系</w:t>
      </w:r>
    </w:p>
    <w:p>
      <w:pPr>
        <w:ind w:firstLine="480" w:firstLineChars="200"/>
        <w:rPr>
          <w:sz w:val="24"/>
        </w:rPr>
      </w:pPr>
      <w:r>
        <w:rPr>
          <w:sz w:val="24"/>
        </w:rPr>
        <w:t>与有关法律、</w:t>
      </w:r>
      <w:r>
        <w:rPr>
          <w:rFonts w:hint="eastAsia"/>
          <w:sz w:val="24"/>
        </w:rPr>
        <w:t>行政</w:t>
      </w:r>
      <w:r>
        <w:rPr>
          <w:sz w:val="24"/>
        </w:rPr>
        <w:t>法规</w:t>
      </w:r>
      <w:r>
        <w:rPr>
          <w:rFonts w:hint="eastAsia"/>
          <w:sz w:val="24"/>
        </w:rPr>
        <w:t>及相关</w:t>
      </w:r>
      <w:r>
        <w:rPr>
          <w:sz w:val="24"/>
        </w:rPr>
        <w:t>标准没有冲突。</w:t>
      </w:r>
    </w:p>
    <w:p>
      <w:pPr>
        <w:spacing w:before="312" w:beforeLines="100" w:after="312" w:afterLines="1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七、重大分歧意见的处理经过和依据</w:t>
      </w:r>
    </w:p>
    <w:p>
      <w:pPr>
        <w:ind w:firstLine="482"/>
        <w:rPr>
          <w:sz w:val="24"/>
        </w:rPr>
      </w:pPr>
      <w:r>
        <w:rPr>
          <w:sz w:val="24"/>
        </w:rPr>
        <w:t>无重大分歧。</w:t>
      </w:r>
    </w:p>
    <w:p>
      <w:pPr>
        <w:spacing w:before="312" w:beforeLines="100" w:after="312" w:afterLines="1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八、涉及专利的有关说明</w:t>
      </w:r>
    </w:p>
    <w:p>
      <w:pPr>
        <w:spacing w:line="360" w:lineRule="auto"/>
        <w:ind w:firstLine="482"/>
        <w:rPr>
          <w:sz w:val="24"/>
        </w:rPr>
      </w:pPr>
      <w:r>
        <w:rPr>
          <w:sz w:val="24"/>
        </w:rPr>
        <w:t>经查，本标准不涉及国内外专利。</w:t>
      </w:r>
    </w:p>
    <w:p>
      <w:pPr>
        <w:spacing w:before="312" w:beforeLines="100" w:after="312" w:afterLines="1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九、实施国家标准的要求，以及组织措施、技术措施、过渡期和实施日期的建议等措施建议</w:t>
      </w:r>
    </w:p>
    <w:p>
      <w:pPr>
        <w:ind w:firstLine="482"/>
        <w:rPr>
          <w:rFonts w:eastAsia="黑体"/>
          <w:bCs/>
          <w:sz w:val="24"/>
        </w:rPr>
      </w:pPr>
      <w:r>
        <w:rPr>
          <w:rFonts w:hint="eastAsia"/>
          <w:sz w:val="24"/>
        </w:rPr>
        <w:t>由于本标准反映了</w:t>
      </w:r>
      <w:r>
        <w:rPr>
          <w:rFonts w:hint="eastAsia"/>
          <w:sz w:val="24"/>
          <w:lang w:eastAsia="zh-CN"/>
        </w:rPr>
        <w:t>富锂镍酸锂</w:t>
      </w:r>
      <w:r>
        <w:rPr>
          <w:rFonts w:hint="eastAsia"/>
          <w:sz w:val="24"/>
        </w:rPr>
        <w:t>行业的需求，因此可积极向厂家及国内外用户推荐采用本标准。</w:t>
      </w:r>
    </w:p>
    <w:p>
      <w:pPr>
        <w:spacing w:before="312" w:beforeLines="100" w:after="312" w:afterLines="1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十、其他应</w:t>
      </w:r>
      <w:r>
        <w:rPr>
          <w:rFonts w:hint="eastAsia" w:eastAsia="黑体"/>
          <w:bCs/>
          <w:sz w:val="24"/>
        </w:rPr>
        <w:t>当</w:t>
      </w:r>
      <w:r>
        <w:rPr>
          <w:rFonts w:eastAsia="黑体"/>
          <w:bCs/>
          <w:sz w:val="24"/>
        </w:rPr>
        <w:t>说明的事项</w:t>
      </w:r>
    </w:p>
    <w:p>
      <w:pPr>
        <w:ind w:firstLine="482"/>
        <w:rPr>
          <w:sz w:val="24"/>
        </w:rPr>
      </w:pPr>
      <w:r>
        <w:rPr>
          <w:sz w:val="24"/>
        </w:rPr>
        <w:t>无。</w:t>
      </w:r>
    </w:p>
    <w:p>
      <w:pPr>
        <w:adjustRightInd w:val="0"/>
        <w:snapToGrid w:val="0"/>
        <w:spacing w:line="360" w:lineRule="auto"/>
        <w:ind w:firstLine="5400" w:firstLineChars="225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《</w:t>
      </w:r>
      <w:r>
        <w:rPr>
          <w:rFonts w:hint="eastAsia"/>
          <w:b/>
          <w:sz w:val="24"/>
          <w:lang w:eastAsia="zh-CN"/>
        </w:rPr>
        <w:t>富锂镍酸锂</w:t>
      </w:r>
      <w:r>
        <w:rPr>
          <w:b/>
          <w:sz w:val="24"/>
        </w:rPr>
        <w:t>》</w:t>
      </w:r>
      <w:r>
        <w:rPr>
          <w:rFonts w:hint="eastAsia"/>
          <w:b/>
          <w:sz w:val="24"/>
          <w:lang w:val="en-US" w:eastAsia="zh-CN"/>
        </w:rPr>
        <w:t>行业</w:t>
      </w:r>
      <w:r>
        <w:rPr>
          <w:b/>
          <w:sz w:val="24"/>
        </w:rPr>
        <w:t>标准编制</w:t>
      </w:r>
      <w:r>
        <w:rPr>
          <w:rFonts w:hint="eastAsia"/>
          <w:b/>
          <w:sz w:val="24"/>
        </w:rPr>
        <w:t>工作</w:t>
      </w:r>
      <w:r>
        <w:rPr>
          <w:b/>
          <w:sz w:val="24"/>
        </w:rPr>
        <w:t>组</w:t>
      </w:r>
    </w:p>
    <w:p>
      <w:pPr>
        <w:spacing w:line="360" w:lineRule="auto"/>
        <w:jc w:val="right"/>
        <w:rPr>
          <w:rFonts w:hint="eastAsia" w:eastAsia="黑体"/>
          <w:lang w:eastAsia="zh-CN"/>
        </w:rPr>
      </w:pPr>
      <w:r>
        <w:rPr>
          <w:rFonts w:eastAsia="黑体"/>
          <w:sz w:val="24"/>
        </w:rPr>
        <w:t>202</w:t>
      </w:r>
      <w:r>
        <w:rPr>
          <w:rFonts w:hint="eastAsia" w:eastAsia="黑体"/>
          <w:sz w:val="24"/>
        </w:rPr>
        <w:t>4</w:t>
      </w:r>
      <w:r>
        <w:rPr>
          <w:rFonts w:eastAsia="黑体"/>
          <w:sz w:val="24"/>
        </w:rPr>
        <w:t>-</w:t>
      </w:r>
      <w:r>
        <w:rPr>
          <w:rFonts w:hint="eastAsia" w:eastAsia="黑体"/>
          <w:sz w:val="24"/>
          <w:lang w:val="en-US" w:eastAsia="zh-CN"/>
        </w:rPr>
        <w:t>10</w:t>
      </w:r>
      <w:r>
        <w:rPr>
          <w:rFonts w:eastAsia="黑体"/>
          <w:sz w:val="24"/>
        </w:rPr>
        <w:t>-</w:t>
      </w:r>
      <w:r>
        <w:rPr>
          <w:rFonts w:hint="eastAsia" w:eastAsia="黑体"/>
          <w:sz w:val="24"/>
        </w:rPr>
        <w:t>2</w:t>
      </w:r>
      <w:r>
        <w:rPr>
          <w:rFonts w:hint="eastAsia" w:eastAsia="黑体"/>
          <w:sz w:val="24"/>
          <w:lang w:val="en-US" w:eastAsia="zh-CN"/>
        </w:rPr>
        <w:t>1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A3"/>
    <w:rsid w:val="00184AC7"/>
    <w:rsid w:val="001F3F20"/>
    <w:rsid w:val="003038B9"/>
    <w:rsid w:val="003846AD"/>
    <w:rsid w:val="00423DE1"/>
    <w:rsid w:val="00432EB8"/>
    <w:rsid w:val="007061A3"/>
    <w:rsid w:val="00A25735"/>
    <w:rsid w:val="00C065DC"/>
    <w:rsid w:val="00F858A4"/>
    <w:rsid w:val="15365B87"/>
    <w:rsid w:val="1AA57FC0"/>
    <w:rsid w:val="35F86A06"/>
    <w:rsid w:val="422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段 Char Char"/>
    <w:link w:val="12"/>
    <w:qFormat/>
    <w:uiPriority w:val="0"/>
    <w:rPr>
      <w:rFonts w:ascii="宋体"/>
    </w:rPr>
  </w:style>
  <w:style w:type="paragraph" w:customStyle="1" w:styleId="12">
    <w:name w:val="段"/>
    <w:link w:val="11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准文件_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标准文件_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9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1862</Words>
  <Characters>10619</Characters>
  <Lines>88</Lines>
  <Paragraphs>24</Paragraphs>
  <TotalTime>1</TotalTime>
  <ScaleCrop>false</ScaleCrop>
  <LinksUpToDate>false</LinksUpToDate>
  <CharactersWithSpaces>12457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2024-06-06T06:36:00Z</dcterms:created>
  <dc:creator>深圳德方创域-钟文</dc:creator>
  <cp:lastModifiedBy>乔凡</cp:lastModifiedBy>
  <dcterms:modified xsi:type="dcterms:W3CDTF">2024-10-21T09:17:22Z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049F8FAB77B7493B9F68D752B9250D75</vt:lpwstr>
  </property>
</Properties>
</file>