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EF9DB">
      <w:pPr>
        <w:adjustRightInd w:val="0"/>
        <w:snapToGrid w:val="0"/>
        <w:spacing w:beforeLines="0" w:line="240" w:lineRule="auto"/>
        <w:ind w:firstLine="0"/>
        <w:jc w:val="left"/>
        <w:rPr>
          <w:rFonts w:ascii="Times New Roman" w:hAnsi="Times New Roman"/>
          <w:sz w:val="28"/>
          <w:szCs w:val="28"/>
        </w:rPr>
      </w:pPr>
      <w:bookmarkStart w:id="16" w:name="_GoBack"/>
      <w:bookmarkEnd w:id="16"/>
    </w:p>
    <w:p w14:paraId="69550DD6">
      <w:pPr>
        <w:spacing w:beforeLines="0" w:line="240" w:lineRule="auto"/>
        <w:ind w:firstLine="0"/>
        <w:jc w:val="center"/>
        <w:rPr>
          <w:rFonts w:ascii="Times New Roman" w:hAnsi="Times New Roman"/>
          <w:sz w:val="48"/>
          <w:szCs w:val="48"/>
        </w:rPr>
      </w:pPr>
    </w:p>
    <w:p w14:paraId="34405866">
      <w:pPr>
        <w:spacing w:beforeLines="0" w:line="240" w:lineRule="auto"/>
        <w:ind w:firstLine="0"/>
        <w:jc w:val="center"/>
        <w:rPr>
          <w:rFonts w:ascii="Times New Roman" w:hAnsi="Times New Roman"/>
          <w:sz w:val="48"/>
          <w:szCs w:val="48"/>
        </w:rPr>
      </w:pPr>
    </w:p>
    <w:p w14:paraId="431E50E8">
      <w:pPr>
        <w:adjustRightInd w:val="0"/>
        <w:snapToGrid w:val="0"/>
        <w:spacing w:before="156" w:beforeLines="0" w:line="240" w:lineRule="auto"/>
        <w:ind w:firstLine="0"/>
        <w:jc w:val="center"/>
        <w:rPr>
          <w:rFonts w:ascii="Times New Roman" w:hAnsi="Times New Roman"/>
          <w:sz w:val="44"/>
          <w:szCs w:val="44"/>
        </w:rPr>
      </w:pPr>
      <w:r>
        <w:rPr>
          <w:rFonts w:ascii="Times New Roman" w:hAnsi="Times New Roman"/>
          <w:sz w:val="44"/>
          <w:szCs w:val="44"/>
        </w:rPr>
        <w:t>《</w:t>
      </w:r>
      <w:r>
        <w:rPr>
          <w:rFonts w:hint="eastAsia" w:ascii="Times New Roman" w:hAnsi="Times New Roman"/>
          <w:sz w:val="44"/>
          <w:szCs w:val="44"/>
        </w:rPr>
        <w:t>铜冶炼炉渣</w:t>
      </w:r>
      <w:r>
        <w:rPr>
          <w:rFonts w:hint="eastAsia" w:ascii="Times New Roman" w:hAnsi="Times New Roman"/>
          <w:sz w:val="44"/>
          <w:szCs w:val="44"/>
          <w:lang w:val="en-US" w:eastAsia="zh-CN"/>
        </w:rPr>
        <w:t>中有价金属回收</w:t>
      </w:r>
      <w:r>
        <w:rPr>
          <w:rFonts w:hint="eastAsia" w:ascii="Times New Roman" w:hAnsi="Times New Roman"/>
          <w:sz w:val="44"/>
          <w:szCs w:val="44"/>
        </w:rPr>
        <w:t>技术</w:t>
      </w:r>
      <w:r>
        <w:rPr>
          <w:rFonts w:ascii="Times New Roman" w:hAnsi="Times New Roman"/>
          <w:sz w:val="44"/>
          <w:szCs w:val="44"/>
        </w:rPr>
        <w:t>规范》</w:t>
      </w:r>
    </w:p>
    <w:p w14:paraId="4D2EB2E7">
      <w:pPr>
        <w:adjustRightInd w:val="0"/>
        <w:snapToGrid w:val="0"/>
        <w:spacing w:before="156" w:beforeLines="0" w:line="240" w:lineRule="auto"/>
        <w:ind w:firstLine="0"/>
        <w:jc w:val="center"/>
        <w:rPr>
          <w:rFonts w:ascii="Times New Roman" w:hAnsi="Times New Roman"/>
          <w:sz w:val="44"/>
          <w:szCs w:val="44"/>
        </w:rPr>
      </w:pPr>
    </w:p>
    <w:p w14:paraId="2FD88808">
      <w:pPr>
        <w:spacing w:before="156" w:line="240" w:lineRule="auto"/>
        <w:ind w:firstLine="0"/>
        <w:jc w:val="center"/>
        <w:rPr>
          <w:rFonts w:ascii="Times New Roman" w:hAnsi="Times New Roman"/>
          <w:b/>
          <w:sz w:val="44"/>
          <w:szCs w:val="44"/>
        </w:rPr>
      </w:pPr>
      <w:r>
        <w:rPr>
          <w:rFonts w:ascii="Times New Roman" w:hAnsi="Times New Roman"/>
          <w:sz w:val="44"/>
          <w:szCs w:val="44"/>
        </w:rPr>
        <w:t>编制说明</w:t>
      </w:r>
    </w:p>
    <w:p w14:paraId="5B6DE1A7">
      <w:pPr>
        <w:spacing w:before="156"/>
        <w:ind w:firstLine="0"/>
        <w:jc w:val="center"/>
        <w:rPr>
          <w:rFonts w:ascii="Times New Roman" w:hAnsi="Times New Roman" w:eastAsia="黑体"/>
          <w:b/>
          <w:sz w:val="48"/>
          <w:szCs w:val="48"/>
        </w:rPr>
      </w:pPr>
    </w:p>
    <w:p w14:paraId="4F63F310">
      <w:pPr>
        <w:spacing w:before="156"/>
        <w:ind w:firstLine="0"/>
        <w:jc w:val="center"/>
        <w:rPr>
          <w:rFonts w:ascii="Times New Roman" w:hAnsi="Times New Roman"/>
          <w:sz w:val="28"/>
          <w:szCs w:val="28"/>
        </w:rPr>
      </w:pPr>
    </w:p>
    <w:p w14:paraId="0576F159">
      <w:pPr>
        <w:spacing w:before="156"/>
        <w:ind w:firstLine="0"/>
        <w:jc w:val="center"/>
        <w:rPr>
          <w:rFonts w:ascii="Times New Roman" w:hAnsi="Times New Roman"/>
          <w:sz w:val="28"/>
          <w:szCs w:val="28"/>
        </w:rPr>
      </w:pPr>
    </w:p>
    <w:p w14:paraId="1BA7B482">
      <w:pPr>
        <w:spacing w:before="156"/>
        <w:ind w:firstLine="0"/>
        <w:jc w:val="center"/>
        <w:rPr>
          <w:rFonts w:ascii="Times New Roman" w:hAnsi="Times New Roman"/>
          <w:sz w:val="28"/>
          <w:szCs w:val="28"/>
        </w:rPr>
      </w:pPr>
    </w:p>
    <w:p w14:paraId="00F9790C">
      <w:pPr>
        <w:spacing w:before="156"/>
        <w:ind w:firstLine="0"/>
        <w:jc w:val="center"/>
        <w:rPr>
          <w:rFonts w:ascii="Times New Roman" w:hAnsi="Times New Roman"/>
          <w:sz w:val="28"/>
          <w:szCs w:val="28"/>
        </w:rPr>
      </w:pPr>
    </w:p>
    <w:p w14:paraId="727416EA">
      <w:pPr>
        <w:spacing w:before="156"/>
        <w:ind w:firstLine="0"/>
        <w:jc w:val="center"/>
        <w:rPr>
          <w:rFonts w:ascii="Times New Roman" w:hAnsi="Times New Roman"/>
          <w:sz w:val="28"/>
          <w:szCs w:val="28"/>
        </w:rPr>
      </w:pPr>
    </w:p>
    <w:p w14:paraId="43560307">
      <w:pPr>
        <w:spacing w:before="156"/>
        <w:ind w:firstLine="0"/>
        <w:jc w:val="center"/>
        <w:rPr>
          <w:rFonts w:ascii="Times New Roman" w:hAnsi="Times New Roman"/>
          <w:sz w:val="28"/>
          <w:szCs w:val="28"/>
        </w:rPr>
      </w:pPr>
    </w:p>
    <w:p w14:paraId="507F4DEC">
      <w:pPr>
        <w:spacing w:before="156"/>
        <w:ind w:firstLine="0"/>
        <w:rPr>
          <w:rFonts w:ascii="Times New Roman" w:hAnsi="Times New Roman"/>
          <w:sz w:val="28"/>
          <w:szCs w:val="28"/>
        </w:rPr>
      </w:pPr>
    </w:p>
    <w:p w14:paraId="4F0C4028">
      <w:pPr>
        <w:spacing w:before="156"/>
        <w:ind w:firstLine="0"/>
        <w:rPr>
          <w:rFonts w:ascii="Times New Roman" w:hAnsi="Times New Roman" w:eastAsia="方正小标宋_GBK"/>
          <w:sz w:val="32"/>
          <w:szCs w:val="32"/>
        </w:rPr>
      </w:pPr>
    </w:p>
    <w:p w14:paraId="7721FB8B">
      <w:pPr>
        <w:spacing w:before="156"/>
        <w:ind w:firstLine="0"/>
        <w:jc w:val="center"/>
        <w:rPr>
          <w:rFonts w:ascii="Times New Roman" w:hAnsi="Times New Roman"/>
          <w:sz w:val="32"/>
          <w:szCs w:val="32"/>
        </w:rPr>
      </w:pPr>
      <w:r>
        <w:rPr>
          <w:rFonts w:ascii="Times New Roman" w:hAnsi="Times New Roman"/>
          <w:sz w:val="32"/>
          <w:szCs w:val="32"/>
        </w:rPr>
        <w:t>云南铜业《</w:t>
      </w:r>
      <w:r>
        <w:rPr>
          <w:rFonts w:hint="eastAsia" w:ascii="Times New Roman" w:hAnsi="Times New Roman"/>
          <w:sz w:val="32"/>
          <w:szCs w:val="32"/>
        </w:rPr>
        <w:t>铜冶炼炉渣</w:t>
      </w:r>
      <w:r>
        <w:rPr>
          <w:rFonts w:hint="eastAsia" w:ascii="Times New Roman" w:hAnsi="Times New Roman"/>
          <w:sz w:val="32"/>
          <w:szCs w:val="32"/>
          <w:lang w:val="en-US" w:eastAsia="zh-CN"/>
        </w:rPr>
        <w:t>中有价金属回收</w:t>
      </w:r>
      <w:r>
        <w:rPr>
          <w:rFonts w:hint="eastAsia" w:ascii="Times New Roman" w:hAnsi="Times New Roman"/>
          <w:sz w:val="32"/>
          <w:szCs w:val="32"/>
        </w:rPr>
        <w:t>技术规范</w:t>
      </w:r>
      <w:r>
        <w:rPr>
          <w:rFonts w:ascii="Times New Roman" w:hAnsi="Times New Roman"/>
          <w:sz w:val="32"/>
          <w:szCs w:val="32"/>
        </w:rPr>
        <w:t>》编制组</w:t>
      </w:r>
    </w:p>
    <w:p w14:paraId="3250132D">
      <w:pPr>
        <w:spacing w:before="156"/>
        <w:ind w:firstLine="0"/>
        <w:jc w:val="center"/>
        <w:rPr>
          <w:rFonts w:ascii="Times New Roman" w:hAnsi="Times New Roman"/>
          <w:sz w:val="28"/>
          <w:szCs w:val="28"/>
        </w:rPr>
      </w:pPr>
      <w:r>
        <w:rPr>
          <w:rFonts w:ascii="Times New Roman" w:hAnsi="Times New Roman"/>
          <w:sz w:val="28"/>
          <w:szCs w:val="28"/>
        </w:rPr>
        <w:t>二零二</w:t>
      </w:r>
      <w:r>
        <w:rPr>
          <w:rFonts w:hint="eastAsia" w:ascii="Times New Roman" w:hAnsi="Times New Roman"/>
          <w:sz w:val="28"/>
          <w:szCs w:val="28"/>
          <w:lang w:val="en-US" w:eastAsia="zh-CN"/>
        </w:rPr>
        <w:t>四</w:t>
      </w:r>
      <w:r>
        <w:rPr>
          <w:rFonts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14:textFill>
            <w14:solidFill>
              <w14:schemeClr w14:val="tx1"/>
            </w14:solidFill>
          </w14:textFill>
        </w:rPr>
        <w:t>十</w:t>
      </w:r>
      <w:r>
        <w:rPr>
          <w:rFonts w:ascii="Times New Roman" w:hAnsi="Times New Roman"/>
          <w:color w:val="000000" w:themeColor="text1"/>
          <w:sz w:val="28"/>
          <w:szCs w:val="28"/>
          <w14:textFill>
            <w14:solidFill>
              <w14:schemeClr w14:val="tx1"/>
            </w14:solidFill>
          </w14:textFill>
        </w:rPr>
        <w:t>月</w:t>
      </w:r>
    </w:p>
    <w:p w14:paraId="75803CCE">
      <w:pPr>
        <w:autoSpaceDE w:val="0"/>
        <w:autoSpaceDN w:val="0"/>
        <w:adjustRightInd w:val="0"/>
        <w:spacing w:before="156"/>
        <w:jc w:val="left"/>
        <w:rPr>
          <w:rFonts w:ascii="Times New Roman" w:hAnsi="Times New Roman" w:eastAsia="黑体"/>
          <w:sz w:val="32"/>
          <w:szCs w:val="32"/>
        </w:rPr>
      </w:pPr>
    </w:p>
    <w:p w14:paraId="5D5FE64A">
      <w:pPr>
        <w:autoSpaceDE w:val="0"/>
        <w:autoSpaceDN w:val="0"/>
        <w:adjustRightInd w:val="0"/>
        <w:spacing w:before="156"/>
        <w:ind w:firstLine="0"/>
        <w:jc w:val="left"/>
        <w:rPr>
          <w:rFonts w:ascii="Times New Roman" w:hAnsi="Times New Roman"/>
          <w:kern w:val="0"/>
          <w:szCs w:val="21"/>
        </w:rPr>
      </w:pPr>
    </w:p>
    <w:p w14:paraId="4C8AF7AD">
      <w:pPr>
        <w:autoSpaceDE w:val="0"/>
        <w:autoSpaceDN w:val="0"/>
        <w:adjustRightInd w:val="0"/>
        <w:spacing w:before="156"/>
        <w:ind w:firstLine="0"/>
        <w:jc w:val="left"/>
        <w:rPr>
          <w:rFonts w:ascii="Times New Roman" w:hAnsi="Times New Roman"/>
          <w:kern w:val="0"/>
          <w:szCs w:val="21"/>
        </w:rPr>
      </w:pPr>
    </w:p>
    <w:p w14:paraId="23079BCA">
      <w:pPr>
        <w:spacing w:beforeLines="0" w:line="360" w:lineRule="auto"/>
        <w:ind w:firstLine="0"/>
        <w:contextualSpacing/>
        <w:outlineLvl w:val="0"/>
        <w:rPr>
          <w:rFonts w:ascii="Times New Roman" w:hAnsi="Times New Roman"/>
          <w:b/>
          <w:sz w:val="24"/>
          <w:szCs w:val="24"/>
        </w:rPr>
      </w:pPr>
      <w:bookmarkStart w:id="0" w:name="_Toc53480279"/>
      <w:r>
        <w:rPr>
          <w:rFonts w:ascii="Times New Roman" w:hAnsi="Times New Roman"/>
          <w:b/>
          <w:sz w:val="24"/>
          <w:szCs w:val="24"/>
        </w:rPr>
        <w:t>一、工作简况</w:t>
      </w:r>
      <w:bookmarkEnd w:id="0"/>
    </w:p>
    <w:p w14:paraId="5D5C6E9C">
      <w:pPr>
        <w:spacing w:beforeLines="0" w:line="360" w:lineRule="auto"/>
        <w:ind w:firstLine="0"/>
        <w:contextualSpacing/>
        <w:outlineLvl w:val="1"/>
        <w:rPr>
          <w:rFonts w:ascii="Times New Roman" w:hAnsi="Times New Roman"/>
          <w:b/>
          <w:sz w:val="24"/>
          <w:szCs w:val="24"/>
        </w:rPr>
      </w:pPr>
      <w:bookmarkStart w:id="1" w:name="_Toc53480280"/>
      <w:r>
        <w:rPr>
          <w:rFonts w:ascii="Times New Roman" w:hAnsi="Times New Roman"/>
          <w:b/>
          <w:sz w:val="24"/>
          <w:szCs w:val="24"/>
        </w:rPr>
        <w:t>1 任务来源</w:t>
      </w:r>
      <w:bookmarkEnd w:id="1"/>
    </w:p>
    <w:p w14:paraId="45849C78">
      <w:pPr>
        <w:pStyle w:val="45"/>
        <w:spacing w:line="276" w:lineRule="auto"/>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本项目是根据国家标准化技术委员会《工业和信息化部办公厅关于印发2024年第一批行业标准制修订计划的通知》（工信厅科〔2024〕18号），计划编号为2024-0311T-YS，项目名称为《铜冶炼炉渣中有价金属回收技术规范》，主要起草单位为云南铜业股份有限公司、江西铜业股份有限公司、铜陵有色金属集团控股有限公司、金川集团股份有限公司、矿冶科技集团有限公司、大冶有色金属有限责任公司，计划应完成时间为2026年3月14日。</w:t>
      </w:r>
    </w:p>
    <w:p w14:paraId="2F6C6900">
      <w:pPr>
        <w:spacing w:beforeLines="0" w:line="360" w:lineRule="auto"/>
        <w:ind w:firstLine="0"/>
        <w:contextualSpacing/>
        <w:outlineLvl w:val="1"/>
        <w:rPr>
          <w:rFonts w:hint="default" w:ascii="Times New Roman" w:hAnsi="Times New Roman" w:eastAsia="宋体"/>
          <w:b/>
          <w:szCs w:val="21"/>
          <w:lang w:val="en-US" w:eastAsia="zh-CN"/>
        </w:rPr>
      </w:pPr>
      <w:r>
        <w:rPr>
          <w:rFonts w:ascii="Times New Roman" w:hAnsi="Times New Roman"/>
          <w:b/>
          <w:sz w:val="24"/>
          <w:szCs w:val="24"/>
        </w:rPr>
        <w:t>2</w:t>
      </w:r>
      <w:r>
        <w:rPr>
          <w:rFonts w:hint="eastAsia" w:ascii="Times New Roman" w:hAnsi="Times New Roman"/>
          <w:b/>
          <w:sz w:val="24"/>
          <w:szCs w:val="24"/>
          <w:lang w:val="en-US" w:eastAsia="zh-CN"/>
        </w:rPr>
        <w:t>制定背景</w:t>
      </w:r>
    </w:p>
    <w:p w14:paraId="69002433">
      <w:pPr>
        <w:pStyle w:val="45"/>
        <w:spacing w:line="276" w:lineRule="auto"/>
        <w:jc w:val="both"/>
        <w:rPr>
          <w:rFonts w:asciiTheme="minorEastAsia" w:hAnsiTheme="minorEastAsia" w:eastAsiaTheme="minorEastAsia"/>
        </w:rPr>
      </w:pPr>
      <w:bookmarkStart w:id="2" w:name="_Toc53480282"/>
      <w:r>
        <w:rPr>
          <w:rFonts w:hint="eastAsia" w:asciiTheme="minorEastAsia" w:hAnsiTheme="minorEastAsia" w:eastAsiaTheme="minorEastAsia"/>
        </w:rPr>
        <w:t>据《中国矿产资源报告2</w:t>
      </w:r>
      <w:r>
        <w:rPr>
          <w:rFonts w:asciiTheme="minorEastAsia" w:hAnsiTheme="minorEastAsia" w:eastAsiaTheme="minorEastAsia"/>
        </w:rPr>
        <w:t>02</w:t>
      </w:r>
      <w:r>
        <w:rPr>
          <w:rFonts w:hint="eastAsia" w:asciiTheme="minorEastAsia" w:hAnsiTheme="minorEastAsia" w:eastAsiaTheme="minorEastAsia"/>
          <w:lang w:val="en-US" w:eastAsia="zh-CN"/>
        </w:rPr>
        <w:t>3</w:t>
      </w:r>
      <w:r>
        <w:rPr>
          <w:rFonts w:hint="eastAsia" w:asciiTheme="minorEastAsia" w:hAnsiTheme="minorEastAsia" w:eastAsiaTheme="minorEastAsia"/>
        </w:rPr>
        <w:t>》，我国年精炼铜产量达到</w:t>
      </w:r>
      <w:r>
        <w:rPr>
          <w:rFonts w:hint="eastAsia" w:asciiTheme="minorEastAsia" w:hAnsiTheme="minorEastAsia" w:eastAsiaTheme="minorEastAsia"/>
          <w:lang w:val="en-US" w:eastAsia="zh-CN"/>
        </w:rPr>
        <w:t>1106.3</w:t>
      </w:r>
      <w:r>
        <w:rPr>
          <w:rFonts w:hint="eastAsia" w:asciiTheme="minorEastAsia" w:hAnsiTheme="minorEastAsia" w:eastAsiaTheme="minorEastAsia"/>
        </w:rPr>
        <w:t>万吨。经资料查阅，年产铜冶炼炉渣达</w:t>
      </w:r>
      <w:r>
        <w:rPr>
          <w:rFonts w:asciiTheme="minorEastAsia" w:hAnsiTheme="minorEastAsia" w:eastAsiaTheme="minorEastAsia"/>
        </w:rPr>
        <w:t>2600万吨，平均含铜品位约</w:t>
      </w:r>
      <w:r>
        <w:rPr>
          <w:rFonts w:hint="eastAsia" w:asciiTheme="minorEastAsia" w:hAnsiTheme="minorEastAsia" w:eastAsiaTheme="minorEastAsia"/>
        </w:rPr>
        <w:t>2</w:t>
      </w:r>
      <w:r>
        <w:rPr>
          <w:rFonts w:asciiTheme="minorEastAsia" w:hAnsiTheme="minorEastAsia" w:eastAsiaTheme="minorEastAsia"/>
        </w:rPr>
        <w:t>.0%，铜金属约</w:t>
      </w:r>
      <w:r>
        <w:rPr>
          <w:rFonts w:hint="eastAsia" w:asciiTheme="minorEastAsia" w:hAnsiTheme="minorEastAsia" w:eastAsiaTheme="minorEastAsia"/>
        </w:rPr>
        <w:t>5</w:t>
      </w:r>
      <w:r>
        <w:rPr>
          <w:rFonts w:asciiTheme="minorEastAsia" w:hAnsiTheme="minorEastAsia" w:eastAsiaTheme="minorEastAsia"/>
        </w:rPr>
        <w:t>2万吨，价值约310亿元，相当于一座超大型矿山年产量</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此外铜冶炼炉渣中还含有金、银、铋、铂和钯等有价金属</w:t>
      </w:r>
      <w:r>
        <w:rPr>
          <w:rFonts w:asciiTheme="minorEastAsia" w:hAnsiTheme="minorEastAsia" w:eastAsiaTheme="minorEastAsia"/>
        </w:rPr>
        <w:t>。</w:t>
      </w:r>
      <w:r>
        <w:rPr>
          <w:rFonts w:hint="eastAsia" w:asciiTheme="minorEastAsia" w:hAnsiTheme="minorEastAsia" w:eastAsiaTheme="minorEastAsia"/>
        </w:rPr>
        <w:t>《“十四五”循环经济发展规划》显示，2</w:t>
      </w:r>
      <w:r>
        <w:rPr>
          <w:rFonts w:asciiTheme="minorEastAsia" w:hAnsiTheme="minorEastAsia" w:eastAsiaTheme="minorEastAsia"/>
        </w:rPr>
        <w:t>020</w:t>
      </w:r>
      <w:r>
        <w:rPr>
          <w:rFonts w:hint="eastAsia" w:asciiTheme="minorEastAsia" w:hAnsiTheme="minorEastAsia" w:eastAsiaTheme="minorEastAsia"/>
        </w:rPr>
        <w:t>年我国再生有色金属产量1</w:t>
      </w:r>
      <w:r>
        <w:rPr>
          <w:rFonts w:asciiTheme="minorEastAsia" w:hAnsiTheme="minorEastAsia" w:eastAsiaTheme="minorEastAsia"/>
        </w:rPr>
        <w:t>450</w:t>
      </w:r>
      <w:r>
        <w:rPr>
          <w:rFonts w:hint="eastAsia" w:asciiTheme="minorEastAsia" w:hAnsiTheme="minorEastAsia" w:eastAsiaTheme="minorEastAsia"/>
        </w:rPr>
        <w:t>万吨，其中再生铜产量3</w:t>
      </w:r>
      <w:r>
        <w:rPr>
          <w:rFonts w:asciiTheme="minorEastAsia" w:hAnsiTheme="minorEastAsia" w:eastAsiaTheme="minorEastAsia"/>
        </w:rPr>
        <w:t>25</w:t>
      </w:r>
      <w:r>
        <w:rPr>
          <w:rFonts w:hint="eastAsia" w:asciiTheme="minorEastAsia" w:hAnsiTheme="minorEastAsia" w:eastAsiaTheme="minorEastAsia"/>
        </w:rPr>
        <w:t>万吨，2</w:t>
      </w:r>
      <w:r>
        <w:rPr>
          <w:rFonts w:asciiTheme="minorEastAsia" w:hAnsiTheme="minorEastAsia" w:eastAsiaTheme="minorEastAsia"/>
        </w:rPr>
        <w:t>025</w:t>
      </w:r>
      <w:r>
        <w:rPr>
          <w:rFonts w:hint="eastAsia" w:asciiTheme="minorEastAsia" w:hAnsiTheme="minorEastAsia" w:eastAsiaTheme="minorEastAsia"/>
        </w:rPr>
        <w:t>年目标中，再生铜达到4</w:t>
      </w:r>
      <w:r>
        <w:rPr>
          <w:rFonts w:asciiTheme="minorEastAsia" w:hAnsiTheme="minorEastAsia" w:eastAsiaTheme="minorEastAsia"/>
        </w:rPr>
        <w:t>00</w:t>
      </w:r>
      <w:r>
        <w:rPr>
          <w:rFonts w:hint="eastAsia" w:asciiTheme="minorEastAsia" w:hAnsiTheme="minorEastAsia" w:eastAsiaTheme="minorEastAsia"/>
        </w:rPr>
        <w:t>万吨，将</w:t>
      </w:r>
      <w:r>
        <w:rPr>
          <w:rFonts w:asciiTheme="minorEastAsia" w:hAnsiTheme="minorEastAsia" w:eastAsiaTheme="minorEastAsia"/>
        </w:rPr>
        <w:t>低品位矿、共伴生矿、难选冶矿</w:t>
      </w:r>
      <w:r>
        <w:rPr>
          <w:rFonts w:hint="eastAsia" w:asciiTheme="minorEastAsia" w:hAnsiTheme="minorEastAsia" w:eastAsiaTheme="minorEastAsia"/>
        </w:rPr>
        <w:t>、尾矿的综合利用列入重点任务。</w:t>
      </w:r>
    </w:p>
    <w:p w14:paraId="67546641">
      <w:pPr>
        <w:pStyle w:val="45"/>
        <w:spacing w:line="276" w:lineRule="auto"/>
        <w:jc w:val="both"/>
        <w:rPr>
          <w:rFonts w:asciiTheme="minorEastAsia" w:hAnsiTheme="minorEastAsia" w:eastAsiaTheme="minorEastAsia"/>
        </w:rPr>
      </w:pPr>
      <w:r>
        <w:rPr>
          <w:rFonts w:asciiTheme="minorEastAsia" w:hAnsiTheme="minorEastAsia" w:eastAsiaTheme="minorEastAsia"/>
        </w:rPr>
        <w:t>另一方面，随着世界铜资源日益枯竭</w:t>
      </w:r>
      <w:r>
        <w:rPr>
          <w:rFonts w:hint="eastAsia" w:asciiTheme="minorEastAsia" w:hAnsiTheme="minorEastAsia" w:eastAsiaTheme="minorEastAsia"/>
        </w:rPr>
        <w:t>以及我国</w:t>
      </w:r>
      <w:r>
        <w:rPr>
          <w:rFonts w:asciiTheme="minorEastAsia" w:hAnsiTheme="minorEastAsia" w:eastAsiaTheme="minorEastAsia"/>
        </w:rPr>
        <w:t>高速发展</w:t>
      </w:r>
      <w:r>
        <w:rPr>
          <w:rFonts w:hint="eastAsia" w:asciiTheme="minorEastAsia" w:hAnsiTheme="minorEastAsia" w:eastAsiaTheme="minorEastAsia"/>
        </w:rPr>
        <w:t>对金属资源需求量的增加</w:t>
      </w:r>
      <w:r>
        <w:rPr>
          <w:rFonts w:asciiTheme="minorEastAsia" w:hAnsiTheme="minorEastAsia" w:eastAsiaTheme="minorEastAsia"/>
        </w:rPr>
        <w:t>，</w:t>
      </w:r>
      <w:r>
        <w:rPr>
          <w:rFonts w:hint="eastAsia" w:asciiTheme="minorEastAsia" w:hAnsiTheme="minorEastAsia" w:eastAsiaTheme="minorEastAsia"/>
        </w:rPr>
        <w:t>直接弃渣会造成资源浪费，且弃渣的堆存会占用大量耕地，造成环境污染。目前，大冶有色、紫金铜业、贵溪冶炼厂、金川有色、铜陵有色等大型冶炼厂都设有渣选厂，据调研，南国铜业、紫金铜业、广西金川、大冶有色等尾矿含铜品位均在0</w:t>
      </w:r>
      <w:r>
        <w:rPr>
          <w:rFonts w:asciiTheme="minorEastAsia" w:hAnsiTheme="minorEastAsia" w:eastAsiaTheme="minorEastAsia"/>
        </w:rPr>
        <w:t>.2%</w:t>
      </w:r>
      <w:r>
        <w:rPr>
          <w:rFonts w:hint="eastAsia" w:asciiTheme="minorEastAsia" w:hAnsiTheme="minorEastAsia" w:eastAsiaTheme="minorEastAsia"/>
        </w:rPr>
        <w:t>以上，按照</w:t>
      </w:r>
      <w:r>
        <w:rPr>
          <w:rFonts w:hint="eastAsia" w:asciiTheme="minorEastAsia" w:hAnsiTheme="minorEastAsia" w:eastAsiaTheme="minorEastAsia"/>
          <w:lang w:val="en-US" w:eastAsia="zh-CN"/>
        </w:rPr>
        <w:t>上述</w:t>
      </w:r>
      <w:r>
        <w:rPr>
          <w:rFonts w:hint="eastAsia" w:asciiTheme="minorEastAsia" w:hAnsiTheme="minorEastAsia" w:eastAsiaTheme="minorEastAsia"/>
        </w:rPr>
        <w:t>年产铜冶炼炉渣量计算，尾矿含铜品位每降低0</w:t>
      </w:r>
      <w:r>
        <w:rPr>
          <w:rFonts w:asciiTheme="minorEastAsia" w:hAnsiTheme="minorEastAsia" w:eastAsiaTheme="minorEastAsia"/>
        </w:rPr>
        <w:t>.01</w:t>
      </w:r>
      <w:r>
        <w:rPr>
          <w:rFonts w:hint="eastAsia" w:asciiTheme="minorEastAsia" w:hAnsiTheme="minorEastAsia" w:eastAsiaTheme="minorEastAsia"/>
        </w:rPr>
        <w:t>个百分点，每年可以多回收约2</w:t>
      </w:r>
      <w:r>
        <w:rPr>
          <w:rFonts w:asciiTheme="minorEastAsia" w:hAnsiTheme="minorEastAsia" w:eastAsiaTheme="minorEastAsia"/>
        </w:rPr>
        <w:t>600</w:t>
      </w:r>
      <w:r>
        <w:rPr>
          <w:rFonts w:hint="eastAsia" w:asciiTheme="minorEastAsia" w:hAnsiTheme="minorEastAsia" w:eastAsiaTheme="minorEastAsia"/>
        </w:rPr>
        <w:t>吨铜金属，多创造1</w:t>
      </w:r>
      <w:r>
        <w:rPr>
          <w:rFonts w:asciiTheme="minorEastAsia" w:hAnsiTheme="minorEastAsia" w:eastAsiaTheme="minorEastAsia"/>
        </w:rPr>
        <w:t>.56</w:t>
      </w:r>
      <w:r>
        <w:rPr>
          <w:rFonts w:hint="eastAsia" w:asciiTheme="minorEastAsia" w:hAnsiTheme="minorEastAsia" w:eastAsiaTheme="minorEastAsia"/>
        </w:rPr>
        <w:t>亿经济效益，现在我国铜冶炼</w:t>
      </w:r>
      <w:r>
        <w:rPr>
          <w:rFonts w:hint="eastAsia" w:asciiTheme="minorEastAsia" w:hAnsiTheme="minorEastAsia" w:eastAsiaTheme="minorEastAsia"/>
          <w:lang w:val="en-US" w:eastAsia="zh-CN"/>
        </w:rPr>
        <w:t>铜回收工艺</w:t>
      </w:r>
      <w:r>
        <w:rPr>
          <w:rFonts w:hint="eastAsia" w:asciiTheme="minorEastAsia" w:hAnsiTheme="minorEastAsia" w:eastAsiaTheme="minorEastAsia"/>
        </w:rPr>
        <w:t>已经具备将冶炼渣尾矿降低到0</w:t>
      </w:r>
      <w:r>
        <w:rPr>
          <w:rFonts w:asciiTheme="minorEastAsia" w:hAnsiTheme="minorEastAsia" w:eastAsiaTheme="minorEastAsia"/>
        </w:rPr>
        <w:t>.2%</w:t>
      </w:r>
      <w:r>
        <w:rPr>
          <w:rFonts w:hint="eastAsia" w:asciiTheme="minorEastAsia" w:hAnsiTheme="minorEastAsia" w:eastAsiaTheme="minorEastAsia"/>
        </w:rPr>
        <w:t>以下的技术，但由于现场技术管理规范性不足，大多数铜冶炼渣选厂未能达到该生产水平。因此，急需提高铜冶炼炉渣</w:t>
      </w:r>
      <w:r>
        <w:rPr>
          <w:rFonts w:hint="eastAsia" w:asciiTheme="minorEastAsia" w:hAnsiTheme="minorEastAsia" w:eastAsiaTheme="minorEastAsia"/>
          <w:lang w:val="en-US" w:eastAsia="zh-CN"/>
        </w:rPr>
        <w:t>有价金属回收</w:t>
      </w:r>
      <w:r>
        <w:rPr>
          <w:rFonts w:hint="eastAsia" w:asciiTheme="minorEastAsia" w:hAnsiTheme="minorEastAsia" w:eastAsiaTheme="minorEastAsia"/>
        </w:rPr>
        <w:t>技术水平。</w:t>
      </w:r>
    </w:p>
    <w:p w14:paraId="4EBFD5B7">
      <w:pPr>
        <w:spacing w:beforeLines="0" w:line="360" w:lineRule="auto"/>
        <w:ind w:firstLine="0"/>
        <w:contextualSpacing/>
        <w:outlineLvl w:val="1"/>
        <w:rPr>
          <w:rFonts w:ascii="Times New Roman" w:hAnsi="Times New Roman" w:eastAsia="黑体"/>
          <w:b/>
          <w:szCs w:val="21"/>
        </w:rPr>
      </w:pPr>
      <w:r>
        <w:rPr>
          <w:rFonts w:ascii="Times New Roman" w:hAnsi="Times New Roman"/>
          <w:b/>
          <w:sz w:val="24"/>
          <w:szCs w:val="24"/>
        </w:rPr>
        <w:t>3 主要工作过程</w:t>
      </w:r>
      <w:bookmarkEnd w:id="2"/>
    </w:p>
    <w:p w14:paraId="14E66BC2">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2022年1月～2022年4月根据《关于召开2021年度全国有色金属标准化技术委员会及各分技术委员会年会的通知》要求，收集、整理分析铜冶炼炉渣综合回收利用相关资料以及国家相关法律制度，组织编制、审查、修改、完善《铜冶炼炉渣选矿技术规范》草案、项目建议书、立项报告，并于2022年5月18日-5月19日通过了有色金属标准项目论证会。</w:t>
      </w:r>
    </w:p>
    <w:p w14:paraId="515FA873">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（2）2022年5月20日-31日，按秘书处要求和论证会意见修改完善《铜冶炼炉渣选矿技术规范》草案、项目建议书、立项报告等相关资料，并上报有色标委审批立项。</w:t>
      </w:r>
    </w:p>
    <w:p w14:paraId="0B07261D">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（3）2024年3月6日，根据有色标委专家评审意见，将规范名称修改为《铜冶炼炉渣中有价金属元素回收技术规范》。</w:t>
      </w:r>
    </w:p>
    <w:p w14:paraId="2065F641">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（4）2024年3月，项目通过工业和信息化部办公厅立项审批后，公布于国家工业和信息化部发布的《工业和信息化部办公厅关于印发2024年第一批行业标准制修订计划的通知》（工信厅科〔2024〕18号）文中。</w:t>
      </w:r>
    </w:p>
    <w:p w14:paraId="3973AD41">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（5）2024年3月-10月完成《铜冶炼炉渣中有价金属的回收技术规范》讨论稿及任务分配工作的编写工作。</w:t>
      </w:r>
    </w:p>
    <w:p w14:paraId="6813D517">
      <w:pPr>
        <w:keepNext/>
        <w:keepLines/>
        <w:spacing w:beforeLines="0" w:line="360" w:lineRule="auto"/>
        <w:ind w:firstLine="0"/>
        <w:contextualSpacing/>
        <w:outlineLvl w:val="1"/>
        <w:rPr>
          <w:rFonts w:hint="default" w:ascii="Times New Roman" w:hAnsi="Times New Roman" w:eastAsia="宋体"/>
          <w:b/>
          <w:sz w:val="24"/>
          <w:szCs w:val="30"/>
          <w:lang w:val="en-US" w:eastAsia="zh-CN"/>
        </w:rPr>
      </w:pPr>
      <w:bookmarkStart w:id="3" w:name="_Toc29998"/>
      <w:bookmarkStart w:id="4" w:name="_Toc53480288"/>
      <w:r>
        <w:rPr>
          <w:rFonts w:hint="eastAsia" w:ascii="Times New Roman" w:hAnsi="Times New Roman"/>
          <w:b/>
          <w:sz w:val="24"/>
          <w:szCs w:val="24"/>
        </w:rPr>
        <w:t>二、</w:t>
      </w:r>
      <w:r>
        <w:rPr>
          <w:rFonts w:ascii="Times New Roman" w:hAnsi="Times New Roman"/>
          <w:b/>
          <w:sz w:val="24"/>
          <w:szCs w:val="24"/>
        </w:rPr>
        <w:t>标准编制原则</w:t>
      </w:r>
      <w:bookmarkEnd w:id="3"/>
      <w:bookmarkEnd w:id="4"/>
      <w:r>
        <w:rPr>
          <w:rFonts w:hint="eastAsia" w:ascii="Times New Roman" w:hAnsi="Times New Roman"/>
          <w:b/>
          <w:sz w:val="24"/>
          <w:szCs w:val="24"/>
          <w:lang w:eastAsia="zh-CN"/>
        </w:rPr>
        <w:t>、</w:t>
      </w:r>
      <w:r>
        <w:rPr>
          <w:rFonts w:hint="eastAsia" w:ascii="Times New Roman" w:hAnsi="Times New Roman"/>
          <w:b/>
          <w:sz w:val="24"/>
          <w:szCs w:val="30"/>
          <w:lang w:val="en-US" w:eastAsia="zh-CN"/>
        </w:rPr>
        <w:t>主要技术要求的依据（包括验证报告、统计数据等）及理由、修订前后技术内容的对比</w:t>
      </w:r>
    </w:p>
    <w:p w14:paraId="07D7F8C4">
      <w:pPr>
        <w:spacing w:beforeLines="0" w:line="360" w:lineRule="auto"/>
        <w:ind w:firstLine="0"/>
        <w:contextualSpacing/>
        <w:outlineLvl w:val="0"/>
        <w:rPr>
          <w:rFonts w:hint="default" w:ascii="Times New Roman" w:hAnsi="Times New Roman" w:eastAsia="宋体"/>
          <w:b/>
          <w:sz w:val="24"/>
          <w:szCs w:val="24"/>
          <w:lang w:val="en-US" w:eastAsia="zh-CN"/>
        </w:rPr>
      </w:pPr>
      <w:r>
        <w:rPr>
          <w:rFonts w:hint="eastAsia" w:ascii="Times New Roman" w:hAnsi="Times New Roman"/>
          <w:b/>
          <w:sz w:val="24"/>
          <w:szCs w:val="24"/>
          <w:lang w:val="en-US" w:eastAsia="zh-CN"/>
        </w:rPr>
        <w:t>1、标准编制原则</w:t>
      </w:r>
    </w:p>
    <w:p w14:paraId="2CA3E9EF">
      <w:pPr>
        <w:pStyle w:val="45"/>
        <w:spacing w:line="276" w:lineRule="auto"/>
        <w:jc w:val="both"/>
        <w:rPr>
          <w:rFonts w:hint="eastAsia" w:asciiTheme="minorEastAsia" w:hAnsiTheme="minorEastAsia" w:eastAsiaTheme="minorEastAsia"/>
          <w:lang w:val="en-US" w:eastAsia="zh-CN"/>
        </w:rPr>
      </w:pPr>
      <w:bookmarkStart w:id="5" w:name="_Toc53480290"/>
      <w:r>
        <w:rPr>
          <w:rFonts w:hint="eastAsia" w:asciiTheme="minorEastAsia" w:hAnsiTheme="minorEastAsia" w:eastAsiaTheme="minorEastAsia"/>
          <w:lang w:val="en-US" w:eastAsia="zh-CN"/>
        </w:rPr>
        <w:t>本标准在修订过程中，认真贯彻执行工业和信息化部、全国有色金属标准化技术委员会有关行业标准制修订管理办法，遵循“面向市场、服务产业、自主修订、适时推出、及时制修订、不断完善”的原则，以及先进性、科学性、合理性和可操作性的原则。本标准的修订，与技术创新、试验验证、产业推进、应用推广相结合，统筹推进，符合产业发展的原则。</w:t>
      </w:r>
    </w:p>
    <w:p w14:paraId="1892411D">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本标准起草过程中，主要按 GB/T 1.1-2020《标准化工作导则 第1部分:标准化文件的结构和起草规则》进行编写。本标准的起草本着以下的依据和原则:</w:t>
      </w:r>
    </w:p>
    <w:p w14:paraId="27F86606">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1）遵循国家法律法规、规章制度的原则。</w:t>
      </w:r>
    </w:p>
    <w:p w14:paraId="6CF50957">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2）遵循先进性、适用性和通用性相结合原则。</w:t>
      </w:r>
    </w:p>
    <w:p w14:paraId="47114FB3">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3）与生产实际相结合原则。</w:t>
      </w:r>
    </w:p>
    <w:bookmarkEnd w:id="5"/>
    <w:p w14:paraId="7F77C4D0">
      <w:pPr>
        <w:keepNext/>
        <w:keepLines/>
        <w:spacing w:beforeLines="0" w:line="360" w:lineRule="auto"/>
        <w:ind w:firstLine="0"/>
        <w:contextualSpacing/>
        <w:outlineLvl w:val="1"/>
        <w:rPr>
          <w:rFonts w:hint="default" w:ascii="Times New Roman" w:hAnsi="Times New Roman" w:eastAsia="宋体"/>
          <w:b/>
          <w:sz w:val="24"/>
          <w:szCs w:val="30"/>
          <w:lang w:val="en-US" w:eastAsia="zh-CN"/>
        </w:rPr>
      </w:pPr>
      <w:r>
        <w:rPr>
          <w:rFonts w:hint="eastAsia" w:ascii="Times New Roman" w:hAnsi="Times New Roman"/>
          <w:b/>
          <w:sz w:val="24"/>
          <w:szCs w:val="30"/>
          <w:lang w:val="en-US" w:eastAsia="zh-CN"/>
        </w:rPr>
        <w:t>2.主要技术要求的依据（包括验证报告、统计数据等）及理由</w:t>
      </w:r>
    </w:p>
    <w:p w14:paraId="5A7AC18A">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本标准设置了6个章节内容，规定了铜冶炼炉渣中有价金属回收过程中的技术要求，具体包括：</w:t>
      </w:r>
    </w:p>
    <w:p w14:paraId="30F9FD9F">
      <w:pPr>
        <w:pStyle w:val="45"/>
        <w:spacing w:line="276" w:lineRule="auto"/>
        <w:jc w:val="both"/>
        <w:rPr>
          <w:rFonts w:hint="eastAsia" w:asciiTheme="minorEastAsia" w:hAnsiTheme="minorEastAsia" w:eastAsiaTheme="minorEastAsia"/>
          <w:lang w:val="en-US" w:eastAsia="zh-CN"/>
        </w:rPr>
      </w:pPr>
      <w:bookmarkStart w:id="6" w:name="_Toc53480291"/>
      <w:r>
        <w:rPr>
          <w:rFonts w:hint="eastAsia" w:asciiTheme="minorEastAsia" w:hAnsiTheme="minorEastAsia" w:eastAsiaTheme="minorEastAsia"/>
          <w:lang w:val="en-US" w:eastAsia="zh-CN"/>
        </w:rPr>
        <w:t>2.1 范围</w:t>
      </w:r>
      <w:bookmarkEnd w:id="6"/>
    </w:p>
    <w:p w14:paraId="4E27CED8">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规定了本规范的的主要内容、适用范围。</w:t>
      </w:r>
    </w:p>
    <w:p w14:paraId="59815EA7">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2.2 规范性引用文件</w:t>
      </w:r>
    </w:p>
    <w:p w14:paraId="19510DC4">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引用了与本规范密切相关的法规、制度和标准规范。</w:t>
      </w:r>
    </w:p>
    <w:p w14:paraId="51AD0CAB">
      <w:pPr>
        <w:pStyle w:val="45"/>
        <w:spacing w:line="276" w:lineRule="auto"/>
        <w:jc w:val="both"/>
        <w:rPr>
          <w:rFonts w:hint="eastAsia" w:asciiTheme="minorEastAsia" w:hAnsiTheme="minorEastAsia" w:eastAsiaTheme="minorEastAsia"/>
          <w:lang w:val="en-US" w:eastAsia="zh-CN"/>
        </w:rPr>
      </w:pPr>
      <w:bookmarkStart w:id="7" w:name="_Toc53480293"/>
      <w:r>
        <w:rPr>
          <w:rFonts w:hint="eastAsia" w:asciiTheme="minorEastAsia" w:hAnsiTheme="minorEastAsia" w:eastAsiaTheme="minorEastAsia"/>
          <w:lang w:val="en-US" w:eastAsia="zh-CN"/>
        </w:rPr>
        <w:t>2.3 术语和定义</w:t>
      </w:r>
      <w:bookmarkEnd w:id="7"/>
    </w:p>
    <w:p w14:paraId="1972D04E">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给出了理解本规范内容所必须的铜冶炼炉渣、冷却、破碎、磨矿等术语和定义。</w:t>
      </w:r>
    </w:p>
    <w:p w14:paraId="1749B681">
      <w:pPr>
        <w:pStyle w:val="45"/>
        <w:spacing w:line="276" w:lineRule="auto"/>
        <w:jc w:val="both"/>
        <w:rPr>
          <w:rFonts w:hint="default" w:asciiTheme="minorEastAsia" w:hAnsiTheme="minorEastAsia" w:eastAsiaTheme="minorEastAsia"/>
          <w:lang w:val="en-US" w:eastAsia="zh-CN"/>
        </w:rPr>
      </w:pPr>
      <w:bookmarkStart w:id="8" w:name="_Toc53480294"/>
      <w:r>
        <w:rPr>
          <w:rFonts w:hint="eastAsia" w:asciiTheme="minorEastAsia" w:hAnsiTheme="minorEastAsia" w:eastAsiaTheme="minorEastAsia"/>
          <w:lang w:val="en-US" w:eastAsia="zh-CN"/>
        </w:rPr>
        <w:t xml:space="preserve">2.4 </w:t>
      </w:r>
      <w:bookmarkEnd w:id="8"/>
      <w:r>
        <w:rPr>
          <w:rFonts w:hint="eastAsia" w:asciiTheme="minorEastAsia" w:hAnsiTheme="minorEastAsia" w:eastAsiaTheme="minorEastAsia"/>
          <w:lang w:val="en-US" w:eastAsia="zh-CN"/>
        </w:rPr>
        <w:t>基本要求</w:t>
      </w:r>
    </w:p>
    <w:p w14:paraId="2C3B7B0B">
      <w:pPr>
        <w:pStyle w:val="45"/>
        <w:spacing w:line="276" w:lineRule="auto"/>
        <w:jc w:val="both"/>
        <w:rPr>
          <w:rFonts w:hint="default" w:asciiTheme="minorEastAsia" w:hAnsiTheme="minorEastAsia" w:eastAsiaTheme="minorEastAsia"/>
          <w:lang w:val="en-US" w:eastAsia="zh-CN"/>
        </w:rPr>
      </w:pPr>
      <w:bookmarkStart w:id="9" w:name="_Toc53480295"/>
      <w:bookmarkStart w:id="10" w:name="_Toc12827269"/>
      <w:r>
        <w:rPr>
          <w:rFonts w:hint="eastAsia" w:asciiTheme="minorEastAsia" w:hAnsiTheme="minorEastAsia" w:eastAsiaTheme="minorEastAsia"/>
          <w:lang w:val="en-US" w:eastAsia="zh-CN"/>
        </w:rPr>
        <w:t>给出了铜冶炼炉渣贮存、有价金属回收过程中污染物排放、废气、废水、固体废物、噪声，金属平衡管理应符合的相关要求。</w:t>
      </w:r>
    </w:p>
    <w:p w14:paraId="58B5D26F">
      <w:pPr>
        <w:pStyle w:val="45"/>
        <w:spacing w:line="276" w:lineRule="auto"/>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w:t>
      </w:r>
      <w:bookmarkEnd w:id="9"/>
      <w:bookmarkEnd w:id="10"/>
      <w:r>
        <w:rPr>
          <w:rFonts w:hint="eastAsia" w:asciiTheme="minorEastAsia" w:hAnsiTheme="minorEastAsia" w:eastAsiaTheme="minorEastAsia"/>
          <w:lang w:val="en-US" w:eastAsia="zh-CN"/>
        </w:rPr>
        <w:t>5 工艺流程</w:t>
      </w:r>
    </w:p>
    <w:p w14:paraId="25B2A4A2">
      <w:pPr>
        <w:pStyle w:val="45"/>
        <w:spacing w:line="276" w:lineRule="auto"/>
        <w:jc w:val="both"/>
        <w:rPr>
          <w:rFonts w:hint="default" w:asciiTheme="minorEastAsia" w:hAnsiTheme="minorEastAsia" w:eastAsiaTheme="minorEastAsia"/>
          <w:lang w:val="en-US" w:eastAsia="zh-CN"/>
        </w:rPr>
      </w:pPr>
      <w:bookmarkStart w:id="11" w:name="_Toc53480296"/>
      <w:r>
        <w:rPr>
          <w:rFonts w:hint="eastAsia" w:asciiTheme="minorEastAsia" w:hAnsiTheme="minorEastAsia" w:eastAsiaTheme="minorEastAsia"/>
          <w:lang w:val="en-US" w:eastAsia="zh-CN"/>
        </w:rPr>
        <w:t>明确铜冶炼炉渣中有价金属的方法和相关工艺情况。</w:t>
      </w:r>
    </w:p>
    <w:p w14:paraId="0D081FEF">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w:t>
      </w:r>
      <w:bookmarkEnd w:id="11"/>
      <w:r>
        <w:rPr>
          <w:rFonts w:hint="eastAsia" w:asciiTheme="minorEastAsia" w:hAnsiTheme="minorEastAsia" w:eastAsiaTheme="minorEastAsia"/>
          <w:lang w:val="en-US" w:eastAsia="zh-CN"/>
        </w:rPr>
        <w:t>6有价金属回收技术要求</w:t>
      </w:r>
    </w:p>
    <w:p w14:paraId="6DF160D6">
      <w:pPr>
        <w:pStyle w:val="45"/>
        <w:spacing w:line="276" w:lineRule="auto"/>
        <w:jc w:val="both"/>
        <w:rPr>
          <w:rFonts w:hint="eastAsia" w:asciiTheme="minorEastAsia" w:hAnsiTheme="minorEastAsia" w:eastAsiaTheme="minorEastAsia"/>
          <w:lang w:val="en-US" w:eastAsia="zh-CN"/>
        </w:rPr>
      </w:pPr>
      <w:bookmarkStart w:id="12" w:name="_Toc53480297"/>
      <w:r>
        <w:rPr>
          <w:rFonts w:hint="eastAsia" w:asciiTheme="minorEastAsia" w:hAnsiTheme="minorEastAsia" w:eastAsiaTheme="minorEastAsia"/>
          <w:lang w:val="en-US" w:eastAsia="zh-CN"/>
        </w:rPr>
        <w:t>规范了火法精炼、预处理、浸出、电积法（铜）、浮选、铁回收、重选、置换法（铜）、置换法（镉）、电积法（锌）、浓缩法（锌）、电解法（铅）、铋冶炼、等其他工艺技术要求。</w:t>
      </w:r>
    </w:p>
    <w:bookmarkEnd w:id="12"/>
    <w:p w14:paraId="58807A9D">
      <w:pPr>
        <w:autoSpaceDE w:val="0"/>
        <w:autoSpaceDN w:val="0"/>
        <w:spacing w:beforeLines="0" w:line="360" w:lineRule="auto"/>
        <w:ind w:firstLine="0"/>
        <w:contextualSpacing/>
        <w:outlineLvl w:val="0"/>
        <w:rPr>
          <w:rFonts w:hint="default" w:ascii="Times New Roman" w:hAnsi="Times New Roman" w:eastAsia="宋体"/>
          <w:b/>
          <w:sz w:val="24"/>
          <w:szCs w:val="24"/>
          <w:lang w:val="en-US" w:eastAsia="zh-CN"/>
        </w:rPr>
      </w:pPr>
      <w:bookmarkStart w:id="13" w:name="_Toc3786"/>
      <w:bookmarkStart w:id="14" w:name="_Toc53480308"/>
      <w:r>
        <w:rPr>
          <w:rFonts w:hint="eastAsia" w:ascii="Times New Roman" w:hAnsi="Times New Roman"/>
          <w:b/>
          <w:sz w:val="24"/>
          <w:szCs w:val="24"/>
          <w:lang w:val="en-US" w:eastAsia="zh-CN"/>
        </w:rPr>
        <w:t>三</w:t>
      </w:r>
      <w:r>
        <w:rPr>
          <w:rFonts w:ascii="Times New Roman" w:hAnsi="Times New Roman"/>
          <w:b/>
          <w:sz w:val="24"/>
          <w:szCs w:val="24"/>
        </w:rPr>
        <w:t>、与</w:t>
      </w:r>
      <w:r>
        <w:rPr>
          <w:rFonts w:hint="eastAsia" w:ascii="Times New Roman" w:hAnsi="Times New Roman"/>
          <w:b/>
          <w:sz w:val="24"/>
          <w:szCs w:val="24"/>
          <w:lang w:val="en-US" w:eastAsia="zh-CN"/>
        </w:rPr>
        <w:t>有关</w:t>
      </w:r>
      <w:r>
        <w:rPr>
          <w:rFonts w:ascii="Times New Roman" w:hAnsi="Times New Roman"/>
          <w:b/>
          <w:sz w:val="24"/>
          <w:szCs w:val="24"/>
        </w:rPr>
        <w:t>法律、</w:t>
      </w:r>
      <w:r>
        <w:rPr>
          <w:rFonts w:hint="eastAsia" w:ascii="Times New Roman" w:hAnsi="Times New Roman"/>
          <w:b/>
          <w:sz w:val="24"/>
          <w:szCs w:val="24"/>
          <w:lang w:val="en-US" w:eastAsia="zh-CN"/>
        </w:rPr>
        <w:t>行政法规和其他</w:t>
      </w:r>
      <w:r>
        <w:rPr>
          <w:rFonts w:ascii="Times New Roman" w:hAnsi="Times New Roman"/>
          <w:b/>
          <w:sz w:val="24"/>
          <w:szCs w:val="24"/>
        </w:rPr>
        <w:t>强制性标准</w:t>
      </w:r>
      <w:r>
        <w:rPr>
          <w:rFonts w:hint="eastAsia" w:ascii="Times New Roman" w:hAnsi="Times New Roman"/>
          <w:b/>
          <w:sz w:val="24"/>
          <w:szCs w:val="24"/>
          <w:lang w:eastAsia="zh-CN"/>
        </w:rPr>
        <w:t>的</w:t>
      </w:r>
      <w:r>
        <w:rPr>
          <w:rFonts w:hint="eastAsia" w:ascii="Times New Roman" w:hAnsi="Times New Roman"/>
          <w:b/>
          <w:sz w:val="24"/>
          <w:szCs w:val="24"/>
          <w:lang w:val="en-US" w:eastAsia="zh-CN"/>
        </w:rPr>
        <w:t>关系，</w:t>
      </w:r>
      <w:r>
        <w:rPr>
          <w:rFonts w:ascii="Times New Roman" w:hAnsi="Times New Roman"/>
          <w:b/>
          <w:sz w:val="24"/>
          <w:szCs w:val="24"/>
        </w:rPr>
        <w:t>配套</w:t>
      </w:r>
      <w:r>
        <w:rPr>
          <w:rFonts w:hint="eastAsia" w:ascii="Times New Roman" w:hAnsi="Times New Roman"/>
          <w:b/>
          <w:sz w:val="24"/>
          <w:szCs w:val="24"/>
          <w:lang w:val="en-US" w:eastAsia="zh-CN"/>
        </w:rPr>
        <w:t>推荐性标准的制定情况</w:t>
      </w:r>
    </w:p>
    <w:p w14:paraId="7CE40122">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1．本规范遵守的现行法律、法规。</w:t>
      </w:r>
    </w:p>
    <w:p w14:paraId="39926CE3">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2．本规范与强制性国家标准及相关标准协调配套情况。</w:t>
      </w:r>
    </w:p>
    <w:p w14:paraId="7899AF40">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通过工标网查询，目前为止未查询到国家、行业、地方有《铜冶炼炉渣中有价金属回收技术规范》相关技术标准。</w:t>
      </w:r>
    </w:p>
    <w:p w14:paraId="3178490B">
      <w:pPr>
        <w:autoSpaceDE w:val="0"/>
        <w:autoSpaceDN w:val="0"/>
        <w:spacing w:beforeLines="0" w:line="360" w:lineRule="auto"/>
        <w:ind w:firstLine="0"/>
        <w:contextualSpacing/>
        <w:outlineLvl w:val="0"/>
        <w:rPr>
          <w:rFonts w:hint="default" w:ascii="Times New Roman" w:hAnsi="Times New Roman"/>
          <w:b/>
          <w:sz w:val="24"/>
          <w:szCs w:val="24"/>
          <w:lang w:val="en-US" w:eastAsia="zh-CN"/>
        </w:rPr>
      </w:pPr>
      <w:r>
        <w:rPr>
          <w:rFonts w:hint="eastAsia" w:ascii="Times New Roman" w:hAnsi="Times New Roman"/>
          <w:b/>
          <w:sz w:val="24"/>
          <w:szCs w:val="24"/>
          <w:lang w:val="en-US" w:eastAsia="zh-CN"/>
        </w:rPr>
        <w:t>四、与国际标准化组织、其他国家或者地区有关法律法规和标准的对比分析</w:t>
      </w:r>
    </w:p>
    <w:p w14:paraId="64A25747">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无类似标准。</w:t>
      </w:r>
    </w:p>
    <w:p w14:paraId="69A01792">
      <w:pPr>
        <w:autoSpaceDE w:val="0"/>
        <w:autoSpaceDN w:val="0"/>
        <w:spacing w:beforeLines="0" w:line="360" w:lineRule="auto"/>
        <w:ind w:firstLine="0"/>
        <w:contextualSpacing/>
        <w:outlineLvl w:val="0"/>
        <w:rPr>
          <w:rFonts w:hint="default" w:ascii="Times New Roman" w:hAnsi="Times New Roman" w:eastAsia="宋体"/>
          <w:b/>
          <w:sz w:val="24"/>
          <w:szCs w:val="24"/>
          <w:lang w:val="en-US" w:eastAsia="zh-CN"/>
        </w:rPr>
      </w:pPr>
      <w:r>
        <w:rPr>
          <w:rFonts w:hint="eastAsia" w:ascii="Times New Roman" w:hAnsi="Times New Roman"/>
          <w:b/>
          <w:sz w:val="24"/>
          <w:szCs w:val="24"/>
          <w:lang w:val="en-US" w:eastAsia="zh-CN"/>
        </w:rPr>
        <w:t>五、</w:t>
      </w:r>
      <w:r>
        <w:rPr>
          <w:rFonts w:ascii="Times New Roman" w:hAnsi="Times New Roman"/>
          <w:b/>
          <w:sz w:val="24"/>
          <w:szCs w:val="24"/>
        </w:rPr>
        <w:t>重大分歧意见的处理</w:t>
      </w:r>
      <w:r>
        <w:rPr>
          <w:rFonts w:hint="eastAsia" w:ascii="Times New Roman" w:hAnsi="Times New Roman"/>
          <w:b/>
          <w:sz w:val="24"/>
          <w:szCs w:val="24"/>
          <w:lang w:val="en-US" w:eastAsia="zh-CN"/>
        </w:rPr>
        <w:t>过程、处理意见及其依据</w:t>
      </w:r>
    </w:p>
    <w:p w14:paraId="6A704077">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无。</w:t>
      </w:r>
    </w:p>
    <w:p w14:paraId="75FBAF5F">
      <w:pPr>
        <w:numPr>
          <w:ilvl w:val="0"/>
          <w:numId w:val="0"/>
        </w:numPr>
        <w:autoSpaceDE w:val="0"/>
        <w:autoSpaceDN w:val="0"/>
        <w:spacing w:beforeLines="0" w:line="360" w:lineRule="auto"/>
        <w:contextualSpacing/>
        <w:outlineLvl w:val="0"/>
        <w:rPr>
          <w:rFonts w:hint="eastAsia" w:ascii="Times New Roman" w:hAnsi="Times New Roman"/>
          <w:b/>
          <w:sz w:val="24"/>
          <w:szCs w:val="24"/>
          <w:lang w:val="en-US" w:eastAsia="zh-CN"/>
        </w:rPr>
      </w:pPr>
      <w:r>
        <w:rPr>
          <w:rFonts w:hint="eastAsia" w:ascii="Times New Roman" w:hAnsi="Times New Roman"/>
          <w:b/>
          <w:sz w:val="24"/>
          <w:szCs w:val="24"/>
          <w:lang w:val="en-US" w:eastAsia="zh-CN"/>
        </w:rPr>
        <w:t>六、对强制性国家标准自发布日期至实施日期之间的过渡期（以下简称过渡期）的建议及理由，包括实施强制性国家标准所需要的技术改造、成本投入、老旧产品退出市场时间等。</w:t>
      </w:r>
    </w:p>
    <w:p w14:paraId="7A6FF525">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不适用。</w:t>
      </w:r>
    </w:p>
    <w:p w14:paraId="68BF6164">
      <w:pPr>
        <w:numPr>
          <w:ilvl w:val="0"/>
          <w:numId w:val="0"/>
        </w:numPr>
        <w:autoSpaceDE w:val="0"/>
        <w:autoSpaceDN w:val="0"/>
        <w:spacing w:beforeLines="0" w:line="360" w:lineRule="auto"/>
        <w:ind w:leftChars="0"/>
        <w:contextualSpacing/>
        <w:outlineLvl w:val="0"/>
        <w:rPr>
          <w:rFonts w:hint="eastAsia" w:ascii="Times New Roman" w:hAnsi="Times New Roman"/>
          <w:b/>
          <w:sz w:val="24"/>
          <w:szCs w:val="24"/>
          <w:lang w:val="en-US" w:eastAsia="zh-CN"/>
        </w:rPr>
      </w:pPr>
      <w:r>
        <w:rPr>
          <w:rFonts w:hint="eastAsia" w:ascii="Times New Roman" w:hAnsi="Times New Roman"/>
          <w:b/>
          <w:sz w:val="24"/>
          <w:szCs w:val="24"/>
          <w:lang w:val="en-US" w:eastAsia="zh-CN"/>
        </w:rPr>
        <w:t>七、与实施强制性国家标准有关的政策措施，包括实施监督管理部门以及对违反强制性国家标准的行为进行处理的有关法律、行政法规、部门规章依据等</w:t>
      </w:r>
    </w:p>
    <w:p w14:paraId="2DC9A6F6">
      <w:pPr>
        <w:pStyle w:val="45"/>
        <w:spacing w:line="276" w:lineRule="auto"/>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不适用。</w:t>
      </w:r>
    </w:p>
    <w:p w14:paraId="581302BE">
      <w:pPr>
        <w:autoSpaceDE w:val="0"/>
        <w:autoSpaceDN w:val="0"/>
        <w:spacing w:beforeLines="0" w:line="360" w:lineRule="auto"/>
        <w:ind w:firstLine="0"/>
        <w:contextualSpacing/>
        <w:outlineLvl w:val="0"/>
        <w:rPr>
          <w:rFonts w:ascii="Times New Roman" w:hAnsi="Times New Roman"/>
          <w:b/>
          <w:sz w:val="24"/>
          <w:szCs w:val="24"/>
        </w:rPr>
      </w:pPr>
      <w:r>
        <w:rPr>
          <w:rFonts w:hint="eastAsia" w:ascii="Times New Roman" w:hAnsi="Times New Roman"/>
          <w:b/>
          <w:sz w:val="24"/>
          <w:szCs w:val="24"/>
          <w:lang w:val="en-US" w:eastAsia="zh-CN"/>
        </w:rPr>
        <w:t>八</w:t>
      </w:r>
      <w:r>
        <w:rPr>
          <w:rFonts w:ascii="Times New Roman" w:hAnsi="Times New Roman"/>
          <w:b/>
          <w:sz w:val="24"/>
          <w:szCs w:val="24"/>
        </w:rPr>
        <w:t>、</w:t>
      </w:r>
      <w:r>
        <w:rPr>
          <w:rFonts w:hint="eastAsia" w:ascii="Times New Roman" w:hAnsi="Times New Roman"/>
          <w:b/>
          <w:sz w:val="24"/>
          <w:szCs w:val="24"/>
        </w:rPr>
        <w:t>是否需要对外通报的建议及理由</w:t>
      </w:r>
    </w:p>
    <w:p w14:paraId="7A13B74F">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无。</w:t>
      </w:r>
    </w:p>
    <w:p w14:paraId="7BFBE497">
      <w:pPr>
        <w:numPr>
          <w:ilvl w:val="0"/>
          <w:numId w:val="0"/>
        </w:numPr>
        <w:autoSpaceDE w:val="0"/>
        <w:autoSpaceDN w:val="0"/>
        <w:spacing w:beforeLines="0" w:line="360" w:lineRule="auto"/>
        <w:ind w:leftChars="0"/>
        <w:contextualSpacing/>
        <w:outlineLvl w:val="0"/>
        <w:rPr>
          <w:rFonts w:hint="eastAsia" w:ascii="Times New Roman" w:hAnsi="Times New Roman"/>
          <w:b/>
          <w:sz w:val="24"/>
          <w:szCs w:val="24"/>
          <w:lang w:val="en-US" w:eastAsia="zh-CN"/>
        </w:rPr>
      </w:pPr>
      <w:r>
        <w:rPr>
          <w:rFonts w:hint="eastAsia" w:ascii="Times New Roman" w:hAnsi="Times New Roman"/>
          <w:b/>
          <w:sz w:val="24"/>
          <w:szCs w:val="24"/>
          <w:lang w:val="en-US" w:eastAsia="zh-CN"/>
        </w:rPr>
        <w:t>九、废止现行有关标准的建议</w:t>
      </w:r>
    </w:p>
    <w:p w14:paraId="7407F2BD">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无。</w:t>
      </w:r>
    </w:p>
    <w:p w14:paraId="459E2AB5">
      <w:pPr>
        <w:autoSpaceDE w:val="0"/>
        <w:autoSpaceDN w:val="0"/>
        <w:spacing w:beforeLines="0" w:line="360" w:lineRule="auto"/>
        <w:ind w:firstLine="0"/>
        <w:contextualSpacing/>
        <w:outlineLvl w:val="0"/>
        <w:rPr>
          <w:rFonts w:hint="default" w:ascii="Times New Roman" w:hAnsi="Times New Roman" w:eastAsia="宋体"/>
          <w:b/>
          <w:sz w:val="24"/>
          <w:szCs w:val="24"/>
          <w:lang w:val="en-US" w:eastAsia="zh-CN"/>
        </w:rPr>
      </w:pPr>
      <w:r>
        <w:rPr>
          <w:rFonts w:hint="eastAsia" w:ascii="Times New Roman" w:hAnsi="Times New Roman"/>
          <w:b/>
          <w:sz w:val="24"/>
          <w:szCs w:val="24"/>
          <w:lang w:val="en-US" w:eastAsia="zh-CN"/>
        </w:rPr>
        <w:t>十</w:t>
      </w:r>
      <w:r>
        <w:rPr>
          <w:rFonts w:ascii="Times New Roman" w:hAnsi="Times New Roman"/>
          <w:b/>
          <w:sz w:val="24"/>
          <w:szCs w:val="24"/>
        </w:rPr>
        <w:t>、涉及专利</w:t>
      </w:r>
      <w:bookmarkEnd w:id="13"/>
      <w:bookmarkEnd w:id="14"/>
      <w:r>
        <w:rPr>
          <w:rFonts w:hint="eastAsia" w:ascii="Times New Roman" w:hAnsi="Times New Roman"/>
          <w:b/>
          <w:sz w:val="24"/>
          <w:szCs w:val="24"/>
          <w:lang w:eastAsia="zh-CN"/>
        </w:rPr>
        <w:t>的</w:t>
      </w:r>
      <w:r>
        <w:rPr>
          <w:rFonts w:hint="eastAsia" w:ascii="Times New Roman" w:hAnsi="Times New Roman"/>
          <w:b/>
          <w:sz w:val="24"/>
          <w:szCs w:val="24"/>
          <w:lang w:val="en-US" w:eastAsia="zh-CN"/>
        </w:rPr>
        <w:t>有关说明</w:t>
      </w:r>
    </w:p>
    <w:p w14:paraId="6606AA39">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无。</w:t>
      </w:r>
    </w:p>
    <w:p w14:paraId="35FC0EA6">
      <w:pPr>
        <w:autoSpaceDE w:val="0"/>
        <w:autoSpaceDN w:val="0"/>
        <w:spacing w:beforeLines="0" w:line="360" w:lineRule="auto"/>
        <w:ind w:firstLine="0"/>
        <w:contextualSpacing/>
        <w:outlineLvl w:val="0"/>
        <w:rPr>
          <w:rFonts w:hint="default" w:ascii="Times New Roman" w:hAnsi="Times New Roman" w:eastAsia="宋体"/>
          <w:b/>
          <w:sz w:val="24"/>
          <w:szCs w:val="24"/>
          <w:lang w:val="en-US" w:eastAsia="zh-CN"/>
        </w:rPr>
      </w:pPr>
      <w:r>
        <w:rPr>
          <w:rFonts w:hint="eastAsia" w:ascii="Times New Roman" w:hAnsi="Times New Roman"/>
          <w:b/>
          <w:sz w:val="24"/>
          <w:szCs w:val="24"/>
          <w:lang w:val="en-US" w:eastAsia="zh-CN"/>
        </w:rPr>
        <w:t>十一</w:t>
      </w:r>
      <w:r>
        <w:rPr>
          <w:rFonts w:ascii="Times New Roman" w:hAnsi="Times New Roman"/>
          <w:b/>
          <w:sz w:val="24"/>
          <w:szCs w:val="24"/>
        </w:rPr>
        <w:t>、</w:t>
      </w:r>
      <w:r>
        <w:rPr>
          <w:rFonts w:hint="eastAsia" w:ascii="Times New Roman" w:hAnsi="Times New Roman"/>
          <w:b/>
          <w:sz w:val="24"/>
          <w:szCs w:val="24"/>
        </w:rPr>
        <w:t>强制性国家标准所涉及的产品、过程或者服务目录</w:t>
      </w:r>
    </w:p>
    <w:p w14:paraId="5553D558">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不适用。</w:t>
      </w:r>
    </w:p>
    <w:p w14:paraId="0DF41F7D">
      <w:pPr>
        <w:autoSpaceDE w:val="0"/>
        <w:autoSpaceDN w:val="0"/>
        <w:spacing w:beforeLines="0" w:line="360" w:lineRule="auto"/>
        <w:ind w:firstLine="0"/>
        <w:contextualSpacing/>
        <w:outlineLvl w:val="0"/>
        <w:rPr>
          <w:rFonts w:hint="default" w:ascii="Times New Roman" w:hAnsi="Times New Roman" w:eastAsia="宋体"/>
          <w:b/>
          <w:sz w:val="24"/>
          <w:szCs w:val="24"/>
          <w:lang w:val="en-US" w:eastAsia="zh-CN"/>
        </w:rPr>
      </w:pPr>
      <w:r>
        <w:rPr>
          <w:rFonts w:hint="eastAsia" w:ascii="Times New Roman" w:hAnsi="Times New Roman"/>
          <w:b/>
          <w:sz w:val="24"/>
          <w:szCs w:val="24"/>
          <w:lang w:val="en-US" w:eastAsia="zh-CN"/>
        </w:rPr>
        <w:t>十二</w:t>
      </w:r>
      <w:r>
        <w:rPr>
          <w:rFonts w:ascii="Times New Roman" w:hAnsi="Times New Roman"/>
          <w:b/>
          <w:sz w:val="24"/>
          <w:szCs w:val="24"/>
        </w:rPr>
        <w:t>、</w:t>
      </w:r>
      <w:r>
        <w:rPr>
          <w:rFonts w:hint="eastAsia" w:ascii="Times New Roman" w:hAnsi="Times New Roman"/>
          <w:b/>
          <w:sz w:val="24"/>
          <w:szCs w:val="24"/>
          <w:lang w:val="en-US" w:eastAsia="zh-CN"/>
        </w:rPr>
        <w:t>其他应予说明的事项</w:t>
      </w:r>
    </w:p>
    <w:p w14:paraId="2E407A1F">
      <w:pPr>
        <w:pStyle w:val="45"/>
        <w:spacing w:line="276" w:lineRule="auto"/>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无。</w:t>
      </w:r>
    </w:p>
    <w:p w14:paraId="65F9548E">
      <w:pPr>
        <w:autoSpaceDE w:val="0"/>
        <w:autoSpaceDN w:val="0"/>
        <w:spacing w:beforeLines="0" w:line="360" w:lineRule="auto"/>
        <w:ind w:firstLine="420" w:firstLineChars="200"/>
        <w:contextualSpacing/>
        <w:rPr>
          <w:rFonts w:ascii="Times New Roman" w:hAnsi="Times New Roman"/>
          <w:bCs/>
          <w:szCs w:val="21"/>
        </w:rPr>
      </w:pPr>
    </w:p>
    <w:p w14:paraId="21BC0642">
      <w:pPr>
        <w:autoSpaceDE w:val="0"/>
        <w:autoSpaceDN w:val="0"/>
        <w:spacing w:beforeLines="0" w:line="360" w:lineRule="auto"/>
        <w:ind w:firstLine="0"/>
        <w:contextualSpacing/>
        <w:outlineLvl w:val="0"/>
        <w:rPr>
          <w:rFonts w:ascii="Times New Roman" w:hAnsi="Times New Roman"/>
          <w:b/>
          <w:sz w:val="24"/>
          <w:szCs w:val="24"/>
        </w:rPr>
      </w:pPr>
    </w:p>
    <w:p w14:paraId="4FE82250">
      <w:pPr>
        <w:spacing w:beforeLines="0" w:line="360" w:lineRule="auto"/>
        <w:ind w:right="420" w:firstLine="0"/>
        <w:jc w:val="right"/>
        <w:rPr>
          <w:rFonts w:ascii="Times New Roman" w:hAnsi="Times New Roman"/>
          <w:szCs w:val="21"/>
        </w:rPr>
      </w:pPr>
      <w:r>
        <w:rPr>
          <w:rFonts w:ascii="Times New Roman" w:hAnsi="Times New Roman"/>
          <w:szCs w:val="21"/>
        </w:rPr>
        <w:t>云南铜业《</w:t>
      </w:r>
      <w:r>
        <w:rPr>
          <w:rFonts w:hint="eastAsia" w:ascii="Times New Roman" w:hAnsi="Times New Roman"/>
          <w:szCs w:val="21"/>
        </w:rPr>
        <w:t>铜冶炼炉渣</w:t>
      </w:r>
      <w:r>
        <w:rPr>
          <w:rFonts w:hint="eastAsia" w:ascii="Times New Roman" w:hAnsi="Times New Roman"/>
          <w:szCs w:val="21"/>
          <w:lang w:val="en-US" w:eastAsia="zh-CN"/>
        </w:rPr>
        <w:t>中有价金属回收</w:t>
      </w:r>
      <w:r>
        <w:rPr>
          <w:rFonts w:hint="eastAsia" w:ascii="Times New Roman" w:hAnsi="Times New Roman"/>
          <w:szCs w:val="21"/>
        </w:rPr>
        <w:t>技术规范</w:t>
      </w:r>
      <w:r>
        <w:rPr>
          <w:rFonts w:ascii="Times New Roman" w:hAnsi="Times New Roman"/>
          <w:szCs w:val="21"/>
        </w:rPr>
        <w:t>》</w:t>
      </w:r>
    </w:p>
    <w:p w14:paraId="75CF7222">
      <w:pPr>
        <w:spacing w:beforeLines="0" w:line="360" w:lineRule="auto"/>
        <w:ind w:firstLine="5810" w:firstLineChars="2767"/>
        <w:rPr>
          <w:rFonts w:ascii="Times New Roman" w:hAnsi="Times New Roman"/>
          <w:szCs w:val="21"/>
        </w:rPr>
      </w:pPr>
      <w:r>
        <w:rPr>
          <w:rFonts w:ascii="Times New Roman" w:hAnsi="Times New Roman"/>
          <w:szCs w:val="21"/>
        </w:rPr>
        <w:t>标准编制组</w:t>
      </w:r>
    </w:p>
    <w:p w14:paraId="220B4C50">
      <w:pPr>
        <w:spacing w:before="156" w:line="360" w:lineRule="auto"/>
        <w:ind w:firstLine="420" w:firstLineChars="200"/>
        <w:rPr>
          <w:rFonts w:ascii="Times New Roman" w:hAnsi="Times New Roman"/>
          <w:szCs w:val="21"/>
        </w:rPr>
      </w:pPr>
      <w:bookmarkStart w:id="15" w:name="_Toc5605_WPSOffice_Level1"/>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202</w:t>
      </w:r>
      <w:r>
        <w:rPr>
          <w:rFonts w:hint="eastAsia" w:ascii="Times New Roman" w:hAnsi="Times New Roman"/>
          <w:szCs w:val="21"/>
          <w:lang w:val="en-US" w:eastAsia="zh-CN"/>
        </w:rPr>
        <w:t>4</w:t>
      </w:r>
      <w:r>
        <w:rPr>
          <w:rFonts w:ascii="Times New Roman" w:hAnsi="Times New Roman"/>
          <w:szCs w:val="21"/>
        </w:rPr>
        <w:t>年</w:t>
      </w:r>
      <w:r>
        <w:rPr>
          <w:rFonts w:hint="eastAsia" w:ascii="Times New Roman" w:hAnsi="Times New Roman"/>
          <w:szCs w:val="21"/>
        </w:rPr>
        <w:t>10</w:t>
      </w:r>
      <w:r>
        <w:rPr>
          <w:rFonts w:ascii="Times New Roman" w:hAnsi="Times New Roman"/>
          <w:szCs w:val="21"/>
        </w:rPr>
        <w:t>月</w:t>
      </w:r>
      <w:bookmarkEnd w:id="15"/>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17A30">
    <w:pPr>
      <w:pStyle w:val="10"/>
      <w:framePr w:wrap="around" w:vAnchor="text" w:hAnchor="margin" w:xAlign="outside" w:y="1"/>
      <w:spacing w:before="120"/>
      <w:rPr>
        <w:rStyle w:val="18"/>
      </w:rPr>
    </w:pPr>
    <w:r>
      <w:rPr>
        <w:rStyle w:val="18"/>
      </w:rPr>
      <w:fldChar w:fldCharType="begin"/>
    </w:r>
    <w:r>
      <w:rPr>
        <w:rStyle w:val="18"/>
      </w:rPr>
      <w:instrText xml:space="preserve">PAGE  </w:instrText>
    </w:r>
    <w:r>
      <w:rPr>
        <w:rStyle w:val="18"/>
      </w:rPr>
      <w:fldChar w:fldCharType="separate"/>
    </w:r>
    <w:r>
      <w:rPr>
        <w:rStyle w:val="18"/>
      </w:rPr>
      <w:t>5</w:t>
    </w:r>
    <w:r>
      <w:rPr>
        <w:rStyle w:val="18"/>
      </w:rPr>
      <w:fldChar w:fldCharType="end"/>
    </w:r>
  </w:p>
  <w:p w14:paraId="7EA6D220">
    <w:pPr>
      <w:pStyle w:val="10"/>
      <w:spacing w:before="120"/>
      <w:ind w:right="360" w:firstLine="360"/>
      <w:jc w:val="right"/>
      <w:rPr>
        <w:rFonts w:eastAsia="楷体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C6EF">
    <w:pPr>
      <w:pStyle w:val="11"/>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7D74904"/>
    <w:multiLevelType w:val="multilevel"/>
    <w:tmpl w:val="47D74904"/>
    <w:lvl w:ilvl="0" w:tentative="0">
      <w:start w:val="1"/>
      <w:numFmt w:val="decimal"/>
      <w:pStyle w:val="35"/>
      <w:lvlText w:val="（%1）"/>
      <w:lvlJc w:val="left"/>
      <w:pPr>
        <w:tabs>
          <w:tab w:val="left" w:pos="104"/>
        </w:tabs>
        <w:ind w:left="-94" w:firstLine="454"/>
      </w:pPr>
      <w:rPr>
        <w:rFonts w:hint="eastAsia"/>
        <w:lang w:val="en-US"/>
      </w:rPr>
    </w:lvl>
    <w:lvl w:ilvl="1" w:tentative="0">
      <w:start w:val="1"/>
      <w:numFmt w:val="lowerLetter"/>
      <w:pStyle w:val="44"/>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96"/>
    <w:rsid w:val="00002FB9"/>
    <w:rsid w:val="00007E0B"/>
    <w:rsid w:val="000137B1"/>
    <w:rsid w:val="000242E9"/>
    <w:rsid w:val="00025672"/>
    <w:rsid w:val="00033BFE"/>
    <w:rsid w:val="00045555"/>
    <w:rsid w:val="00046905"/>
    <w:rsid w:val="00053A2C"/>
    <w:rsid w:val="00055032"/>
    <w:rsid w:val="00061C5E"/>
    <w:rsid w:val="000625EA"/>
    <w:rsid w:val="00071C56"/>
    <w:rsid w:val="00073047"/>
    <w:rsid w:val="00075C64"/>
    <w:rsid w:val="00097FC0"/>
    <w:rsid w:val="000A0CDB"/>
    <w:rsid w:val="000A3CD6"/>
    <w:rsid w:val="000D49B3"/>
    <w:rsid w:val="000D56D2"/>
    <w:rsid w:val="000E3C78"/>
    <w:rsid w:val="000F02A5"/>
    <w:rsid w:val="000F1640"/>
    <w:rsid w:val="000F4DCA"/>
    <w:rsid w:val="000F5EE3"/>
    <w:rsid w:val="000F74C9"/>
    <w:rsid w:val="001003AE"/>
    <w:rsid w:val="00103847"/>
    <w:rsid w:val="001048E8"/>
    <w:rsid w:val="001073DB"/>
    <w:rsid w:val="00113CF1"/>
    <w:rsid w:val="00122BAA"/>
    <w:rsid w:val="00125EC9"/>
    <w:rsid w:val="00131F25"/>
    <w:rsid w:val="00133753"/>
    <w:rsid w:val="00144BBD"/>
    <w:rsid w:val="001650DE"/>
    <w:rsid w:val="001672E0"/>
    <w:rsid w:val="0018076E"/>
    <w:rsid w:val="00196C83"/>
    <w:rsid w:val="001B0B9D"/>
    <w:rsid w:val="001C25DD"/>
    <w:rsid w:val="001C54D9"/>
    <w:rsid w:val="001D0B56"/>
    <w:rsid w:val="001E4588"/>
    <w:rsid w:val="00242609"/>
    <w:rsid w:val="00267831"/>
    <w:rsid w:val="00271334"/>
    <w:rsid w:val="00282121"/>
    <w:rsid w:val="00285F78"/>
    <w:rsid w:val="002A064D"/>
    <w:rsid w:val="002B47A6"/>
    <w:rsid w:val="002B6021"/>
    <w:rsid w:val="002C0B96"/>
    <w:rsid w:val="002C0D0A"/>
    <w:rsid w:val="002C2334"/>
    <w:rsid w:val="002C7CBD"/>
    <w:rsid w:val="002F0F9C"/>
    <w:rsid w:val="002F3DDF"/>
    <w:rsid w:val="002F5D83"/>
    <w:rsid w:val="00300641"/>
    <w:rsid w:val="00312676"/>
    <w:rsid w:val="00315468"/>
    <w:rsid w:val="0031589E"/>
    <w:rsid w:val="00340502"/>
    <w:rsid w:val="00342F42"/>
    <w:rsid w:val="00347DAB"/>
    <w:rsid w:val="003603F0"/>
    <w:rsid w:val="003610F0"/>
    <w:rsid w:val="003617DF"/>
    <w:rsid w:val="00361D2D"/>
    <w:rsid w:val="003706D9"/>
    <w:rsid w:val="003708D7"/>
    <w:rsid w:val="003709B3"/>
    <w:rsid w:val="00382B3B"/>
    <w:rsid w:val="0039450F"/>
    <w:rsid w:val="00397C4F"/>
    <w:rsid w:val="003A1728"/>
    <w:rsid w:val="003A1C50"/>
    <w:rsid w:val="003A672F"/>
    <w:rsid w:val="003B4B24"/>
    <w:rsid w:val="003B50E3"/>
    <w:rsid w:val="003C5691"/>
    <w:rsid w:val="003E148E"/>
    <w:rsid w:val="003E6765"/>
    <w:rsid w:val="0040296D"/>
    <w:rsid w:val="00415844"/>
    <w:rsid w:val="004164E2"/>
    <w:rsid w:val="004179EC"/>
    <w:rsid w:val="004225FD"/>
    <w:rsid w:val="004310E1"/>
    <w:rsid w:val="004342A1"/>
    <w:rsid w:val="00435CBE"/>
    <w:rsid w:val="00470D37"/>
    <w:rsid w:val="00493713"/>
    <w:rsid w:val="004A0E28"/>
    <w:rsid w:val="004C59AA"/>
    <w:rsid w:val="004D1C87"/>
    <w:rsid w:val="004D6ED1"/>
    <w:rsid w:val="004F1A94"/>
    <w:rsid w:val="005029FD"/>
    <w:rsid w:val="00502DA7"/>
    <w:rsid w:val="00507574"/>
    <w:rsid w:val="00516566"/>
    <w:rsid w:val="00545816"/>
    <w:rsid w:val="00551D25"/>
    <w:rsid w:val="00551DB5"/>
    <w:rsid w:val="005625B2"/>
    <w:rsid w:val="005677D1"/>
    <w:rsid w:val="005706F7"/>
    <w:rsid w:val="00575060"/>
    <w:rsid w:val="00584762"/>
    <w:rsid w:val="00592B65"/>
    <w:rsid w:val="00593612"/>
    <w:rsid w:val="00597561"/>
    <w:rsid w:val="005A364C"/>
    <w:rsid w:val="005A6C03"/>
    <w:rsid w:val="005B0861"/>
    <w:rsid w:val="005B5B85"/>
    <w:rsid w:val="005D4607"/>
    <w:rsid w:val="005D6E7C"/>
    <w:rsid w:val="005F1EC3"/>
    <w:rsid w:val="005F6790"/>
    <w:rsid w:val="005F7B3C"/>
    <w:rsid w:val="006047CB"/>
    <w:rsid w:val="00611899"/>
    <w:rsid w:val="006325B5"/>
    <w:rsid w:val="00636DAB"/>
    <w:rsid w:val="00644C5E"/>
    <w:rsid w:val="00650344"/>
    <w:rsid w:val="0065132D"/>
    <w:rsid w:val="006618A6"/>
    <w:rsid w:val="00665215"/>
    <w:rsid w:val="00666CCF"/>
    <w:rsid w:val="006761AB"/>
    <w:rsid w:val="00681ADC"/>
    <w:rsid w:val="00682D7A"/>
    <w:rsid w:val="006A2E0C"/>
    <w:rsid w:val="006A62F9"/>
    <w:rsid w:val="006C1BAA"/>
    <w:rsid w:val="006C214A"/>
    <w:rsid w:val="006D31F5"/>
    <w:rsid w:val="006D653D"/>
    <w:rsid w:val="00700E52"/>
    <w:rsid w:val="0070484A"/>
    <w:rsid w:val="00706BDC"/>
    <w:rsid w:val="007124EF"/>
    <w:rsid w:val="00721A61"/>
    <w:rsid w:val="00722261"/>
    <w:rsid w:val="00736229"/>
    <w:rsid w:val="00745726"/>
    <w:rsid w:val="0074620E"/>
    <w:rsid w:val="007500B4"/>
    <w:rsid w:val="00754361"/>
    <w:rsid w:val="00770E0A"/>
    <w:rsid w:val="00776691"/>
    <w:rsid w:val="007768A1"/>
    <w:rsid w:val="0078230C"/>
    <w:rsid w:val="0079149F"/>
    <w:rsid w:val="00791898"/>
    <w:rsid w:val="007B18C9"/>
    <w:rsid w:val="007B34D3"/>
    <w:rsid w:val="007B6E29"/>
    <w:rsid w:val="007C0D7E"/>
    <w:rsid w:val="007C68BD"/>
    <w:rsid w:val="007E079A"/>
    <w:rsid w:val="007E1866"/>
    <w:rsid w:val="007E2874"/>
    <w:rsid w:val="007E3E8A"/>
    <w:rsid w:val="007E5ED3"/>
    <w:rsid w:val="007F0579"/>
    <w:rsid w:val="0080533E"/>
    <w:rsid w:val="0081226F"/>
    <w:rsid w:val="00815ED6"/>
    <w:rsid w:val="0081682B"/>
    <w:rsid w:val="00825167"/>
    <w:rsid w:val="00830527"/>
    <w:rsid w:val="00835870"/>
    <w:rsid w:val="00835D87"/>
    <w:rsid w:val="00841451"/>
    <w:rsid w:val="00853A48"/>
    <w:rsid w:val="008656E8"/>
    <w:rsid w:val="008669FD"/>
    <w:rsid w:val="0087230E"/>
    <w:rsid w:val="0087232D"/>
    <w:rsid w:val="00873F65"/>
    <w:rsid w:val="00880357"/>
    <w:rsid w:val="008B0651"/>
    <w:rsid w:val="008B4D35"/>
    <w:rsid w:val="008C2EFB"/>
    <w:rsid w:val="008C6F10"/>
    <w:rsid w:val="008C7086"/>
    <w:rsid w:val="008D2225"/>
    <w:rsid w:val="008D2973"/>
    <w:rsid w:val="008D4D9F"/>
    <w:rsid w:val="008D79CA"/>
    <w:rsid w:val="008E067C"/>
    <w:rsid w:val="008E38A0"/>
    <w:rsid w:val="008F3A22"/>
    <w:rsid w:val="00910A77"/>
    <w:rsid w:val="00914A84"/>
    <w:rsid w:val="00936572"/>
    <w:rsid w:val="00937E93"/>
    <w:rsid w:val="009430B1"/>
    <w:rsid w:val="009439CB"/>
    <w:rsid w:val="00951443"/>
    <w:rsid w:val="00956997"/>
    <w:rsid w:val="00961D0B"/>
    <w:rsid w:val="009702E3"/>
    <w:rsid w:val="0097553A"/>
    <w:rsid w:val="0097598D"/>
    <w:rsid w:val="00976CFC"/>
    <w:rsid w:val="00977729"/>
    <w:rsid w:val="00980028"/>
    <w:rsid w:val="009846DF"/>
    <w:rsid w:val="00992341"/>
    <w:rsid w:val="009973CC"/>
    <w:rsid w:val="009A1730"/>
    <w:rsid w:val="009A46ED"/>
    <w:rsid w:val="009B3125"/>
    <w:rsid w:val="009C602B"/>
    <w:rsid w:val="009D563A"/>
    <w:rsid w:val="009E6298"/>
    <w:rsid w:val="009E7372"/>
    <w:rsid w:val="009E7F59"/>
    <w:rsid w:val="009F6B80"/>
    <w:rsid w:val="00A01910"/>
    <w:rsid w:val="00A05C91"/>
    <w:rsid w:val="00A23713"/>
    <w:rsid w:val="00A33BEE"/>
    <w:rsid w:val="00A43BBB"/>
    <w:rsid w:val="00A5080F"/>
    <w:rsid w:val="00A53780"/>
    <w:rsid w:val="00A60F1E"/>
    <w:rsid w:val="00A7711D"/>
    <w:rsid w:val="00A82F06"/>
    <w:rsid w:val="00A9413B"/>
    <w:rsid w:val="00A95A9D"/>
    <w:rsid w:val="00AA718A"/>
    <w:rsid w:val="00AB62BA"/>
    <w:rsid w:val="00AD10BE"/>
    <w:rsid w:val="00AD2E23"/>
    <w:rsid w:val="00AF494C"/>
    <w:rsid w:val="00AF635D"/>
    <w:rsid w:val="00AF69FE"/>
    <w:rsid w:val="00B00B24"/>
    <w:rsid w:val="00B01930"/>
    <w:rsid w:val="00B02F15"/>
    <w:rsid w:val="00B046C5"/>
    <w:rsid w:val="00B06FB1"/>
    <w:rsid w:val="00B11210"/>
    <w:rsid w:val="00B116B0"/>
    <w:rsid w:val="00B139FA"/>
    <w:rsid w:val="00B201C4"/>
    <w:rsid w:val="00B27D58"/>
    <w:rsid w:val="00B32A0B"/>
    <w:rsid w:val="00B44EFF"/>
    <w:rsid w:val="00B527F2"/>
    <w:rsid w:val="00B53614"/>
    <w:rsid w:val="00B5390E"/>
    <w:rsid w:val="00B72ADC"/>
    <w:rsid w:val="00B744DE"/>
    <w:rsid w:val="00B74AAD"/>
    <w:rsid w:val="00B83C54"/>
    <w:rsid w:val="00B84ED8"/>
    <w:rsid w:val="00B926AD"/>
    <w:rsid w:val="00BA05C7"/>
    <w:rsid w:val="00BA756A"/>
    <w:rsid w:val="00BB3DCB"/>
    <w:rsid w:val="00BB54D3"/>
    <w:rsid w:val="00BB6D7F"/>
    <w:rsid w:val="00BC00D8"/>
    <w:rsid w:val="00BC0646"/>
    <w:rsid w:val="00BD7DC4"/>
    <w:rsid w:val="00BF0320"/>
    <w:rsid w:val="00BF1CCD"/>
    <w:rsid w:val="00BF5D5C"/>
    <w:rsid w:val="00C0613B"/>
    <w:rsid w:val="00C2243C"/>
    <w:rsid w:val="00C243D8"/>
    <w:rsid w:val="00C257D0"/>
    <w:rsid w:val="00C317F3"/>
    <w:rsid w:val="00C33887"/>
    <w:rsid w:val="00C47C9D"/>
    <w:rsid w:val="00C54F5C"/>
    <w:rsid w:val="00C62918"/>
    <w:rsid w:val="00C766EC"/>
    <w:rsid w:val="00C8333F"/>
    <w:rsid w:val="00C86C3C"/>
    <w:rsid w:val="00C87B6F"/>
    <w:rsid w:val="00C929AC"/>
    <w:rsid w:val="00C93DB9"/>
    <w:rsid w:val="00CA303E"/>
    <w:rsid w:val="00CA3980"/>
    <w:rsid w:val="00CB0BF3"/>
    <w:rsid w:val="00CB4222"/>
    <w:rsid w:val="00CC7F6E"/>
    <w:rsid w:val="00CD13D2"/>
    <w:rsid w:val="00CD5A00"/>
    <w:rsid w:val="00CE06E2"/>
    <w:rsid w:val="00CE162A"/>
    <w:rsid w:val="00D00B6C"/>
    <w:rsid w:val="00D00BAB"/>
    <w:rsid w:val="00D14AFC"/>
    <w:rsid w:val="00D15A0F"/>
    <w:rsid w:val="00D35053"/>
    <w:rsid w:val="00D46479"/>
    <w:rsid w:val="00D54B95"/>
    <w:rsid w:val="00D55698"/>
    <w:rsid w:val="00D56B05"/>
    <w:rsid w:val="00D61958"/>
    <w:rsid w:val="00D6198B"/>
    <w:rsid w:val="00D62D4C"/>
    <w:rsid w:val="00D64367"/>
    <w:rsid w:val="00D66DF6"/>
    <w:rsid w:val="00D7023C"/>
    <w:rsid w:val="00D704B8"/>
    <w:rsid w:val="00D77BF8"/>
    <w:rsid w:val="00D806AA"/>
    <w:rsid w:val="00D83076"/>
    <w:rsid w:val="00D83D70"/>
    <w:rsid w:val="00D856BE"/>
    <w:rsid w:val="00D86111"/>
    <w:rsid w:val="00D86959"/>
    <w:rsid w:val="00D87E2B"/>
    <w:rsid w:val="00DA71E8"/>
    <w:rsid w:val="00DB3A96"/>
    <w:rsid w:val="00DB63C6"/>
    <w:rsid w:val="00DB7C52"/>
    <w:rsid w:val="00DC4E28"/>
    <w:rsid w:val="00DC64AB"/>
    <w:rsid w:val="00DD7A0F"/>
    <w:rsid w:val="00DE186A"/>
    <w:rsid w:val="00DE600B"/>
    <w:rsid w:val="00DF4252"/>
    <w:rsid w:val="00DF7447"/>
    <w:rsid w:val="00E0315F"/>
    <w:rsid w:val="00E04162"/>
    <w:rsid w:val="00E0465D"/>
    <w:rsid w:val="00E11296"/>
    <w:rsid w:val="00E21561"/>
    <w:rsid w:val="00E23BEE"/>
    <w:rsid w:val="00E23DAC"/>
    <w:rsid w:val="00E46615"/>
    <w:rsid w:val="00E4734C"/>
    <w:rsid w:val="00E51B30"/>
    <w:rsid w:val="00ED0B59"/>
    <w:rsid w:val="00EE64B1"/>
    <w:rsid w:val="00EF1592"/>
    <w:rsid w:val="00EF3884"/>
    <w:rsid w:val="00EF4178"/>
    <w:rsid w:val="00EF5EE7"/>
    <w:rsid w:val="00F01FFE"/>
    <w:rsid w:val="00F06964"/>
    <w:rsid w:val="00F06CB1"/>
    <w:rsid w:val="00F07043"/>
    <w:rsid w:val="00F2030A"/>
    <w:rsid w:val="00F2309A"/>
    <w:rsid w:val="00F30DE6"/>
    <w:rsid w:val="00F5554F"/>
    <w:rsid w:val="00F61884"/>
    <w:rsid w:val="00F67AB5"/>
    <w:rsid w:val="00F741CE"/>
    <w:rsid w:val="00F82217"/>
    <w:rsid w:val="00F82450"/>
    <w:rsid w:val="00FA2E42"/>
    <w:rsid w:val="00FA6B62"/>
    <w:rsid w:val="00FB4C1A"/>
    <w:rsid w:val="00FB7369"/>
    <w:rsid w:val="00FC501B"/>
    <w:rsid w:val="00FD1E48"/>
    <w:rsid w:val="00FE2705"/>
    <w:rsid w:val="00FE3D12"/>
    <w:rsid w:val="00FE582A"/>
    <w:rsid w:val="00FE5D49"/>
    <w:rsid w:val="00FF3539"/>
    <w:rsid w:val="00FF6B96"/>
    <w:rsid w:val="03AE1946"/>
    <w:rsid w:val="162828F4"/>
    <w:rsid w:val="209527CA"/>
    <w:rsid w:val="2E461E55"/>
    <w:rsid w:val="379F4F25"/>
    <w:rsid w:val="381210FE"/>
    <w:rsid w:val="50784012"/>
    <w:rsid w:val="58760ED5"/>
    <w:rsid w:val="5A3C0C7C"/>
    <w:rsid w:val="5FC0427C"/>
    <w:rsid w:val="6999077C"/>
    <w:rsid w:val="7A534706"/>
    <w:rsid w:val="7DF44C19"/>
    <w:rsid w:val="7E3D3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line="240" w:lineRule="atLeast"/>
      <w:ind w:firstLine="561"/>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tLeast"/>
      <w:outlineLvl w:val="0"/>
    </w:pPr>
    <w:rPr>
      <w:b/>
      <w:bCs/>
      <w:kern w:val="44"/>
      <w:sz w:val="44"/>
      <w:szCs w:val="44"/>
      <w:lang w:val="zh-CN"/>
    </w:rPr>
  </w:style>
  <w:style w:type="paragraph" w:styleId="3">
    <w:name w:val="heading 2"/>
    <w:basedOn w:val="1"/>
    <w:next w:val="1"/>
    <w:link w:val="22"/>
    <w:unhideWhenUsed/>
    <w:qFormat/>
    <w:uiPriority w:val="9"/>
    <w:pPr>
      <w:keepNext/>
      <w:keepLines/>
      <w:spacing w:before="260" w:after="260" w:line="416" w:lineRule="atLeast"/>
      <w:outlineLvl w:val="1"/>
    </w:pPr>
    <w:rPr>
      <w:rFonts w:ascii="Cambria" w:hAnsi="Cambria"/>
      <w:b/>
      <w:bCs/>
      <w:sz w:val="32"/>
      <w:szCs w:val="32"/>
      <w:lang w:val="zh-CN"/>
    </w:rPr>
  </w:style>
  <w:style w:type="paragraph" w:styleId="4">
    <w:name w:val="heading 3"/>
    <w:basedOn w:val="1"/>
    <w:next w:val="1"/>
    <w:link w:val="23"/>
    <w:semiHidden/>
    <w:unhideWhenUsed/>
    <w:qFormat/>
    <w:uiPriority w:val="9"/>
    <w:pPr>
      <w:keepNext/>
      <w:keepLines/>
      <w:spacing w:before="260" w:after="260" w:line="416" w:lineRule="atLeast"/>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6"/>
    <w:semiHidden/>
    <w:unhideWhenUsed/>
    <w:qFormat/>
    <w:uiPriority w:val="99"/>
    <w:rPr>
      <w:rFonts w:ascii="宋体"/>
      <w:sz w:val="18"/>
      <w:szCs w:val="18"/>
    </w:rPr>
  </w:style>
  <w:style w:type="paragraph" w:styleId="6">
    <w:name w:val="annotation text"/>
    <w:basedOn w:val="1"/>
    <w:link w:val="29"/>
    <w:semiHidden/>
    <w:unhideWhenUsed/>
    <w:qFormat/>
    <w:uiPriority w:val="99"/>
    <w:pPr>
      <w:jc w:val="left"/>
    </w:pPr>
    <w:rPr>
      <w:lang w:val="zh-CN"/>
    </w:rPr>
  </w:style>
  <w:style w:type="paragraph" w:styleId="7">
    <w:name w:val="toc 3"/>
    <w:basedOn w:val="1"/>
    <w:next w:val="1"/>
    <w:unhideWhenUsed/>
    <w:qFormat/>
    <w:uiPriority w:val="39"/>
    <w:pPr>
      <w:tabs>
        <w:tab w:val="right" w:leader="dot" w:pos="8296"/>
      </w:tabs>
      <w:spacing w:before="156"/>
      <w:ind w:firstLine="0"/>
      <w:jc w:val="left"/>
    </w:pPr>
  </w:style>
  <w:style w:type="paragraph" w:styleId="8">
    <w:name w:val="Date"/>
    <w:basedOn w:val="1"/>
    <w:next w:val="1"/>
    <w:link w:val="28"/>
    <w:semiHidden/>
    <w:unhideWhenUsed/>
    <w:qFormat/>
    <w:uiPriority w:val="99"/>
    <w:pPr>
      <w:ind w:left="100" w:leftChars="2500"/>
    </w:pPr>
    <w:rPr>
      <w:lang w:val="zh-CN"/>
    </w:rPr>
  </w:style>
  <w:style w:type="paragraph" w:styleId="9">
    <w:name w:val="Balloon Text"/>
    <w:basedOn w:val="1"/>
    <w:link w:val="26"/>
    <w:semiHidden/>
    <w:unhideWhenUsed/>
    <w:qFormat/>
    <w:uiPriority w:val="99"/>
    <w:pPr>
      <w:spacing w:line="240" w:lineRule="auto"/>
    </w:pPr>
    <w:rPr>
      <w:sz w:val="18"/>
      <w:szCs w:val="18"/>
      <w:lang w:val="zh-CN"/>
    </w:rPr>
  </w:style>
  <w:style w:type="paragraph" w:styleId="10">
    <w:name w:val="footer"/>
    <w:basedOn w:val="1"/>
    <w:link w:val="25"/>
    <w:unhideWhenUsed/>
    <w:qFormat/>
    <w:uiPriority w:val="99"/>
    <w:pPr>
      <w:tabs>
        <w:tab w:val="center" w:pos="4153"/>
        <w:tab w:val="right" w:pos="8306"/>
      </w:tabs>
      <w:snapToGrid w:val="0"/>
      <w:jc w:val="left"/>
    </w:pPr>
    <w:rPr>
      <w:sz w:val="18"/>
      <w:szCs w:val="18"/>
      <w:lang w:val="zh-CN"/>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12">
    <w:name w:val="toc 1"/>
    <w:basedOn w:val="1"/>
    <w:next w:val="1"/>
    <w:unhideWhenUsed/>
    <w:qFormat/>
    <w:uiPriority w:val="39"/>
    <w:pPr>
      <w:tabs>
        <w:tab w:val="left" w:pos="1260"/>
        <w:tab w:val="right" w:leader="dot" w:pos="8296"/>
      </w:tabs>
      <w:spacing w:beforeLines="0" w:line="360" w:lineRule="auto"/>
      <w:ind w:firstLine="0"/>
      <w:contextualSpacing/>
      <w:jc w:val="left"/>
    </w:pPr>
  </w:style>
  <w:style w:type="paragraph" w:styleId="13">
    <w:name w:val="toc 2"/>
    <w:basedOn w:val="1"/>
    <w:next w:val="1"/>
    <w:unhideWhenUsed/>
    <w:qFormat/>
    <w:uiPriority w:val="39"/>
    <w:pPr>
      <w:tabs>
        <w:tab w:val="right" w:leader="dot" w:pos="8296"/>
      </w:tabs>
      <w:spacing w:before="156"/>
      <w:ind w:firstLine="0"/>
      <w:jc w:val="left"/>
    </w:pPr>
  </w:style>
  <w:style w:type="paragraph" w:styleId="14">
    <w:name w:val="annotation subject"/>
    <w:basedOn w:val="6"/>
    <w:next w:val="6"/>
    <w:link w:val="30"/>
    <w:semiHidden/>
    <w:unhideWhenUsed/>
    <w:qFormat/>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Emphasis"/>
    <w:qFormat/>
    <w:uiPriority w:val="20"/>
    <w:rPr>
      <w:color w:val="CC0000"/>
    </w:rPr>
  </w:style>
  <w:style w:type="character" w:styleId="20">
    <w:name w:val="Hyperlink"/>
    <w:unhideWhenUsed/>
    <w:uiPriority w:val="99"/>
    <w:rPr>
      <w:color w:val="0000CC"/>
      <w:u w:val="single"/>
    </w:rPr>
  </w:style>
  <w:style w:type="character" w:customStyle="1" w:styleId="21">
    <w:name w:val="标题 1 Char"/>
    <w:basedOn w:val="17"/>
    <w:link w:val="2"/>
    <w:qFormat/>
    <w:uiPriority w:val="9"/>
    <w:rPr>
      <w:rFonts w:ascii="Calibri" w:hAnsi="Calibri" w:eastAsia="宋体" w:cs="Times New Roman"/>
      <w:b/>
      <w:bCs/>
      <w:kern w:val="44"/>
      <w:sz w:val="44"/>
      <w:szCs w:val="44"/>
      <w:lang w:val="zh-CN" w:eastAsia="zh-CN"/>
    </w:rPr>
  </w:style>
  <w:style w:type="character" w:customStyle="1" w:styleId="22">
    <w:name w:val="标题 2 Char"/>
    <w:basedOn w:val="17"/>
    <w:link w:val="3"/>
    <w:qFormat/>
    <w:uiPriority w:val="9"/>
    <w:rPr>
      <w:rFonts w:ascii="Cambria" w:hAnsi="Cambria" w:eastAsia="宋体" w:cs="Times New Roman"/>
      <w:b/>
      <w:bCs/>
      <w:sz w:val="32"/>
      <w:szCs w:val="32"/>
      <w:lang w:val="zh-CN" w:eastAsia="zh-CN"/>
    </w:rPr>
  </w:style>
  <w:style w:type="character" w:customStyle="1" w:styleId="23">
    <w:name w:val="标题 3 Char"/>
    <w:basedOn w:val="17"/>
    <w:link w:val="4"/>
    <w:semiHidden/>
    <w:qFormat/>
    <w:uiPriority w:val="9"/>
    <w:rPr>
      <w:rFonts w:ascii="Calibri" w:hAnsi="Calibri" w:eastAsia="宋体" w:cs="Times New Roman"/>
      <w:b/>
      <w:bCs/>
      <w:sz w:val="32"/>
      <w:szCs w:val="32"/>
    </w:rPr>
  </w:style>
  <w:style w:type="character" w:customStyle="1" w:styleId="24">
    <w:name w:val="页眉 Char"/>
    <w:basedOn w:val="17"/>
    <w:link w:val="11"/>
    <w:qFormat/>
    <w:uiPriority w:val="99"/>
    <w:rPr>
      <w:rFonts w:ascii="Calibri" w:hAnsi="Calibri" w:eastAsia="宋体" w:cs="Times New Roman"/>
      <w:sz w:val="18"/>
      <w:szCs w:val="18"/>
      <w:lang w:val="zh-CN" w:eastAsia="zh-CN"/>
    </w:rPr>
  </w:style>
  <w:style w:type="character" w:customStyle="1" w:styleId="25">
    <w:name w:val="页脚 Char"/>
    <w:basedOn w:val="17"/>
    <w:link w:val="10"/>
    <w:qFormat/>
    <w:uiPriority w:val="99"/>
    <w:rPr>
      <w:rFonts w:ascii="Calibri" w:hAnsi="Calibri" w:eastAsia="宋体" w:cs="Times New Roman"/>
      <w:sz w:val="18"/>
      <w:szCs w:val="18"/>
      <w:lang w:val="zh-CN" w:eastAsia="zh-CN"/>
    </w:rPr>
  </w:style>
  <w:style w:type="character" w:customStyle="1" w:styleId="26">
    <w:name w:val="批注框文本 Char"/>
    <w:basedOn w:val="17"/>
    <w:link w:val="9"/>
    <w:semiHidden/>
    <w:qFormat/>
    <w:uiPriority w:val="99"/>
    <w:rPr>
      <w:rFonts w:ascii="Calibri" w:hAnsi="Calibri" w:eastAsia="宋体" w:cs="Times New Roman"/>
      <w:sz w:val="18"/>
      <w:szCs w:val="18"/>
      <w:lang w:val="zh-CN" w:eastAsia="zh-CN"/>
    </w:rPr>
  </w:style>
  <w:style w:type="paragraph" w:customStyle="1" w:styleId="27">
    <w:name w:val="列出段落1"/>
    <w:basedOn w:val="1"/>
    <w:qFormat/>
    <w:uiPriority w:val="0"/>
    <w:pPr>
      <w:spacing w:beforeLines="0" w:line="240" w:lineRule="auto"/>
      <w:ind w:firstLine="420" w:firstLineChars="200"/>
    </w:pPr>
  </w:style>
  <w:style w:type="character" w:customStyle="1" w:styleId="28">
    <w:name w:val="日期 Char"/>
    <w:basedOn w:val="17"/>
    <w:link w:val="8"/>
    <w:semiHidden/>
    <w:uiPriority w:val="99"/>
    <w:rPr>
      <w:rFonts w:ascii="Calibri" w:hAnsi="Calibri" w:eastAsia="宋体" w:cs="Times New Roman"/>
      <w:lang w:val="zh-CN" w:eastAsia="zh-CN"/>
    </w:rPr>
  </w:style>
  <w:style w:type="character" w:customStyle="1" w:styleId="29">
    <w:name w:val="批注文字 Char"/>
    <w:basedOn w:val="17"/>
    <w:link w:val="6"/>
    <w:semiHidden/>
    <w:qFormat/>
    <w:uiPriority w:val="99"/>
    <w:rPr>
      <w:rFonts w:ascii="Calibri" w:hAnsi="Calibri" w:eastAsia="宋体" w:cs="Times New Roman"/>
      <w:lang w:val="zh-CN" w:eastAsia="zh-CN"/>
    </w:rPr>
  </w:style>
  <w:style w:type="character" w:customStyle="1" w:styleId="30">
    <w:name w:val="批注主题 Char"/>
    <w:basedOn w:val="29"/>
    <w:link w:val="14"/>
    <w:semiHidden/>
    <w:qFormat/>
    <w:uiPriority w:val="99"/>
    <w:rPr>
      <w:rFonts w:ascii="Calibri" w:hAnsi="Calibri" w:eastAsia="宋体" w:cs="Times New Roman"/>
      <w:b/>
      <w:bCs/>
      <w:lang w:val="zh-CN" w:eastAsia="zh-CN"/>
    </w:rPr>
  </w:style>
  <w:style w:type="paragraph" w:customStyle="1" w:styleId="31">
    <w:name w:val="样式 标题 2 + (西文) Times New Roman (中文) 宋体 小四 段前: 0 磅 段后: 0 磅 行..."/>
    <w:basedOn w:val="3"/>
    <w:qFormat/>
    <w:uiPriority w:val="0"/>
    <w:pPr>
      <w:adjustRightInd w:val="0"/>
      <w:snapToGrid w:val="0"/>
      <w:spacing w:before="0" w:beforeLines="0" w:after="0" w:line="360" w:lineRule="auto"/>
      <w:ind w:firstLine="236" w:firstLineChars="236"/>
    </w:pPr>
    <w:rPr>
      <w:rFonts w:ascii="Times New Roman" w:hAnsi="Times New Roman" w:cs="宋体"/>
      <w:sz w:val="28"/>
      <w:szCs w:val="20"/>
    </w:rPr>
  </w:style>
  <w:style w:type="paragraph" w:customStyle="1" w:styleId="32">
    <w:name w:val="表格标题"/>
    <w:basedOn w:val="1"/>
    <w:link w:val="33"/>
    <w:qFormat/>
    <w:uiPriority w:val="0"/>
    <w:pPr>
      <w:spacing w:before="50" w:afterLines="50" w:line="240" w:lineRule="auto"/>
      <w:ind w:firstLine="0"/>
      <w:jc w:val="center"/>
    </w:pPr>
    <w:rPr>
      <w:rFonts w:ascii="Times New Roman" w:hAnsi="Times New Roman"/>
      <w:b/>
      <w:szCs w:val="24"/>
      <w:lang w:val="zh-CN"/>
    </w:rPr>
  </w:style>
  <w:style w:type="character" w:customStyle="1" w:styleId="33">
    <w:name w:val="表格标题 Char"/>
    <w:link w:val="32"/>
    <w:qFormat/>
    <w:uiPriority w:val="0"/>
    <w:rPr>
      <w:rFonts w:ascii="Times New Roman" w:hAnsi="Times New Roman" w:eastAsia="宋体" w:cs="Times New Roman"/>
      <w:b/>
      <w:szCs w:val="24"/>
      <w:lang w:val="zh-CN" w:eastAsia="zh-CN"/>
    </w:rPr>
  </w:style>
  <w:style w:type="paragraph" w:customStyle="1" w:styleId="34">
    <w:name w:val="表格正文"/>
    <w:qFormat/>
    <w:uiPriority w:val="0"/>
    <w:pPr>
      <w:snapToGrid w:val="0"/>
      <w:jc w:val="center"/>
    </w:pPr>
    <w:rPr>
      <w:rFonts w:ascii="Times New Roman" w:hAnsi="Times New Roman" w:eastAsia="宋体" w:cs="Times New Roman"/>
      <w:sz w:val="21"/>
      <w:szCs w:val="21"/>
      <w:lang w:val="en-US" w:eastAsia="zh-CN" w:bidi="ar-SA"/>
    </w:rPr>
  </w:style>
  <w:style w:type="paragraph" w:customStyle="1" w:styleId="35">
    <w:name w:val="编号正文缩进"/>
    <w:basedOn w:val="1"/>
    <w:qFormat/>
    <w:uiPriority w:val="0"/>
    <w:pPr>
      <w:numPr>
        <w:ilvl w:val="0"/>
        <w:numId w:val="1"/>
      </w:numPr>
      <w:spacing w:beforeLines="0" w:line="240" w:lineRule="auto"/>
    </w:pPr>
    <w:rPr>
      <w:rFonts w:ascii="Times New Roman" w:hAnsi="Times New Roman"/>
      <w:szCs w:val="20"/>
    </w:rPr>
  </w:style>
  <w:style w:type="character" w:customStyle="1" w:styleId="36">
    <w:name w:val="文档结构图 Char"/>
    <w:basedOn w:val="17"/>
    <w:link w:val="5"/>
    <w:semiHidden/>
    <w:qFormat/>
    <w:uiPriority w:val="99"/>
    <w:rPr>
      <w:rFonts w:ascii="宋体" w:hAnsi="Calibri" w:eastAsia="宋体" w:cs="Times New Roman"/>
      <w:sz w:val="18"/>
      <w:szCs w:val="18"/>
    </w:rPr>
  </w:style>
  <w:style w:type="paragraph" w:styleId="37">
    <w:name w:val="List Paragraph"/>
    <w:basedOn w:val="1"/>
    <w:qFormat/>
    <w:uiPriority w:val="34"/>
    <w:pPr>
      <w:adjustRightInd w:val="0"/>
      <w:snapToGrid w:val="0"/>
      <w:spacing w:beforeLines="0" w:line="360" w:lineRule="auto"/>
      <w:ind w:firstLine="420" w:firstLineChars="200"/>
    </w:pPr>
  </w:style>
  <w:style w:type="paragraph" w:customStyle="1" w:styleId="38">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9">
    <w:name w:val="段 Char"/>
    <w:link w:val="38"/>
    <w:qFormat/>
    <w:uiPriority w:val="0"/>
    <w:rPr>
      <w:rFonts w:ascii="宋体" w:hAnsi="Times New Roman" w:eastAsia="宋体" w:cs="Times New Roman"/>
      <w:kern w:val="0"/>
      <w:szCs w:val="20"/>
    </w:rPr>
  </w:style>
  <w:style w:type="paragraph" w:customStyle="1" w:styleId="40">
    <w:name w:val="一级条标题"/>
    <w:next w:val="38"/>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1">
    <w:name w:val="三级无"/>
    <w:qFormat/>
    <w:uiPriority w:val="0"/>
    <w:pPr>
      <w:outlineLvl w:val="4"/>
    </w:pPr>
    <w:rPr>
      <w:rFonts w:ascii="宋体" w:hAnsi="Times New Roman" w:eastAsia="宋体" w:cs="Times New Roman"/>
      <w:sz w:val="21"/>
      <w:szCs w:val="21"/>
      <w:lang w:val="en-US" w:eastAsia="zh-CN" w:bidi="ar-SA"/>
    </w:rPr>
  </w:style>
  <w:style w:type="paragraph" w:customStyle="1" w:styleId="42">
    <w:name w:val="三级条标题"/>
    <w:next w:val="38"/>
    <w:qFormat/>
    <w:uiPriority w:val="0"/>
    <w:p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3">
    <w:name w:val="二级条标题"/>
    <w:next w:val="38"/>
    <w:qFormat/>
    <w:uiPriority w:val="0"/>
    <w:pPr>
      <w:numPr>
        <w:ilvl w:val="2"/>
        <w:numId w:val="2"/>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4">
    <w:name w:val="一级无"/>
    <w:basedOn w:val="40"/>
    <w:qFormat/>
    <w:uiPriority w:val="0"/>
    <w:pPr>
      <w:numPr>
        <w:numId w:val="1"/>
      </w:numPr>
      <w:tabs>
        <w:tab w:val="left" w:pos="840"/>
      </w:tabs>
      <w:spacing w:before="0" w:beforeLines="0" w:after="0" w:afterLines="0"/>
    </w:pPr>
    <w:rPr>
      <w:rFonts w:ascii="宋体" w:eastAsia="宋体"/>
    </w:rPr>
  </w:style>
  <w:style w:type="paragraph" w:customStyle="1" w:styleId="45">
    <w:name w:val="正文lxm"/>
    <w:basedOn w:val="1"/>
    <w:qFormat/>
    <w:uiPriority w:val="0"/>
    <w:pPr>
      <w:tabs>
        <w:tab w:val="left" w:pos="720"/>
      </w:tabs>
      <w:spacing w:line="360" w:lineRule="auto"/>
      <w:ind w:firstLine="480" w:firstLineChars="200"/>
      <w:jc w:val="left"/>
    </w:pPr>
    <w:rPr>
      <w:kern w:val="0"/>
      <w:sz w:val="24"/>
      <w:lang w:val="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33B1D-7437-4447-A9CA-8D1CA38372A9}">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Pages>
  <Words>2299</Words>
  <Characters>2433</Characters>
  <Lines>36</Lines>
  <Paragraphs>10</Paragraphs>
  <TotalTime>10</TotalTime>
  <ScaleCrop>false</ScaleCrop>
  <LinksUpToDate>false</LinksUpToDate>
  <CharactersWithSpaces>2493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2020-11-20T02:47:00Z</dcterms:created>
  <dc:creator>zyf</dc:creator>
  <cp:lastModifiedBy>ss</cp:lastModifiedBy>
  <dcterms:modified xsi:type="dcterms:W3CDTF">2024-10-25T05:20:26Z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DEA79405312B492393FF05C28C72F7FD_13</vt:lpwstr>
  </property>
</Properties>
</file>