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D22DA">
      <w:pPr>
        <w:pStyle w:val="63"/>
        <w:rPr>
          <w:color w:val="000000"/>
        </w:rPr>
      </w:pPr>
      <w:bookmarkStart w:id="0" w:name="SectionMark0"/>
      <w:r>
        <w:rPr>
          <w:color w:val="000000"/>
        </w:rPr>
        <w:drawing>
          <wp:anchor distT="0" distB="0" distL="114300" distR="114300" simplePos="0" relativeHeight="251666432"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color w:val="000000"/>
        </w:rPr>
        <mc:AlternateContent>
          <mc:Choice Requires="wps">
            <w:drawing>
              <wp:anchor distT="0" distB="0" distL="114300" distR="114300" simplePos="0" relativeHeight="251663360" behindDoc="0" locked="1" layoutInCell="1" allowOverlap="1">
                <wp:simplePos x="0" y="0"/>
                <wp:positionH relativeFrom="margin">
                  <wp:posOffset>4000500</wp:posOffset>
                </wp:positionH>
                <wp:positionV relativeFrom="margin">
                  <wp:posOffset>8559165</wp:posOffset>
                </wp:positionV>
                <wp:extent cx="2019300" cy="312420"/>
                <wp:effectExtent l="0" t="0" r="0" b="0"/>
                <wp:wrapNone/>
                <wp:docPr id="19"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00C980E1">
                            <w:pPr>
                              <w:pStyle w:val="61"/>
                            </w:pPr>
                            <w:r>
                              <w:rPr>
                                <w:rFonts w:hint="eastAsia"/>
                              </w:rPr>
                              <w:t>20</w:t>
                            </w:r>
                            <w:r>
                              <w:t>2</w:t>
                            </w:r>
                            <w:r>
                              <w:rPr>
                                <w:rFonts w:hint="eastAsia"/>
                                <w:color w:val="000000"/>
                              </w:rPr>
                              <w:t>X-XX-XX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5pt;margin-top:673.95pt;height:24.6pt;width:159pt;mso-position-horizontal-relative:margin;mso-position-vertical-relative:margin;z-index:251663360;mso-width-relative:page;mso-height-relative:page;" fillcolor="#FFFFFF" filled="t" stroked="f" coordsize="21600,21600" o:gfxdata="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ZMhj9oAAAANAQAADwAAAAAAAAAB&#10;ACAAAAAiAAAAZHJzL2Rvd25yZXYueG1sUEsBAhQAFAAAAAgAh07iQKQz/4UOAgAALAQAAA4AAAAA&#10;AAAAAQAgAAAAKQEAAGRycy9lMm9Eb2MueG1sUEsFBgAAAAAGAAYAWQEAAKkFAAAAAA==&#10;">
                <v:fill on="t" focussize="0,0"/>
                <v:stroke on="f"/>
                <v:imagedata o:title=""/>
                <o:lock v:ext="edit" aspectratio="f"/>
                <v:textbox inset="0mm,0mm,0mm,0mm">
                  <w:txbxContent>
                    <w:p w14:paraId="00C980E1">
                      <w:pPr>
                        <w:pStyle w:val="61"/>
                      </w:pPr>
                      <w:r>
                        <w:rPr>
                          <w:rFonts w:hint="eastAsia"/>
                        </w:rPr>
                        <w:t>20</w:t>
                      </w:r>
                      <w:r>
                        <w:t>2</w:t>
                      </w:r>
                      <w:r>
                        <w:rPr>
                          <w:rFonts w:hint="eastAsia"/>
                          <w:color w:val="000000"/>
                        </w:rPr>
                        <w:t>X-XX-XX</w:t>
                      </w:r>
                      <w:r>
                        <w:rPr>
                          <w:rFonts w:hint="eastAsia"/>
                        </w:rPr>
                        <w:t>实施</w:t>
                      </w:r>
                    </w:p>
                  </w:txbxContent>
                </v:textbox>
                <w10:anchorlock/>
              </v:shape>
            </w:pict>
          </mc:Fallback>
        </mc:AlternateContent>
      </w:r>
      <w:r>
        <w:rPr>
          <w:color w:val="00000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8559800</wp:posOffset>
                </wp:positionV>
                <wp:extent cx="2019300" cy="312420"/>
                <wp:effectExtent l="0" t="0" r="0" b="0"/>
                <wp:wrapNone/>
                <wp:docPr id="18"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6615EB45">
                            <w:pPr>
                              <w:pStyle w:val="62"/>
                              <w:rPr>
                                <w:color w:val="000000"/>
                              </w:rPr>
                            </w:pPr>
                            <w:r>
                              <w:rPr>
                                <w:rFonts w:hint="eastAsia"/>
                              </w:rPr>
                              <w:t>20</w:t>
                            </w:r>
                            <w:r>
                              <w:rPr>
                                <w:color w:val="000000"/>
                              </w:rPr>
                              <w:t>2</w:t>
                            </w:r>
                            <w:r>
                              <w:rPr>
                                <w:rFonts w:hint="eastAsia"/>
                                <w:color w:val="000000"/>
                              </w:rPr>
                              <w:t>X-XX-XX发布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pt;height:24.6pt;width:159pt;mso-position-horizontal-relative:margin;mso-position-vertical-relative:margin;z-index:251662336;mso-width-relative:page;mso-height-relative:page;" fillcolor="#FFFFFF" filled="t" stroked="f" coordsize="21600,21600" o:gfxdata="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LQ9u1gAAAAoBAAAPAAAAAAAAAAEAIAAA&#10;ACIAAABkcnMvZG93bnJldi54bWxQSwECFAAUAAAACACHTuJAWtG4Qg4CAAAsBAAADgAAAAAAAAAB&#10;ACAAAAAlAQAAZHJzL2Uyb0RvYy54bWxQSwUGAAAAAAYABgBZAQAApQUAAAAA&#10;">
                <v:fill on="t" focussize="0,0"/>
                <v:stroke on="f"/>
                <v:imagedata o:title=""/>
                <o:lock v:ext="edit" aspectratio="f"/>
                <v:textbox inset="0mm,0mm,0mm,0mm">
                  <w:txbxContent>
                    <w:p w14:paraId="6615EB45">
                      <w:pPr>
                        <w:pStyle w:val="62"/>
                        <w:rPr>
                          <w:color w:val="000000"/>
                        </w:rPr>
                      </w:pPr>
                      <w:r>
                        <w:rPr>
                          <w:rFonts w:hint="eastAsia"/>
                        </w:rPr>
                        <w:t>20</w:t>
                      </w:r>
                      <w:r>
                        <w:rPr>
                          <w:color w:val="000000"/>
                        </w:rPr>
                        <w:t>2</w:t>
                      </w:r>
                      <w:r>
                        <w:rPr>
                          <w:rFonts w:hint="eastAsia"/>
                          <w:color w:val="000000"/>
                        </w:rPr>
                        <w:t>X-XX-XX发布</w:t>
                      </w:r>
                    </w:p>
                  </w:txbxContent>
                </v:textbox>
                <w10:anchorlock/>
              </v:shape>
            </w:pict>
          </mc:Fallback>
        </mc:AlternateContent>
      </w:r>
      <w:r>
        <w:rPr>
          <w:color w:val="000000"/>
        </w:rPr>
        <mc:AlternateContent>
          <mc:Choice Requires="wps">
            <w:drawing>
              <wp:anchor distT="0" distB="0" distL="114300" distR="114300" simplePos="0" relativeHeight="251661312" behindDoc="0" locked="1" layoutInCell="0" allowOverlap="1">
                <wp:simplePos x="0" y="0"/>
                <wp:positionH relativeFrom="margin">
                  <wp:posOffset>-33020</wp:posOffset>
                </wp:positionH>
                <wp:positionV relativeFrom="margin">
                  <wp:posOffset>3223895</wp:posOffset>
                </wp:positionV>
                <wp:extent cx="6121400" cy="4232910"/>
                <wp:effectExtent l="0" t="0" r="12700" b="15240"/>
                <wp:wrapNone/>
                <wp:docPr id="17" name="fmFrame4"/>
                <wp:cNvGraphicFramePr/>
                <a:graphic xmlns:a="http://schemas.openxmlformats.org/drawingml/2006/main">
                  <a:graphicData uri="http://schemas.microsoft.com/office/word/2010/wordprocessingShape">
                    <wps:wsp>
                      <wps:cNvSpPr txBox="1">
                        <a:spLocks noChangeArrowheads="1"/>
                      </wps:cNvSpPr>
                      <wps:spPr bwMode="auto">
                        <a:xfrm>
                          <a:off x="0" y="0"/>
                          <a:ext cx="6121400" cy="4232910"/>
                        </a:xfrm>
                        <a:prstGeom prst="rect">
                          <a:avLst/>
                        </a:prstGeom>
                        <a:solidFill>
                          <a:srgbClr val="FFFFFF"/>
                        </a:solidFill>
                        <a:ln>
                          <a:noFill/>
                        </a:ln>
                      </wps:spPr>
                      <wps:txbx>
                        <w:txbxContent>
                          <w:p w14:paraId="6D83B3AC">
                            <w:pPr>
                              <w:pStyle w:val="95"/>
                              <w:spacing w:before="0" w:line="770" w:lineRule="exact"/>
                              <w:rPr>
                                <w:rFonts w:eastAsia="黑体"/>
                                <w:color w:val="FF0000"/>
                                <w:sz w:val="52"/>
                                <w:szCs w:val="52"/>
                              </w:rPr>
                            </w:pPr>
                            <w:r>
                              <w:rPr>
                                <w:rFonts w:hint="eastAsia" w:ascii="黑体" w:hAnsi="宋体" w:eastAsia="黑体"/>
                                <w:sz w:val="52"/>
                                <w:szCs w:val="52"/>
                              </w:rPr>
                              <w:t>稀土精矿化学分析方法</w:t>
                            </w:r>
                            <w:r>
                              <w:rPr>
                                <w:rFonts w:hint="eastAsia" w:eastAsia="黑体"/>
                                <w:color w:val="FF0000"/>
                                <w:sz w:val="52"/>
                                <w:szCs w:val="52"/>
                              </w:rPr>
                              <w:t>　</w:t>
                            </w:r>
                          </w:p>
                          <w:p w14:paraId="15DF29AF">
                            <w:pPr>
                              <w:pStyle w:val="95"/>
                              <w:spacing w:before="0" w:line="770" w:lineRule="exact"/>
                              <w:rPr>
                                <w:rFonts w:eastAsia="黑体"/>
                                <w:color w:val="FF0000"/>
                                <w:sz w:val="52"/>
                                <w:szCs w:val="52"/>
                              </w:rPr>
                            </w:pPr>
                            <w:r>
                              <w:rPr>
                                <w:rFonts w:hint="eastAsia" w:ascii="黑体" w:hAnsi="宋体" w:eastAsia="黑体"/>
                                <w:sz w:val="52"/>
                                <w:szCs w:val="52"/>
                              </w:rPr>
                              <w:t xml:space="preserve">第9部分：五氧化二磷量的测定   </w:t>
                            </w:r>
                          </w:p>
                          <w:p w14:paraId="3EAFB177">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p>
                          <w:p w14:paraId="00F94201">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p>
                          <w:p w14:paraId="4A95C935">
                            <w:pPr>
                              <w:pStyle w:val="82"/>
                              <w:keepNext w:val="0"/>
                              <w:keepLines w:val="0"/>
                              <w:pageBreakBefore w:val="0"/>
                              <w:widowControl/>
                              <w:shd w:val="clear" w:color="auto" w:fill="FFFFFF"/>
                              <w:kinsoku/>
                              <w:wordWrap/>
                              <w:overflowPunct/>
                              <w:topLinePunct w:val="0"/>
                              <w:bidi w:val="0"/>
                              <w:adjustRightInd/>
                              <w:snapToGrid/>
                              <w:spacing w:before="0" w:beforeAutospacing="0" w:after="0" w:line="360" w:lineRule="exact"/>
                              <w:ind w:firstLine="567"/>
                              <w:jc w:val="center"/>
                              <w:textAlignment w:val="auto"/>
                              <w:rPr>
                                <w:rFonts w:ascii="Times New Roman" w:hAnsi="Times New Roman" w:eastAsia="黑体" w:cs="Times New Roman"/>
                                <w:color w:val="auto"/>
                                <w:sz w:val="28"/>
                              </w:rPr>
                            </w:pPr>
                          </w:p>
                          <w:p w14:paraId="7F488AA6">
                            <w:pPr>
                              <w:pStyle w:val="82"/>
                              <w:keepNext w:val="0"/>
                              <w:keepLines w:val="0"/>
                              <w:pageBreakBefore w:val="0"/>
                              <w:widowControl/>
                              <w:shd w:val="clear" w:color="auto" w:fill="FFFFFF"/>
                              <w:kinsoku/>
                              <w:wordWrap/>
                              <w:overflowPunct/>
                              <w:topLinePunct w:val="0"/>
                              <w:bidi w:val="0"/>
                              <w:adjustRightInd/>
                              <w:snapToGrid/>
                              <w:spacing w:before="0" w:beforeAutospacing="0" w:after="0" w:line="360" w:lineRule="exact"/>
                              <w:ind w:firstLine="567"/>
                              <w:jc w:val="center"/>
                              <w:textAlignment w:val="auto"/>
                              <w:rPr>
                                <w:rFonts w:ascii="Times New Roman" w:hAnsi="Times New Roman" w:eastAsia="黑体" w:cs="Times New Roman"/>
                                <w:color w:val="auto"/>
                                <w:sz w:val="28"/>
                              </w:rPr>
                            </w:pPr>
                            <w:r>
                              <w:rPr>
                                <w:rFonts w:ascii="Times New Roman" w:hAnsi="Times New Roman" w:eastAsia="黑体" w:cs="Times New Roman"/>
                                <w:color w:val="auto"/>
                                <w:sz w:val="28"/>
                              </w:rPr>
                              <w:t xml:space="preserve">Chemical analysis methods </w:t>
                            </w:r>
                            <w:r>
                              <w:rPr>
                                <w:rFonts w:hint="eastAsia" w:ascii="Times New Roman" w:hAnsi="Times New Roman" w:eastAsia="黑体" w:cs="Times New Roman"/>
                                <w:color w:val="auto"/>
                                <w:sz w:val="28"/>
                              </w:rPr>
                              <w:t>of</w:t>
                            </w:r>
                            <w:r>
                              <w:rPr>
                                <w:rFonts w:ascii="Times New Roman" w:hAnsi="Times New Roman" w:eastAsia="黑体" w:cs="Times New Roman"/>
                                <w:color w:val="auto"/>
                                <w:sz w:val="28"/>
                              </w:rPr>
                              <w:t xml:space="preserve"> rare earth </w:t>
                            </w:r>
                            <w:r>
                              <w:rPr>
                                <w:rFonts w:hint="eastAsia" w:ascii="Times New Roman" w:hAnsi="Times New Roman" w:eastAsia="黑体" w:cs="Times New Roman"/>
                                <w:color w:val="auto"/>
                                <w:sz w:val="28"/>
                              </w:rPr>
                              <w:t>concentrates</w:t>
                            </w:r>
                            <w:r>
                              <w:rPr>
                                <w:rFonts w:ascii="Times New Roman" w:hAnsi="Times New Roman" w:eastAsia="黑体" w:cs="Times New Roman"/>
                                <w:color w:val="auto"/>
                                <w:sz w:val="28"/>
                              </w:rPr>
                              <w:t>—</w:t>
                            </w:r>
                          </w:p>
                          <w:p w14:paraId="222967C7">
                            <w:pPr>
                              <w:pStyle w:val="82"/>
                              <w:keepNext w:val="0"/>
                              <w:keepLines w:val="0"/>
                              <w:pageBreakBefore w:val="0"/>
                              <w:widowControl/>
                              <w:shd w:val="clear" w:color="auto" w:fill="FFFFFF"/>
                              <w:kinsoku/>
                              <w:wordWrap/>
                              <w:overflowPunct/>
                              <w:topLinePunct w:val="0"/>
                              <w:bidi w:val="0"/>
                              <w:adjustRightInd/>
                              <w:snapToGrid/>
                              <w:spacing w:before="0" w:beforeAutospacing="0" w:after="0" w:line="360" w:lineRule="exact"/>
                              <w:ind w:firstLine="567"/>
                              <w:jc w:val="center"/>
                              <w:textAlignment w:val="auto"/>
                              <w:rPr>
                                <w:rFonts w:ascii="Times New Roman" w:hAnsi="Times New Roman" w:eastAsia="黑体" w:cs="Times New Roman"/>
                                <w:color w:val="auto"/>
                                <w:sz w:val="28"/>
                              </w:rPr>
                            </w:pPr>
                            <w:r>
                              <w:rPr>
                                <w:rFonts w:ascii="Times New Roman" w:hAnsi="Times New Roman" w:eastAsia="黑体" w:cs="Times New Roman"/>
                                <w:color w:val="auto"/>
                                <w:sz w:val="28"/>
                              </w:rPr>
                              <w:t xml:space="preserve">Part </w:t>
                            </w:r>
                            <w:r>
                              <w:rPr>
                                <w:rFonts w:hint="eastAsia" w:ascii="Times New Roman" w:hAnsi="Times New Roman" w:eastAsia="黑体" w:cs="Times New Roman"/>
                                <w:color w:val="auto"/>
                                <w:sz w:val="28"/>
                              </w:rPr>
                              <w:t>9</w:t>
                            </w:r>
                            <w:r>
                              <w:rPr>
                                <w:rFonts w:ascii="Times New Roman" w:hAnsi="Times New Roman" w:eastAsia="黑体" w:cs="Times New Roman"/>
                                <w:color w:val="auto"/>
                                <w:sz w:val="28"/>
                              </w:rPr>
                              <w:t xml:space="preserve">：Determination of </w:t>
                            </w:r>
                            <w:r>
                              <w:rPr>
                                <w:rFonts w:hint="eastAsia" w:ascii="Times New Roman" w:hAnsi="Times New Roman" w:eastAsia="黑体" w:cs="Times New Roman"/>
                                <w:color w:val="auto"/>
                                <w:sz w:val="28"/>
                              </w:rPr>
                              <w:t>phosphorus pentoxide</w:t>
                            </w:r>
                            <w:r>
                              <w:rPr>
                                <w:rFonts w:ascii="Times New Roman" w:hAnsi="Times New Roman" w:eastAsia="黑体" w:cs="Times New Roman"/>
                                <w:color w:val="auto"/>
                                <w:sz w:val="28"/>
                              </w:rPr>
                              <w:t xml:space="preserve"> content</w:t>
                            </w:r>
                          </w:p>
                          <w:p w14:paraId="501A8639">
                            <w:pPr>
                              <w:pStyle w:val="95"/>
                            </w:pPr>
                            <w:r>
                              <w:rPr>
                                <w:rFonts w:hint="eastAsia"/>
                                <w:lang w:eastAsia="zh-CN"/>
                              </w:rPr>
                              <w:t>（</w:t>
                            </w:r>
                            <w:r>
                              <w:rPr>
                                <w:rFonts w:hint="eastAsia"/>
                                <w:lang w:val="en-US" w:eastAsia="zh-CN"/>
                              </w:rPr>
                              <w:t>送审稿</w:t>
                            </w:r>
                            <w:r>
                              <w:rPr>
                                <w:rFonts w:hint="eastAsia"/>
                                <w:lang w:eastAsia="zh-CN"/>
                              </w:rPr>
                              <w:t>）</w:t>
                            </w:r>
                          </w:p>
                          <w:p w14:paraId="77485635">
                            <w:pPr>
                              <w:pStyle w:val="75"/>
                              <w:jc w:val="both"/>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2.6pt;margin-top:253.85pt;height:333.3pt;width:482pt;mso-position-horizontal-relative:margin;mso-position-vertical-relative:margin;z-index:251661312;mso-width-relative:page;mso-height-relative:page;" fillcolor="#FFFFFF" filled="t" stroked="f" coordsize="21600,21600" o:allowincell="f" o:gfxdata="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749F2gAAAAsBAAAPAAAAAAAA&#10;AAEAIAAAACIAAABkcnMvZG93bnJldi54bWxQSwECFAAUAAAACACHTuJAgSoyfxACAAAtBAAADgAA&#10;AAAAAAABACAAAAApAQAAZHJzL2Uyb0RvYy54bWxQSwUGAAAAAAYABgBZAQAAqwUAAAAA&#10;">
                <v:fill on="t" focussize="0,0"/>
                <v:stroke on="f"/>
                <v:imagedata o:title=""/>
                <o:lock v:ext="edit" aspectratio="f"/>
                <v:textbox inset="0mm,0mm,0mm,0mm">
                  <w:txbxContent>
                    <w:p w14:paraId="6D83B3AC">
                      <w:pPr>
                        <w:pStyle w:val="95"/>
                        <w:spacing w:before="0" w:line="770" w:lineRule="exact"/>
                        <w:rPr>
                          <w:rFonts w:eastAsia="黑体"/>
                          <w:color w:val="FF0000"/>
                          <w:sz w:val="52"/>
                          <w:szCs w:val="52"/>
                        </w:rPr>
                      </w:pPr>
                      <w:r>
                        <w:rPr>
                          <w:rFonts w:hint="eastAsia" w:ascii="黑体" w:hAnsi="宋体" w:eastAsia="黑体"/>
                          <w:sz w:val="52"/>
                          <w:szCs w:val="52"/>
                        </w:rPr>
                        <w:t>稀土精矿化学分析方法</w:t>
                      </w:r>
                      <w:r>
                        <w:rPr>
                          <w:rFonts w:hint="eastAsia" w:eastAsia="黑体"/>
                          <w:color w:val="FF0000"/>
                          <w:sz w:val="52"/>
                          <w:szCs w:val="52"/>
                        </w:rPr>
                        <w:t>　</w:t>
                      </w:r>
                    </w:p>
                    <w:p w14:paraId="15DF29AF">
                      <w:pPr>
                        <w:pStyle w:val="95"/>
                        <w:spacing w:before="0" w:line="770" w:lineRule="exact"/>
                        <w:rPr>
                          <w:rFonts w:eastAsia="黑体"/>
                          <w:color w:val="FF0000"/>
                          <w:sz w:val="52"/>
                          <w:szCs w:val="52"/>
                        </w:rPr>
                      </w:pPr>
                      <w:r>
                        <w:rPr>
                          <w:rFonts w:hint="eastAsia" w:ascii="黑体" w:hAnsi="宋体" w:eastAsia="黑体"/>
                          <w:sz w:val="52"/>
                          <w:szCs w:val="52"/>
                        </w:rPr>
                        <w:t xml:space="preserve">第9部分：五氧化二磷量的测定   </w:t>
                      </w:r>
                    </w:p>
                    <w:p w14:paraId="3EAFB177">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p>
                    <w:p w14:paraId="00F94201">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p>
                    <w:p w14:paraId="4A95C935">
                      <w:pPr>
                        <w:pStyle w:val="82"/>
                        <w:keepNext w:val="0"/>
                        <w:keepLines w:val="0"/>
                        <w:pageBreakBefore w:val="0"/>
                        <w:widowControl/>
                        <w:shd w:val="clear" w:color="auto" w:fill="FFFFFF"/>
                        <w:kinsoku/>
                        <w:wordWrap/>
                        <w:overflowPunct/>
                        <w:topLinePunct w:val="0"/>
                        <w:bidi w:val="0"/>
                        <w:adjustRightInd/>
                        <w:snapToGrid/>
                        <w:spacing w:before="0" w:beforeAutospacing="0" w:after="0" w:line="360" w:lineRule="exact"/>
                        <w:ind w:firstLine="567"/>
                        <w:jc w:val="center"/>
                        <w:textAlignment w:val="auto"/>
                        <w:rPr>
                          <w:rFonts w:ascii="Times New Roman" w:hAnsi="Times New Roman" w:eastAsia="黑体" w:cs="Times New Roman"/>
                          <w:color w:val="auto"/>
                          <w:sz w:val="28"/>
                        </w:rPr>
                      </w:pPr>
                    </w:p>
                    <w:p w14:paraId="7F488AA6">
                      <w:pPr>
                        <w:pStyle w:val="82"/>
                        <w:keepNext w:val="0"/>
                        <w:keepLines w:val="0"/>
                        <w:pageBreakBefore w:val="0"/>
                        <w:widowControl/>
                        <w:shd w:val="clear" w:color="auto" w:fill="FFFFFF"/>
                        <w:kinsoku/>
                        <w:wordWrap/>
                        <w:overflowPunct/>
                        <w:topLinePunct w:val="0"/>
                        <w:bidi w:val="0"/>
                        <w:adjustRightInd/>
                        <w:snapToGrid/>
                        <w:spacing w:before="0" w:beforeAutospacing="0" w:after="0" w:line="360" w:lineRule="exact"/>
                        <w:ind w:firstLine="567"/>
                        <w:jc w:val="center"/>
                        <w:textAlignment w:val="auto"/>
                        <w:rPr>
                          <w:rFonts w:ascii="Times New Roman" w:hAnsi="Times New Roman" w:eastAsia="黑体" w:cs="Times New Roman"/>
                          <w:color w:val="auto"/>
                          <w:sz w:val="28"/>
                        </w:rPr>
                      </w:pPr>
                      <w:r>
                        <w:rPr>
                          <w:rFonts w:ascii="Times New Roman" w:hAnsi="Times New Roman" w:eastAsia="黑体" w:cs="Times New Roman"/>
                          <w:color w:val="auto"/>
                          <w:sz w:val="28"/>
                        </w:rPr>
                        <w:t xml:space="preserve">Chemical analysis methods </w:t>
                      </w:r>
                      <w:r>
                        <w:rPr>
                          <w:rFonts w:hint="eastAsia" w:ascii="Times New Roman" w:hAnsi="Times New Roman" w:eastAsia="黑体" w:cs="Times New Roman"/>
                          <w:color w:val="auto"/>
                          <w:sz w:val="28"/>
                        </w:rPr>
                        <w:t>of</w:t>
                      </w:r>
                      <w:r>
                        <w:rPr>
                          <w:rFonts w:ascii="Times New Roman" w:hAnsi="Times New Roman" w:eastAsia="黑体" w:cs="Times New Roman"/>
                          <w:color w:val="auto"/>
                          <w:sz w:val="28"/>
                        </w:rPr>
                        <w:t xml:space="preserve"> rare earth </w:t>
                      </w:r>
                      <w:r>
                        <w:rPr>
                          <w:rFonts w:hint="eastAsia" w:ascii="Times New Roman" w:hAnsi="Times New Roman" w:eastAsia="黑体" w:cs="Times New Roman"/>
                          <w:color w:val="auto"/>
                          <w:sz w:val="28"/>
                        </w:rPr>
                        <w:t>concentrates</w:t>
                      </w:r>
                      <w:r>
                        <w:rPr>
                          <w:rFonts w:ascii="Times New Roman" w:hAnsi="Times New Roman" w:eastAsia="黑体" w:cs="Times New Roman"/>
                          <w:color w:val="auto"/>
                          <w:sz w:val="28"/>
                        </w:rPr>
                        <w:t>—</w:t>
                      </w:r>
                    </w:p>
                    <w:p w14:paraId="222967C7">
                      <w:pPr>
                        <w:pStyle w:val="82"/>
                        <w:keepNext w:val="0"/>
                        <w:keepLines w:val="0"/>
                        <w:pageBreakBefore w:val="0"/>
                        <w:widowControl/>
                        <w:shd w:val="clear" w:color="auto" w:fill="FFFFFF"/>
                        <w:kinsoku/>
                        <w:wordWrap/>
                        <w:overflowPunct/>
                        <w:topLinePunct w:val="0"/>
                        <w:bidi w:val="0"/>
                        <w:adjustRightInd/>
                        <w:snapToGrid/>
                        <w:spacing w:before="0" w:beforeAutospacing="0" w:after="0" w:line="360" w:lineRule="exact"/>
                        <w:ind w:firstLine="567"/>
                        <w:jc w:val="center"/>
                        <w:textAlignment w:val="auto"/>
                        <w:rPr>
                          <w:rFonts w:ascii="Times New Roman" w:hAnsi="Times New Roman" w:eastAsia="黑体" w:cs="Times New Roman"/>
                          <w:color w:val="auto"/>
                          <w:sz w:val="28"/>
                        </w:rPr>
                      </w:pPr>
                      <w:r>
                        <w:rPr>
                          <w:rFonts w:ascii="Times New Roman" w:hAnsi="Times New Roman" w:eastAsia="黑体" w:cs="Times New Roman"/>
                          <w:color w:val="auto"/>
                          <w:sz w:val="28"/>
                        </w:rPr>
                        <w:t xml:space="preserve">Part </w:t>
                      </w:r>
                      <w:r>
                        <w:rPr>
                          <w:rFonts w:hint="eastAsia" w:ascii="Times New Roman" w:hAnsi="Times New Roman" w:eastAsia="黑体" w:cs="Times New Roman"/>
                          <w:color w:val="auto"/>
                          <w:sz w:val="28"/>
                        </w:rPr>
                        <w:t>9</w:t>
                      </w:r>
                      <w:r>
                        <w:rPr>
                          <w:rFonts w:ascii="Times New Roman" w:hAnsi="Times New Roman" w:eastAsia="黑体" w:cs="Times New Roman"/>
                          <w:color w:val="auto"/>
                          <w:sz w:val="28"/>
                        </w:rPr>
                        <w:t xml:space="preserve">：Determination of </w:t>
                      </w:r>
                      <w:r>
                        <w:rPr>
                          <w:rFonts w:hint="eastAsia" w:ascii="Times New Roman" w:hAnsi="Times New Roman" w:eastAsia="黑体" w:cs="Times New Roman"/>
                          <w:color w:val="auto"/>
                          <w:sz w:val="28"/>
                        </w:rPr>
                        <w:t>phosphorus pentoxide</w:t>
                      </w:r>
                      <w:r>
                        <w:rPr>
                          <w:rFonts w:ascii="Times New Roman" w:hAnsi="Times New Roman" w:eastAsia="黑体" w:cs="Times New Roman"/>
                          <w:color w:val="auto"/>
                          <w:sz w:val="28"/>
                        </w:rPr>
                        <w:t xml:space="preserve"> content</w:t>
                      </w:r>
                    </w:p>
                    <w:p w14:paraId="501A8639">
                      <w:pPr>
                        <w:pStyle w:val="95"/>
                      </w:pPr>
                      <w:r>
                        <w:rPr>
                          <w:rFonts w:hint="eastAsia"/>
                          <w:lang w:eastAsia="zh-CN"/>
                        </w:rPr>
                        <w:t>（</w:t>
                      </w:r>
                      <w:r>
                        <w:rPr>
                          <w:rFonts w:hint="eastAsia"/>
                          <w:lang w:val="en-US" w:eastAsia="zh-CN"/>
                        </w:rPr>
                        <w:t>送审稿</w:t>
                      </w:r>
                      <w:r>
                        <w:rPr>
                          <w:rFonts w:hint="eastAsia"/>
                          <w:lang w:eastAsia="zh-CN"/>
                        </w:rPr>
                        <w:t>）</w:t>
                      </w:r>
                    </w:p>
                    <w:p w14:paraId="77485635">
                      <w:pPr>
                        <w:pStyle w:val="75"/>
                        <w:jc w:val="both"/>
                      </w:pPr>
                    </w:p>
                  </w:txbxContent>
                </v:textbox>
                <w10:anchorlock/>
              </v:shape>
            </w:pict>
          </mc:Fallback>
        </mc:AlternateContent>
      </w:r>
      <w:r>
        <w:rPr>
          <w:color w:val="000000"/>
        </w:rPr>
        <mc:AlternateContent>
          <mc:Choice Requires="wps">
            <w:drawing>
              <wp:anchor distT="0" distB="0" distL="114300" distR="114300" simplePos="0" relativeHeight="251660288"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14:paraId="68852AF0">
                            <w:pPr>
                              <w:pStyle w:val="103"/>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83.75pt;height:30.8pt;width:477.75pt;mso-position-horizontal-relative:margin;mso-position-vertical-relative:margin;z-index:251660288;mso-width-relative:page;mso-height-relative:page;" fillcolor="#FFFFFF" filled="t" stroked="f" coordsize="21600,21600" o:allowincell="f" o:gfxdata="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WtUKdgAAAAKAQAADwAAAAAAAAAB&#10;ACAAAAAiAAAAZHJzL2Rvd25yZXYueG1sUEsBAhQAFAAAAAgAh07iQJGcFosQAgAALAQAAA4AAAAA&#10;AAAAAQAgAAAAJwEAAGRycy9lMm9Eb2MueG1sUEsFBgAAAAAGAAYAWQEAAKkFAAAAAA==&#10;">
                <v:fill on="t" focussize="0,0"/>
                <v:stroke on="f"/>
                <v:imagedata o:title=""/>
                <o:lock v:ext="edit" aspectratio="f"/>
                <v:textbox inset="0mm,0mm,0mm,0mm">
                  <w:txbxContent>
                    <w:p w14:paraId="68852AF0">
                      <w:pPr>
                        <w:pStyle w:val="103"/>
                      </w:pPr>
                      <w:r>
                        <w:rPr>
                          <w:rFonts w:hint="eastAsia"/>
                        </w:rPr>
                        <w:t>中华人民共和国国家标准</w:t>
                      </w:r>
                    </w:p>
                  </w:txbxContent>
                </v:textbox>
                <w10:anchorlock/>
              </v:shape>
            </w:pict>
          </mc:Fallback>
        </mc:AlternateContent>
      </w:r>
      <w:r>
        <w:rPr>
          <w:color w:val="000000"/>
        </w:rPr>
        <mc:AlternateContent>
          <mc:Choice Requires="wps">
            <w:drawing>
              <wp:anchor distT="0" distB="0" distL="114300" distR="114300" simplePos="0" relativeHeight="251659264" behindDoc="0" locked="1" layoutInCell="0" allowOverlap="1">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14:paraId="17A33F48">
                            <w:pPr>
                              <w:pStyle w:val="98"/>
                              <w:rPr>
                                <w:rFonts w:ascii="黑体" w:hAnsi="黑体" w:cs="黑体"/>
                              </w:rPr>
                            </w:pPr>
                            <w:r>
                              <w:rPr>
                                <w:rFonts w:hint="eastAsia" w:ascii="黑体" w:hAnsi="黑体" w:cs="黑体"/>
                              </w:rPr>
                              <w:t>ICS 77.120.99</w:t>
                            </w:r>
                          </w:p>
                          <w:p w14:paraId="40B2DA71">
                            <w:pPr>
                              <w:pStyle w:val="98"/>
                              <w:rPr>
                                <w:rFonts w:ascii="黑体" w:hAnsi="黑体" w:cs="黑体"/>
                              </w:rPr>
                            </w:pPr>
                            <w:r>
                              <w:rPr>
                                <w:rFonts w:hint="eastAsia" w:ascii="黑体" w:hAnsi="黑体" w:cs="黑体"/>
                              </w:rPr>
                              <w:t>CCS H 14</w:t>
                            </w:r>
                          </w:p>
                          <w:p w14:paraId="5EBF3BA0">
                            <w:pPr>
                              <w:pStyle w:val="98"/>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4pt;margin-top:-1.35pt;height:30.75pt;width:72.75pt;mso-position-horizontal-relative:margin;mso-position-vertical-relative:margin;z-index:251659264;mso-width-relative:page;mso-height-relative:page;" fillcolor="#FFFFFF" filled="t" stroked="f" coordsize="21600,21600" o:allowincell="f" o:gfxdata="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rUZ4dUAAAAHAQAADwAAAAAAAAABACAAAAAi&#10;AAAAZHJzL2Rvd25yZXYueG1sUEsBAhQAFAAAAAgAh07iQMAlzqgNAgAAKwQAAA4AAAAAAAAAAQAg&#10;AAAAJAEAAGRycy9lMm9Eb2MueG1sUEsFBgAAAAAGAAYAWQEAAKMFAAAAAA==&#10;">
                <v:fill on="t" focussize="0,0"/>
                <v:stroke on="f"/>
                <v:imagedata o:title=""/>
                <o:lock v:ext="edit" aspectratio="f"/>
                <v:textbox inset="0mm,0mm,0mm,0mm">
                  <w:txbxContent>
                    <w:p w14:paraId="17A33F48">
                      <w:pPr>
                        <w:pStyle w:val="98"/>
                        <w:rPr>
                          <w:rFonts w:ascii="黑体" w:hAnsi="黑体" w:cs="黑体"/>
                        </w:rPr>
                      </w:pPr>
                      <w:r>
                        <w:rPr>
                          <w:rFonts w:hint="eastAsia" w:ascii="黑体" w:hAnsi="黑体" w:cs="黑体"/>
                        </w:rPr>
                        <w:t>ICS 77.120.99</w:t>
                      </w:r>
                    </w:p>
                    <w:p w14:paraId="40B2DA71">
                      <w:pPr>
                        <w:pStyle w:val="98"/>
                        <w:rPr>
                          <w:rFonts w:ascii="黑体" w:hAnsi="黑体" w:cs="黑体"/>
                        </w:rPr>
                      </w:pPr>
                      <w:r>
                        <w:rPr>
                          <w:rFonts w:hint="eastAsia" w:ascii="黑体" w:hAnsi="黑体" w:cs="黑体"/>
                        </w:rPr>
                        <w:t>CCS H 14</w:t>
                      </w:r>
                    </w:p>
                    <w:p w14:paraId="5EBF3BA0">
                      <w:pPr>
                        <w:pStyle w:val="98"/>
                      </w:pPr>
                    </w:p>
                  </w:txbxContent>
                </v:textbox>
                <w10:anchorlock/>
              </v:shape>
            </w:pict>
          </mc:Fallback>
        </mc:AlternateContent>
      </w:r>
    </w:p>
    <w:p w14:paraId="2F33B174">
      <w:pPr>
        <w:rPr>
          <w:color w:val="000000"/>
        </w:rPr>
      </w:pPr>
      <w:r>
        <w:rPr>
          <w:rFonts w:hint="eastAsia"/>
          <w:color w:val="000000"/>
        </w:rPr>
        <w:t>CCSc</w:t>
      </w:r>
    </w:p>
    <w:p w14:paraId="5D38E655">
      <w:pPr>
        <w:rPr>
          <w:color w:val="000000"/>
        </w:rPr>
      </w:pPr>
    </w:p>
    <w:p w14:paraId="6B43DE53">
      <w:pPr>
        <w:rPr>
          <w:color w:val="000000"/>
        </w:rPr>
      </w:pPr>
    </w:p>
    <w:p w14:paraId="4E1DF2F7">
      <w:pPr>
        <w:rPr>
          <w:color w:val="000000"/>
        </w:rPr>
      </w:pPr>
    </w:p>
    <w:p w14:paraId="00D3D4A2">
      <w:pPr>
        <w:rPr>
          <w:color w:val="000000"/>
        </w:rPr>
      </w:pPr>
    </w:p>
    <w:p w14:paraId="4D392E7B">
      <w:pPr>
        <w:rPr>
          <w:color w:val="000000"/>
        </w:rPr>
      </w:pPr>
    </w:p>
    <w:p w14:paraId="6D372F5C">
      <w:pPr>
        <w:rPr>
          <w:color w:val="000000"/>
        </w:rPr>
      </w:pPr>
    </w:p>
    <w:p w14:paraId="22E37773">
      <w:pPr>
        <w:rPr>
          <w:color w:val="000000"/>
        </w:rPr>
      </w:pPr>
      <w:r>
        <w:rPr>
          <w:color w:val="000000"/>
        </w:rPr>
        <mc:AlternateContent>
          <mc:Choice Requires="wps">
            <w:drawing>
              <wp:anchor distT="0" distB="0" distL="114300" distR="114300" simplePos="0" relativeHeight="251667456" behindDoc="0" locked="0" layoutInCell="1" allowOverlap="1">
                <wp:simplePos x="0" y="0"/>
                <wp:positionH relativeFrom="margin">
                  <wp:posOffset>277495</wp:posOffset>
                </wp:positionH>
                <wp:positionV relativeFrom="paragraph">
                  <wp:posOffset>165100</wp:posOffset>
                </wp:positionV>
                <wp:extent cx="5716905" cy="571500"/>
                <wp:effectExtent l="0" t="0" r="0" b="0"/>
                <wp:wrapNone/>
                <wp:docPr id="14"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5716905" cy="571500"/>
                        </a:xfrm>
                        <a:prstGeom prst="rect">
                          <a:avLst/>
                        </a:prstGeom>
                        <a:noFill/>
                        <a:ln>
                          <a:noFill/>
                        </a:ln>
                      </wps:spPr>
                      <wps:txbx>
                        <w:txbxContent>
                          <w:p w14:paraId="084257D6">
                            <w:pPr>
                              <w:keepNext w:val="0"/>
                              <w:keepLines w:val="0"/>
                              <w:pageBreakBefore w:val="0"/>
                              <w:widowControl w:val="0"/>
                              <w:kinsoku/>
                              <w:wordWrap/>
                              <w:overflowPunct/>
                              <w:topLinePunct w:val="0"/>
                              <w:bidi w:val="0"/>
                              <w:adjustRightInd/>
                              <w:snapToGrid/>
                              <w:spacing w:line="360" w:lineRule="exact"/>
                              <w:jc w:val="right"/>
                              <w:textAlignment w:val="auto"/>
                              <w:rPr>
                                <w:rFonts w:hint="default" w:ascii="Times New Roman" w:hAnsi="Times New Roman" w:eastAsia="黑体" w:cs="Times New Roman"/>
                                <w:sz w:val="28"/>
                              </w:rPr>
                            </w:pPr>
                            <w:r>
                              <w:rPr>
                                <w:rFonts w:hint="default" w:ascii="Times New Roman" w:hAnsi="Times New Roman" w:eastAsia="黑体" w:cs="Times New Roman"/>
                                <w:sz w:val="28"/>
                              </w:rPr>
                              <w:t>GB/T 18114.9—202X</w:t>
                            </w:r>
                          </w:p>
                          <w:p w14:paraId="09BBB043">
                            <w:pPr>
                              <w:keepNext w:val="0"/>
                              <w:keepLines w:val="0"/>
                              <w:pageBreakBefore w:val="0"/>
                              <w:widowControl w:val="0"/>
                              <w:kinsoku/>
                              <w:wordWrap/>
                              <w:overflowPunct/>
                              <w:topLinePunct w:val="0"/>
                              <w:bidi w:val="0"/>
                              <w:adjustRightInd/>
                              <w:snapToGrid/>
                              <w:spacing w:line="360" w:lineRule="exact"/>
                              <w:jc w:val="right"/>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代替GB/T18114.9-2010</w:t>
                            </w:r>
                          </w:p>
                        </w:txbxContent>
                      </wps:txbx>
                      <wps:bodyPr rot="0" vert="horz" wrap="square" lIns="91440" tIns="45720" rIns="91440" bIns="45720" anchor="t" anchorCtr="0" upright="1">
                        <a:noAutofit/>
                      </wps:bodyPr>
                    </wps:wsp>
                  </a:graphicData>
                </a:graphic>
              </wp:anchor>
            </w:drawing>
          </mc:Choice>
          <mc:Fallback>
            <w:pict>
              <v:shape id="文本框 40" o:spid="_x0000_s1026" o:spt="202" type="#_x0000_t202" style="position:absolute;left:0pt;margin-left:21.85pt;margin-top:13pt;height:45pt;width:450.15pt;mso-position-horizontal-relative:margin;z-index:251667456;mso-width-relative:page;mso-height-relative:page;" filled="f" stroked="f" coordsize="21600,21600" o:gfxdata="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XO39UAAAAHAQAADwAA&#10;AAAAAAABACAAAAAiAAAAZHJzL2Rvd25yZXYueG1sUEsBAhQAFAAAAAgAh07iQElO530ZAgAAFwQA&#10;AA4AAAAAAAAAAQAgAAAAJAEAAGRycy9lMm9Eb2MueG1sUEsFBgAAAAAGAAYAWQEAAK8FAAAAAA==&#10;">
                <v:fill on="f" focussize="0,0"/>
                <v:stroke on="f"/>
                <v:imagedata o:title=""/>
                <o:lock v:ext="edit" aspectratio="f"/>
                <v:textbox>
                  <w:txbxContent>
                    <w:p w14:paraId="084257D6">
                      <w:pPr>
                        <w:keepNext w:val="0"/>
                        <w:keepLines w:val="0"/>
                        <w:pageBreakBefore w:val="0"/>
                        <w:widowControl w:val="0"/>
                        <w:kinsoku/>
                        <w:wordWrap/>
                        <w:overflowPunct/>
                        <w:topLinePunct w:val="0"/>
                        <w:bidi w:val="0"/>
                        <w:adjustRightInd/>
                        <w:snapToGrid/>
                        <w:spacing w:line="360" w:lineRule="exact"/>
                        <w:jc w:val="right"/>
                        <w:textAlignment w:val="auto"/>
                        <w:rPr>
                          <w:rFonts w:hint="default" w:ascii="Times New Roman" w:hAnsi="Times New Roman" w:eastAsia="黑体" w:cs="Times New Roman"/>
                          <w:sz w:val="28"/>
                        </w:rPr>
                      </w:pPr>
                      <w:r>
                        <w:rPr>
                          <w:rFonts w:hint="default" w:ascii="Times New Roman" w:hAnsi="Times New Roman" w:eastAsia="黑体" w:cs="Times New Roman"/>
                          <w:sz w:val="28"/>
                        </w:rPr>
                        <w:t>GB/T 18114.9—202X</w:t>
                      </w:r>
                    </w:p>
                    <w:p w14:paraId="09BBB043">
                      <w:pPr>
                        <w:keepNext w:val="0"/>
                        <w:keepLines w:val="0"/>
                        <w:pageBreakBefore w:val="0"/>
                        <w:widowControl w:val="0"/>
                        <w:kinsoku/>
                        <w:wordWrap/>
                        <w:overflowPunct/>
                        <w:topLinePunct w:val="0"/>
                        <w:bidi w:val="0"/>
                        <w:adjustRightInd/>
                        <w:snapToGrid/>
                        <w:spacing w:line="360" w:lineRule="exact"/>
                        <w:jc w:val="right"/>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代替GB/T18114.9-2010</w:t>
                      </w:r>
                    </w:p>
                  </w:txbxContent>
                </v:textbox>
              </v:shape>
            </w:pict>
          </mc:Fallback>
        </mc:AlternateContent>
      </w:r>
    </w:p>
    <w:p w14:paraId="7E4A27A3">
      <w:pPr>
        <w:rPr>
          <w:color w:val="000000"/>
        </w:rPr>
      </w:pPr>
    </w:p>
    <w:p w14:paraId="7E0B20D6">
      <w:pPr>
        <w:rPr>
          <w:color w:val="000000"/>
        </w:rPr>
      </w:pPr>
      <w:r>
        <w:rPr>
          <w:color w:val="000000"/>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351155</wp:posOffset>
                </wp:positionV>
                <wp:extent cx="6121400" cy="0"/>
                <wp:effectExtent l="0" t="0" r="31750" b="19050"/>
                <wp:wrapSquare wrapText="bothSides"/>
                <wp:docPr id="13"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0" o:spid="_x0000_s1026" o:spt="20" style="position:absolute;left:0pt;margin-left:0pt;margin-top:27.65pt;height:0pt;width:482pt;mso-position-horizontal-relative:margin;mso-wrap-distance-bottom:0pt;mso-wrap-distance-left:9pt;mso-wrap-distance-right:9pt;mso-wrap-distance-top:0pt;z-index:251664384;mso-width-relative:page;mso-height-relative:page;" filled="f" stroked="t" coordsize="21600,21600" o:gfxdata="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W5nfVAAAABgEAAA8AAAAAAAAA&#10;AQAgAAAAIgAAAGRycy9kb3ducmV2LnhtbFBLAQIUABQAAAAIAIdO4kA+D1+F2wEAALIDAAAOAAAA&#10;AAAAAAEAIAAAACQBAABkcnMvZTJvRG9jLnhtbFBLBQYAAAAABgAGAFkBAABxBQAAAAA=&#10;">
                <v:fill on="f" focussize="0,0"/>
                <v:stroke weight="1pt" color="#000000" joinstyle="round"/>
                <v:imagedata o:title=""/>
                <o:lock v:ext="edit" aspectratio="f"/>
                <w10:wrap type="square"/>
              </v:line>
            </w:pict>
          </mc:Fallback>
        </mc:AlternateContent>
      </w:r>
    </w:p>
    <w:p w14:paraId="6E9827BA">
      <w:pPr>
        <w:rPr>
          <w:color w:val="000000"/>
        </w:rPr>
      </w:pPr>
    </w:p>
    <w:p w14:paraId="24C9B127">
      <w:pPr>
        <w:rPr>
          <w:color w:val="000000"/>
        </w:rPr>
      </w:pPr>
    </w:p>
    <w:p w14:paraId="59503432">
      <w:pPr>
        <w:rPr>
          <w:color w:val="000000"/>
        </w:rPr>
      </w:pPr>
    </w:p>
    <w:p w14:paraId="6B5ECF94">
      <w:pPr>
        <w:rPr>
          <w:color w:val="000000"/>
        </w:rPr>
      </w:pPr>
    </w:p>
    <w:p w14:paraId="2735FD24">
      <w:pPr>
        <w:rPr>
          <w:color w:val="000000"/>
        </w:rPr>
      </w:pPr>
    </w:p>
    <w:p w14:paraId="545E195D">
      <w:pPr>
        <w:rPr>
          <w:color w:val="000000"/>
        </w:rPr>
      </w:pPr>
    </w:p>
    <w:p w14:paraId="3CB90CC7">
      <w:pPr>
        <w:rPr>
          <w:color w:val="000000"/>
        </w:rPr>
      </w:pPr>
    </w:p>
    <w:p w14:paraId="745FBAC9">
      <w:pPr>
        <w:rPr>
          <w:color w:val="000000"/>
        </w:rPr>
      </w:pPr>
    </w:p>
    <w:p w14:paraId="19A57FE4">
      <w:pPr>
        <w:rPr>
          <w:color w:val="000000"/>
        </w:rPr>
      </w:pPr>
    </w:p>
    <w:p w14:paraId="0BDD0784">
      <w:pPr>
        <w:rPr>
          <w:color w:val="000000"/>
        </w:rPr>
      </w:pPr>
    </w:p>
    <w:p w14:paraId="43EE2FE9">
      <w:pPr>
        <w:rPr>
          <w:color w:val="000000"/>
        </w:rPr>
      </w:pPr>
    </w:p>
    <w:p w14:paraId="3E0D12E3">
      <w:pPr>
        <w:tabs>
          <w:tab w:val="left" w:pos="8916"/>
        </w:tabs>
        <w:jc w:val="left"/>
        <w:rPr>
          <w:color w:val="000000"/>
        </w:rPr>
      </w:pPr>
      <w:r>
        <w:rPr>
          <w:color w:val="000000"/>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4384040</wp:posOffset>
                </wp:positionV>
                <wp:extent cx="6121400" cy="0"/>
                <wp:effectExtent l="0" t="0" r="31750" b="19050"/>
                <wp:wrapSquare wrapText="bothSides"/>
                <wp:docPr id="11"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11" o:spid="_x0000_s1026" o:spt="20" style="position:absolute;left:0pt;margin-left:0pt;margin-top:345.2pt;height:0pt;width:482pt;mso-position-horizontal-relative:margin;mso-wrap-distance-bottom:0pt;mso-wrap-distance-left:9pt;mso-wrap-distance-right:9pt;mso-wrap-distance-top:0pt;z-index:251665408;mso-width-relative:page;mso-height-relative:page;" filled="f" stroked="t" coordsize="21600,21600" o:gfxdata="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iuAA1gAAAAgBAAAPAAAAAAAAAAEAIAAA&#10;ACIAAABkcnMvZG93bnJldi54bWxQSwECFAAUAAAACACHTuJAcBg4CdUBAACkAwAADgAAAAAAAAAB&#10;ACAAAAAlAQAAZHJzL2Uyb0RvYy54bWxQSwUGAAAAAAYABgBZAQAAbAUAAAAA&#10;">
                <v:fill on="f" focussize="0,0"/>
                <v:stroke weight="1pt" color="#000000" joinstyle="round"/>
                <v:imagedata o:title=""/>
                <o:lock v:ext="edit" aspectratio="f"/>
                <w10:wrap type="square"/>
              </v:line>
            </w:pict>
          </mc:Fallback>
        </mc:AlternateContent>
      </w:r>
      <w:r>
        <w:rPr>
          <w:rFonts w:hint="eastAsia"/>
          <w:color w:val="000000"/>
        </w:rPr>
        <w:tab/>
      </w:r>
    </w:p>
    <w:p w14:paraId="2F956392">
      <w:pPr>
        <w:tabs>
          <w:tab w:val="left" w:pos="8916"/>
        </w:tabs>
        <w:jc w:val="left"/>
        <w:rPr>
          <w:color w:val="000000"/>
        </w:rPr>
      </w:pPr>
    </w:p>
    <w:p w14:paraId="1FEE57EA">
      <w:pPr>
        <w:tabs>
          <w:tab w:val="left" w:pos="8916"/>
        </w:tabs>
        <w:jc w:val="left"/>
        <w:rPr>
          <w:color w:val="000000"/>
        </w:rPr>
      </w:pPr>
    </w:p>
    <w:p w14:paraId="63C69DC0">
      <w:pPr>
        <w:tabs>
          <w:tab w:val="left" w:pos="8916"/>
        </w:tabs>
        <w:jc w:val="left"/>
        <w:rPr>
          <w:color w:val="000000"/>
        </w:rPr>
      </w:pPr>
    </w:p>
    <w:p w14:paraId="00FC1C29">
      <w:pPr>
        <w:tabs>
          <w:tab w:val="left" w:pos="8916"/>
        </w:tabs>
        <w:jc w:val="left"/>
        <w:rPr>
          <w:color w:val="000000"/>
        </w:rPr>
      </w:pPr>
    </w:p>
    <w:p w14:paraId="115949AC">
      <w:pPr>
        <w:tabs>
          <w:tab w:val="left" w:pos="8916"/>
        </w:tabs>
        <w:jc w:val="left"/>
        <w:rPr>
          <w:color w:val="000000"/>
        </w:rPr>
      </w:pPr>
    </w:p>
    <w:p w14:paraId="2703B4FF">
      <w:pPr>
        <w:tabs>
          <w:tab w:val="left" w:pos="8916"/>
        </w:tabs>
        <w:jc w:val="left"/>
        <w:rPr>
          <w:color w:val="000000"/>
        </w:rPr>
      </w:pPr>
    </w:p>
    <w:p w14:paraId="212846A0">
      <w:pPr>
        <w:tabs>
          <w:tab w:val="left" w:pos="8916"/>
        </w:tabs>
        <w:jc w:val="left"/>
        <w:rPr>
          <w:color w:val="000000"/>
        </w:rPr>
      </w:pPr>
    </w:p>
    <w:p w14:paraId="7E772010">
      <w:pPr>
        <w:tabs>
          <w:tab w:val="left" w:pos="8916"/>
        </w:tabs>
        <w:jc w:val="left"/>
        <w:rPr>
          <w:color w:val="000000"/>
        </w:rPr>
      </w:pPr>
    </w:p>
    <w:p w14:paraId="0984968B">
      <w:pPr>
        <w:tabs>
          <w:tab w:val="left" w:pos="8916"/>
        </w:tabs>
        <w:jc w:val="left"/>
        <w:rPr>
          <w:color w:val="000000"/>
        </w:rPr>
      </w:pPr>
    </w:p>
    <w:p w14:paraId="655D74A6">
      <w:pPr>
        <w:tabs>
          <w:tab w:val="left" w:pos="8916"/>
        </w:tabs>
        <w:jc w:val="left"/>
        <w:rPr>
          <w:color w:val="000000"/>
        </w:rPr>
      </w:pPr>
    </w:p>
    <w:p w14:paraId="124C7EFF">
      <w:pPr>
        <w:tabs>
          <w:tab w:val="left" w:pos="8916"/>
        </w:tabs>
        <w:jc w:val="left"/>
        <w:rPr>
          <w:color w:val="000000"/>
        </w:rPr>
      </w:pPr>
    </w:p>
    <w:p w14:paraId="45DBF88B">
      <w:pPr>
        <w:tabs>
          <w:tab w:val="left" w:pos="8916"/>
        </w:tabs>
        <w:jc w:val="left"/>
        <w:rPr>
          <w:color w:val="000000"/>
        </w:rPr>
      </w:pPr>
    </w:p>
    <w:p w14:paraId="32B9C83B">
      <w:pPr>
        <w:tabs>
          <w:tab w:val="left" w:pos="8916"/>
        </w:tabs>
        <w:jc w:val="left"/>
        <w:rPr>
          <w:color w:val="000000"/>
        </w:rPr>
      </w:pPr>
    </w:p>
    <w:p w14:paraId="1DE6AAFA">
      <w:pPr>
        <w:tabs>
          <w:tab w:val="left" w:pos="8916"/>
        </w:tabs>
        <w:jc w:val="left"/>
        <w:rPr>
          <w:color w:val="000000"/>
        </w:rPr>
      </w:pPr>
    </w:p>
    <w:p w14:paraId="63F2BE40">
      <w:pPr>
        <w:tabs>
          <w:tab w:val="left" w:pos="8916"/>
        </w:tabs>
        <w:jc w:val="left"/>
        <w:rPr>
          <w:color w:val="000000"/>
        </w:rPr>
      </w:pPr>
    </w:p>
    <w:p w14:paraId="3A4EE91C">
      <w:pPr>
        <w:tabs>
          <w:tab w:val="left" w:pos="8916"/>
        </w:tabs>
        <w:jc w:val="left"/>
        <w:rPr>
          <w:color w:val="000000"/>
        </w:rPr>
      </w:pPr>
    </w:p>
    <w:p w14:paraId="1291CFC5">
      <w:pPr>
        <w:tabs>
          <w:tab w:val="left" w:pos="8916"/>
        </w:tabs>
        <w:jc w:val="left"/>
        <w:rPr>
          <w:color w:val="000000"/>
        </w:rPr>
        <w:sectPr>
          <w:headerReference r:id="rId5" w:type="first"/>
          <w:headerReference r:id="rId3" w:type="default"/>
          <w:footerReference r:id="rId6" w:type="default"/>
          <w:headerReference r:id="rId4" w:type="even"/>
          <w:footerReference r:id="rId7" w:type="even"/>
          <w:pgSz w:w="11907" w:h="16839"/>
          <w:pgMar w:top="567" w:right="851" w:bottom="1418" w:left="1418" w:header="0" w:footer="0" w:gutter="0"/>
          <w:pgBorders>
            <w:top w:val="none" w:sz="0" w:space="0"/>
            <w:left w:val="none" w:sz="0" w:space="0"/>
            <w:bottom w:val="none" w:sz="0" w:space="0"/>
            <w:right w:val="none" w:sz="0" w:space="0"/>
          </w:pgBorders>
          <w:pgNumType w:fmt="upperRoman" w:start="1"/>
          <w:cols w:space="720" w:num="1"/>
          <w:titlePg/>
          <w:docGrid w:type="lines" w:linePitch="312" w:charSpace="0"/>
        </w:sectPr>
      </w:pPr>
      <w:r>
        <w:rPr>
          <w:color w:val="auto"/>
          <w:sz w:val="20"/>
        </w:rPr>
        <mc:AlternateContent>
          <mc:Choice Requires="wpg">
            <w:drawing>
              <wp:anchor distT="0" distB="0" distL="114300" distR="114300" simplePos="0" relativeHeight="251669504" behindDoc="0" locked="0" layoutInCell="1" allowOverlap="1">
                <wp:simplePos x="0" y="0"/>
                <wp:positionH relativeFrom="column">
                  <wp:posOffset>994410</wp:posOffset>
                </wp:positionH>
                <wp:positionV relativeFrom="paragraph">
                  <wp:posOffset>1156335</wp:posOffset>
                </wp:positionV>
                <wp:extent cx="3656965" cy="599440"/>
                <wp:effectExtent l="0" t="0" r="635" b="10160"/>
                <wp:wrapNone/>
                <wp:docPr id="6" name="组合 6"/>
                <wp:cNvGraphicFramePr/>
                <a:graphic xmlns:a="http://schemas.openxmlformats.org/drawingml/2006/main">
                  <a:graphicData uri="http://schemas.microsoft.com/office/word/2010/wordprocessingGroup">
                    <wpg:wgp>
                      <wpg:cNvGrpSpPr/>
                      <wpg:grpSpPr>
                        <a:xfrm>
                          <a:off x="0" y="0"/>
                          <a:ext cx="3656965" cy="599440"/>
                          <a:chOff x="3359" y="15181"/>
                          <a:chExt cx="5759" cy="944"/>
                        </a:xfrm>
                      </wpg:grpSpPr>
                      <wps:wsp>
                        <wps:cNvPr id="4" name="文本框 4"/>
                        <wps:cNvSpPr txBox="1"/>
                        <wps:spPr>
                          <a:xfrm>
                            <a:off x="3359" y="15181"/>
                            <a:ext cx="5759" cy="944"/>
                          </a:xfrm>
                          <a:prstGeom prst="rect">
                            <a:avLst/>
                          </a:prstGeom>
                          <a:solidFill>
                            <a:srgbClr val="FFFFFF"/>
                          </a:solidFill>
                          <a:ln>
                            <a:noFill/>
                          </a:ln>
                        </wps:spPr>
                        <wps:txbx>
                          <w:txbxContent>
                            <w:p w14:paraId="2A5FD1AB">
                              <w:pPr>
                                <w:pStyle w:val="71"/>
                                <w:spacing w:line="400" w:lineRule="exact"/>
                                <w:rPr>
                                  <w:rStyle w:val="51"/>
                                  <w:rFonts w:hint="eastAsia" w:ascii="方正姚体" w:hAnsi="方正粗黑宋简体" w:eastAsia="方正姚体"/>
                                  <w:b w:val="0"/>
                                  <w:spacing w:val="0"/>
                                  <w:sz w:val="32"/>
                                  <w:szCs w:val="32"/>
                                </w:rPr>
                              </w:pPr>
                              <w:r>
                                <w:rPr>
                                  <w:rFonts w:hint="eastAsia" w:ascii="方正姚体" w:hAnsi="方正粗黑宋简体" w:eastAsia="方正姚体"/>
                                  <w:b w:val="0"/>
                                  <w:spacing w:val="0"/>
                                  <w:w w:val="100"/>
                                  <w:sz w:val="32"/>
                                  <w:szCs w:val="32"/>
                                </w:rPr>
                                <w:t>国家市场监督管理总局</w:t>
                              </w:r>
                            </w:p>
                            <w:p w14:paraId="7EA24DC8">
                              <w:pPr>
                                <w:pStyle w:val="71"/>
                                <w:spacing w:line="400" w:lineRule="exact"/>
                                <w:rPr>
                                  <w:rFonts w:hint="eastAsia" w:ascii="方正姚体" w:eastAsia="方正姚体"/>
                                  <w:b w:val="0"/>
                                  <w:w w:val="100"/>
                                  <w:sz w:val="30"/>
                                  <w:szCs w:val="30"/>
                                </w:rPr>
                              </w:pPr>
                              <w:r>
                                <w:rPr>
                                  <w:rFonts w:hint="eastAsia" w:ascii="方正姚体" w:hAnsi="方正粗黑宋简体" w:eastAsia="方正姚体"/>
                                  <w:b w:val="0"/>
                                  <w:bCs/>
                                  <w:spacing w:val="0"/>
                                  <w:w w:val="100"/>
                                  <w:sz w:val="32"/>
                                  <w:szCs w:val="32"/>
                                </w:rPr>
                                <w:t>国家标准化管理委员会</w:t>
                              </w:r>
                            </w:p>
                            <w:p w14:paraId="72E63454">
                              <w:pPr>
                                <w:pStyle w:val="71"/>
                              </w:pPr>
                            </w:p>
                          </w:txbxContent>
                        </wps:txbx>
                        <wps:bodyPr lIns="0" tIns="0" rIns="0" bIns="0" upright="1"/>
                      </wps:wsp>
                      <wps:wsp>
                        <wps:cNvPr id="5" name="文本框 5"/>
                        <wps:cNvSpPr txBox="1"/>
                        <wps:spPr>
                          <a:xfrm>
                            <a:off x="7884" y="15203"/>
                            <a:ext cx="1020" cy="843"/>
                          </a:xfrm>
                          <a:prstGeom prst="rect">
                            <a:avLst/>
                          </a:prstGeom>
                          <a:noFill/>
                          <a:ln>
                            <a:noFill/>
                          </a:ln>
                        </wps:spPr>
                        <wps:txbx>
                          <w:txbxContent>
                            <w:p w14:paraId="2667AFC9">
                              <w:pPr>
                                <w:rPr>
                                  <w:spacing w:val="10"/>
                                </w:rPr>
                              </w:pPr>
                              <w:r>
                                <w:rPr>
                                  <w:rFonts w:hint="eastAsia" w:ascii="黑体" w:eastAsia="黑体"/>
                                  <w:spacing w:val="10"/>
                                  <w:sz w:val="28"/>
                                </w:rPr>
                                <w:t>发布</w:t>
                              </w:r>
                            </w:p>
                          </w:txbxContent>
                        </wps:txbx>
                        <wps:bodyPr upright="1"/>
                      </wps:wsp>
                    </wpg:wgp>
                  </a:graphicData>
                </a:graphic>
              </wp:anchor>
            </w:drawing>
          </mc:Choice>
          <mc:Fallback>
            <w:pict>
              <v:group id="_x0000_s1026" o:spid="_x0000_s1026" o:spt="203" style="position:absolute;left:0pt;margin-left:78.3pt;margin-top:91.05pt;height:47.2pt;width:287.95pt;z-index:251669504;mso-width-relative:page;mso-height-relative:page;" coordorigin="3359,15181" coordsize="5759,944" o:gfxdata="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ocICDaAAAACwEAAA8AAAAAAAAAAQAgAAAAIgAAAGRy&#10;cy9kb3ducmV2LnhtbFBLAQIUABQAAAAIAIdO4kByZ3rcdQIAAD0GAAAOAAAAAAAAAAEAIAAAACkB&#10;AABkcnMvZTJvRG9jLnhtbFBLBQYAAAAABgAGAFkBAAAQBgAAAAA=&#10;">
                <o:lock v:ext="edit" aspectratio="f"/>
                <v:shape id="_x0000_s1026" o:spid="_x0000_s1026" o:spt="202" type="#_x0000_t202" style="position:absolute;left:3359;top:15181;height:944;width:5759;" fillcolor="#FFFFFF" filled="t" stroked="f" coordsize="21600,21600" o:gfxdata="UEsDBAoAAAAAAIdO4kAAAAAAAAAAAAAAAAAEAAAAZHJzL1BLAwQUAAAACACHTuJAd7ne8r0AAADa&#10;AAAADwAAAGRycy9kb3ducmV2LnhtbEWPT4vCMBTE74LfITxhL6JpR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ud7y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14:paraId="2A5FD1AB">
                        <w:pPr>
                          <w:pStyle w:val="71"/>
                          <w:spacing w:line="400" w:lineRule="exact"/>
                          <w:rPr>
                            <w:rStyle w:val="51"/>
                            <w:rFonts w:hint="eastAsia" w:ascii="方正姚体" w:hAnsi="方正粗黑宋简体" w:eastAsia="方正姚体"/>
                            <w:b w:val="0"/>
                            <w:spacing w:val="0"/>
                            <w:sz w:val="32"/>
                            <w:szCs w:val="32"/>
                          </w:rPr>
                        </w:pPr>
                        <w:r>
                          <w:rPr>
                            <w:rFonts w:hint="eastAsia" w:ascii="方正姚体" w:hAnsi="方正粗黑宋简体" w:eastAsia="方正姚体"/>
                            <w:b w:val="0"/>
                            <w:spacing w:val="0"/>
                            <w:w w:val="100"/>
                            <w:sz w:val="32"/>
                            <w:szCs w:val="32"/>
                          </w:rPr>
                          <w:t>国家市场监督管理总局</w:t>
                        </w:r>
                      </w:p>
                      <w:p w14:paraId="7EA24DC8">
                        <w:pPr>
                          <w:pStyle w:val="71"/>
                          <w:spacing w:line="400" w:lineRule="exact"/>
                          <w:rPr>
                            <w:rFonts w:hint="eastAsia" w:ascii="方正姚体" w:eastAsia="方正姚体"/>
                            <w:b w:val="0"/>
                            <w:w w:val="100"/>
                            <w:sz w:val="30"/>
                            <w:szCs w:val="30"/>
                          </w:rPr>
                        </w:pPr>
                        <w:r>
                          <w:rPr>
                            <w:rFonts w:hint="eastAsia" w:ascii="方正姚体" w:hAnsi="方正粗黑宋简体" w:eastAsia="方正姚体"/>
                            <w:b w:val="0"/>
                            <w:bCs/>
                            <w:spacing w:val="0"/>
                            <w:w w:val="100"/>
                            <w:sz w:val="32"/>
                            <w:szCs w:val="32"/>
                          </w:rPr>
                          <w:t>国家标准化管理委员会</w:t>
                        </w:r>
                      </w:p>
                      <w:p w14:paraId="72E63454">
                        <w:pPr>
                          <w:pStyle w:val="71"/>
                        </w:pPr>
                      </w:p>
                    </w:txbxContent>
                  </v:textbox>
                </v:shape>
                <v:shape id="_x0000_s1026" o:spid="_x0000_s1026" o:spt="202" type="#_x0000_t202" style="position:absolute;left:7884;top:15203;height:843;width:1020;"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2667AFC9">
                        <w:pPr>
                          <w:rPr>
                            <w:spacing w:val="10"/>
                          </w:rPr>
                        </w:pPr>
                        <w:r>
                          <w:rPr>
                            <w:rFonts w:hint="eastAsia" w:ascii="黑体" w:eastAsia="黑体"/>
                            <w:spacing w:val="10"/>
                            <w:sz w:val="28"/>
                          </w:rPr>
                          <w:t>发布</w:t>
                        </w:r>
                      </w:p>
                    </w:txbxContent>
                  </v:textbox>
                </v:shape>
              </v:group>
            </w:pict>
          </mc:Fallback>
        </mc:AlternateContent>
      </w:r>
    </w:p>
    <w:bookmarkEnd w:id="0"/>
    <w:p w14:paraId="76CAF27E">
      <w:pPr>
        <w:pStyle w:val="73"/>
        <w:numPr>
          <w:ilvl w:val="0"/>
          <w:numId w:val="0"/>
        </w:numPr>
        <w:spacing w:before="20" w:after="20"/>
        <w:rPr>
          <w:color w:val="000000"/>
        </w:rPr>
      </w:pPr>
      <w:bookmarkStart w:id="1" w:name="SectionMark2"/>
      <w:r>
        <w:rPr>
          <w:rFonts w:hint="eastAsia"/>
          <w:color w:val="000000"/>
        </w:rPr>
        <w:t>前   言</w:t>
      </w:r>
    </w:p>
    <w:bookmarkEnd w:id="1"/>
    <w:p w14:paraId="019F28CF">
      <w:pPr>
        <w:ind w:firstLine="420"/>
        <w:rPr>
          <w:rFonts w:ascii="宋体" w:hAnsi="宋体"/>
        </w:rPr>
      </w:pPr>
      <w:bookmarkStart w:id="2" w:name="SectionMark4"/>
      <w:r>
        <w:t>本文件按照GB/T 1.1-2020《标准化工作导则 第1部分：标准化文件的结构和起草规则》的规定起草。</w:t>
      </w:r>
    </w:p>
    <w:p w14:paraId="42A9374C">
      <w:pPr>
        <w:ind w:firstLine="420"/>
        <w:rPr>
          <w:rFonts w:asciiTheme="minorEastAsia" w:hAnsiTheme="minorEastAsia" w:eastAsiaTheme="minorEastAsia"/>
        </w:rPr>
      </w:pPr>
      <w:r>
        <w:rPr>
          <w:rFonts w:hint="eastAsia" w:ascii="宋体" w:hAnsi="宋体"/>
        </w:rPr>
        <w:t>本</w:t>
      </w:r>
      <w:r>
        <w:rPr>
          <w:rFonts w:ascii="宋体" w:hAnsi="宋体"/>
        </w:rPr>
        <w:t>文件是</w:t>
      </w:r>
      <w:r>
        <w:rPr>
          <w:rFonts w:eastAsiaTheme="minorEastAsia"/>
        </w:rPr>
        <w:t>GB/T 18114</w:t>
      </w:r>
      <w:r>
        <w:rPr>
          <w:rFonts w:hint="eastAsia" w:asciiTheme="minorEastAsia" w:hAnsiTheme="minorEastAsia" w:eastAsiaTheme="minorEastAsia"/>
        </w:rPr>
        <w:t>《稀土精矿化学分析方法</w:t>
      </w:r>
      <w:r>
        <w:rPr>
          <w:rFonts w:asciiTheme="minorEastAsia" w:hAnsiTheme="minorEastAsia" w:eastAsiaTheme="minorEastAsia"/>
        </w:rPr>
        <w:t>》</w:t>
      </w:r>
      <w:r>
        <w:rPr>
          <w:rFonts w:hint="eastAsia" w:asciiTheme="minorEastAsia" w:hAnsiTheme="minorEastAsia" w:eastAsiaTheme="minorEastAsia"/>
        </w:rPr>
        <w:t>的</w:t>
      </w:r>
      <w:r>
        <w:rPr>
          <w:rFonts w:eastAsiaTheme="minorEastAsia"/>
        </w:rPr>
        <w:t>第</w:t>
      </w:r>
      <w:r>
        <w:rPr>
          <w:rFonts w:hint="eastAsia" w:eastAsiaTheme="minorEastAsia"/>
        </w:rPr>
        <w:t>9</w:t>
      </w:r>
      <w:r>
        <w:rPr>
          <w:rFonts w:eastAsiaTheme="minorEastAsia"/>
        </w:rPr>
        <w:t>部分</w:t>
      </w:r>
      <w:r>
        <w:rPr>
          <w:rFonts w:asciiTheme="minorEastAsia" w:hAnsiTheme="minorEastAsia" w:eastAsiaTheme="minorEastAsia"/>
        </w:rPr>
        <w:t>。</w:t>
      </w:r>
      <w:r>
        <w:rPr>
          <w:rFonts w:eastAsiaTheme="minorEastAsia"/>
        </w:rPr>
        <w:t>GB/T</w:t>
      </w:r>
      <w:r>
        <w:t> </w:t>
      </w:r>
      <w:r>
        <w:rPr>
          <w:rFonts w:eastAsiaTheme="minorEastAsia"/>
        </w:rPr>
        <w:t>18114</w:t>
      </w:r>
      <w:r>
        <w:rPr>
          <w:rFonts w:hint="eastAsia" w:asciiTheme="minorEastAsia" w:hAnsiTheme="minorEastAsia" w:eastAsiaTheme="minorEastAsia"/>
        </w:rPr>
        <w:t>已经</w:t>
      </w:r>
      <w:r>
        <w:rPr>
          <w:rFonts w:asciiTheme="minorEastAsia" w:hAnsiTheme="minorEastAsia" w:eastAsiaTheme="minorEastAsia"/>
        </w:rPr>
        <w:t>发布了以下部分：</w:t>
      </w:r>
    </w:p>
    <w:p w14:paraId="228E865A">
      <w:pPr>
        <w:ind w:firstLine="420"/>
        <w:rPr>
          <w:rFonts w:eastAsiaTheme="minorEastAsia"/>
          <w:color w:val="000000"/>
        </w:rPr>
      </w:pPr>
      <w:r>
        <w:rPr>
          <w:szCs w:val="21"/>
        </w:rPr>
        <w:t>——</w:t>
      </w:r>
      <w:r>
        <w:rPr>
          <w:rFonts w:eastAsiaTheme="minorEastAsia"/>
          <w:color w:val="000000"/>
        </w:rPr>
        <w:t>第1部分：</w:t>
      </w:r>
      <w:r>
        <w:rPr>
          <w:rFonts w:hint="eastAsia" w:eastAsiaTheme="minorEastAsia"/>
          <w:color w:val="000000"/>
        </w:rPr>
        <w:t>稀土氧化物总量</w:t>
      </w:r>
      <w:r>
        <w:rPr>
          <w:rFonts w:eastAsiaTheme="minorEastAsia"/>
          <w:color w:val="000000"/>
        </w:rPr>
        <w:t xml:space="preserve">的测定 </w:t>
      </w:r>
      <w:r>
        <w:rPr>
          <w:rFonts w:hint="eastAsia" w:eastAsiaTheme="minorEastAsia"/>
          <w:color w:val="000000"/>
        </w:rPr>
        <w:t>重量</w:t>
      </w:r>
      <w:r>
        <w:rPr>
          <w:rFonts w:eastAsiaTheme="minorEastAsia"/>
          <w:color w:val="000000"/>
        </w:rPr>
        <w:t>法；</w:t>
      </w:r>
    </w:p>
    <w:p w14:paraId="4B0A22A9">
      <w:pPr>
        <w:ind w:firstLine="420"/>
        <w:rPr>
          <w:rFonts w:eastAsiaTheme="minorEastAsia"/>
          <w:color w:val="000000"/>
        </w:rPr>
      </w:pPr>
      <w:r>
        <w:rPr>
          <w:szCs w:val="21"/>
        </w:rPr>
        <w:t>——</w:t>
      </w:r>
      <w:r>
        <w:rPr>
          <w:rFonts w:eastAsiaTheme="minorEastAsia"/>
          <w:color w:val="000000"/>
        </w:rPr>
        <w:t>第2部分：</w:t>
      </w:r>
      <w:r>
        <w:rPr>
          <w:rFonts w:hint="eastAsia" w:eastAsiaTheme="minorEastAsia"/>
          <w:color w:val="000000"/>
        </w:rPr>
        <w:t>氧化钍</w:t>
      </w:r>
      <w:r>
        <w:rPr>
          <w:rFonts w:eastAsiaTheme="minorEastAsia"/>
          <w:color w:val="000000"/>
        </w:rPr>
        <w:t>量的测定；</w:t>
      </w:r>
    </w:p>
    <w:p w14:paraId="7BF7A81F">
      <w:pPr>
        <w:ind w:firstLine="420"/>
        <w:rPr>
          <w:rFonts w:eastAsiaTheme="minorEastAsia"/>
          <w:color w:val="000000"/>
        </w:rPr>
      </w:pPr>
      <w:r>
        <w:rPr>
          <w:szCs w:val="21"/>
        </w:rPr>
        <w:t>——</w:t>
      </w:r>
      <w:r>
        <w:rPr>
          <w:rFonts w:eastAsiaTheme="minorEastAsia"/>
          <w:color w:val="000000"/>
        </w:rPr>
        <w:t>第3部分：</w:t>
      </w:r>
      <w:r>
        <w:rPr>
          <w:rFonts w:hint="eastAsia" w:eastAsiaTheme="minorEastAsia"/>
          <w:color w:val="000000"/>
        </w:rPr>
        <w:t>氧化钙量的测定</w:t>
      </w:r>
      <w:r>
        <w:rPr>
          <w:rFonts w:eastAsiaTheme="minorEastAsia"/>
          <w:color w:val="000000"/>
        </w:rPr>
        <w:t>；</w:t>
      </w:r>
    </w:p>
    <w:p w14:paraId="36446340">
      <w:pPr>
        <w:ind w:firstLine="420"/>
        <w:rPr>
          <w:rFonts w:eastAsiaTheme="minorEastAsia"/>
          <w:color w:val="000000"/>
        </w:rPr>
      </w:pPr>
      <w:r>
        <w:rPr>
          <w:szCs w:val="21"/>
        </w:rPr>
        <w:t>——</w:t>
      </w:r>
      <w:r>
        <w:rPr>
          <w:rFonts w:eastAsiaTheme="minorEastAsia"/>
          <w:color w:val="000000"/>
        </w:rPr>
        <w:t>第4部分：</w:t>
      </w:r>
      <w:r>
        <w:rPr>
          <w:rFonts w:hint="eastAsia" w:eastAsiaTheme="minorEastAsia"/>
          <w:color w:val="000000"/>
        </w:rPr>
        <w:t>氧化铌、氧化锆、氧化钛</w:t>
      </w:r>
      <w:r>
        <w:rPr>
          <w:rFonts w:eastAsiaTheme="minorEastAsia"/>
          <w:color w:val="000000"/>
        </w:rPr>
        <w:t xml:space="preserve">量的测定  </w:t>
      </w:r>
      <w:r>
        <w:rPr>
          <w:rFonts w:hint="eastAsia" w:eastAsiaTheme="minorEastAsia"/>
          <w:color w:val="000000"/>
        </w:rPr>
        <w:t>电感耦合等离子体发射光谱</w:t>
      </w:r>
      <w:r>
        <w:rPr>
          <w:rFonts w:eastAsiaTheme="minorEastAsia"/>
          <w:color w:val="000000"/>
        </w:rPr>
        <w:t>法；</w:t>
      </w:r>
    </w:p>
    <w:p w14:paraId="6E476B58">
      <w:pPr>
        <w:ind w:firstLine="420"/>
        <w:rPr>
          <w:rFonts w:eastAsiaTheme="minorEastAsia"/>
          <w:color w:val="000000"/>
        </w:rPr>
      </w:pPr>
      <w:r>
        <w:rPr>
          <w:szCs w:val="21"/>
        </w:rPr>
        <w:t>——</w:t>
      </w:r>
      <w:r>
        <w:rPr>
          <w:rFonts w:eastAsiaTheme="minorEastAsia"/>
          <w:color w:val="000000"/>
        </w:rPr>
        <w:t>第5部分：</w:t>
      </w:r>
      <w:r>
        <w:rPr>
          <w:rFonts w:hint="eastAsia" w:eastAsiaTheme="minorEastAsia"/>
          <w:color w:val="000000"/>
        </w:rPr>
        <w:t>氧化铝</w:t>
      </w:r>
      <w:r>
        <w:rPr>
          <w:rFonts w:eastAsiaTheme="minorEastAsia"/>
          <w:color w:val="000000"/>
        </w:rPr>
        <w:t xml:space="preserve">量的测定  </w:t>
      </w:r>
      <w:r>
        <w:rPr>
          <w:rFonts w:hint="eastAsia" w:eastAsiaTheme="minorEastAsia"/>
          <w:color w:val="000000"/>
        </w:rPr>
        <w:t>电感耦合等离子体发射光谱</w:t>
      </w:r>
      <w:r>
        <w:rPr>
          <w:rFonts w:eastAsiaTheme="minorEastAsia"/>
          <w:color w:val="000000"/>
        </w:rPr>
        <w:t>法；</w:t>
      </w:r>
    </w:p>
    <w:p w14:paraId="55C20DFD">
      <w:pPr>
        <w:ind w:firstLine="420"/>
        <w:rPr>
          <w:rFonts w:eastAsiaTheme="minorEastAsia"/>
          <w:color w:val="000000"/>
        </w:rPr>
      </w:pPr>
      <w:r>
        <w:rPr>
          <w:szCs w:val="21"/>
        </w:rPr>
        <w:t>——</w:t>
      </w:r>
      <w:r>
        <w:rPr>
          <w:rFonts w:eastAsiaTheme="minorEastAsia"/>
          <w:color w:val="000000"/>
        </w:rPr>
        <w:t>第6部分：</w:t>
      </w:r>
      <w:r>
        <w:rPr>
          <w:rFonts w:hint="eastAsia" w:eastAsiaTheme="minorEastAsia"/>
          <w:color w:val="000000"/>
        </w:rPr>
        <w:t>二氧化硅</w:t>
      </w:r>
      <w:r>
        <w:rPr>
          <w:rFonts w:eastAsiaTheme="minorEastAsia"/>
          <w:color w:val="000000"/>
        </w:rPr>
        <w:t>量的测定；</w:t>
      </w:r>
    </w:p>
    <w:p w14:paraId="701BF643">
      <w:pPr>
        <w:ind w:firstLine="420"/>
        <w:rPr>
          <w:rFonts w:eastAsiaTheme="minorEastAsia"/>
          <w:color w:val="000000"/>
        </w:rPr>
      </w:pPr>
      <w:r>
        <w:rPr>
          <w:szCs w:val="21"/>
        </w:rPr>
        <w:t>——</w:t>
      </w:r>
      <w:r>
        <w:rPr>
          <w:rFonts w:eastAsiaTheme="minorEastAsia"/>
          <w:color w:val="000000"/>
        </w:rPr>
        <w:t>第7部分：</w:t>
      </w:r>
      <w:r>
        <w:rPr>
          <w:rFonts w:hint="eastAsia" w:eastAsiaTheme="minorEastAsia"/>
          <w:color w:val="000000"/>
        </w:rPr>
        <w:t>氧化铁</w:t>
      </w:r>
      <w:r>
        <w:rPr>
          <w:rFonts w:eastAsiaTheme="minorEastAsia"/>
          <w:color w:val="000000"/>
        </w:rPr>
        <w:t>量的测定</w:t>
      </w:r>
      <w:r>
        <w:rPr>
          <w:rFonts w:hint="eastAsia" w:eastAsiaTheme="minorEastAsia"/>
          <w:color w:val="000000"/>
        </w:rPr>
        <w:t xml:space="preserve"> 重铬酸钾滴定法</w:t>
      </w:r>
      <w:r>
        <w:rPr>
          <w:rFonts w:eastAsiaTheme="minorEastAsia"/>
          <w:color w:val="000000"/>
        </w:rPr>
        <w:t>；</w:t>
      </w:r>
    </w:p>
    <w:p w14:paraId="0A640B4F">
      <w:pPr>
        <w:ind w:firstLine="420"/>
        <w:rPr>
          <w:rFonts w:eastAsiaTheme="minorEastAsia"/>
          <w:color w:val="000000"/>
        </w:rPr>
      </w:pPr>
      <w:r>
        <w:rPr>
          <w:szCs w:val="21"/>
        </w:rPr>
        <w:t>——</w:t>
      </w:r>
      <w:r>
        <w:rPr>
          <w:rFonts w:eastAsiaTheme="minorEastAsia"/>
          <w:color w:val="000000"/>
        </w:rPr>
        <w:t>第8部分：</w:t>
      </w:r>
      <w:r>
        <w:rPr>
          <w:rFonts w:hint="eastAsia" w:eastAsiaTheme="minorEastAsia"/>
          <w:color w:val="000000"/>
          <w:lang w:val="en-US" w:eastAsia="zh-CN"/>
        </w:rPr>
        <w:t>稀土氧化物量和配分量的测定</w:t>
      </w:r>
      <w:r>
        <w:rPr>
          <w:rFonts w:eastAsiaTheme="minorEastAsia"/>
          <w:color w:val="000000"/>
        </w:rPr>
        <w:t>；</w:t>
      </w:r>
    </w:p>
    <w:p w14:paraId="3D4625B8">
      <w:pPr>
        <w:ind w:firstLine="420"/>
        <w:rPr>
          <w:rFonts w:eastAsiaTheme="minorEastAsia"/>
          <w:color w:val="000000"/>
        </w:rPr>
      </w:pPr>
      <w:r>
        <w:rPr>
          <w:szCs w:val="21"/>
        </w:rPr>
        <w:t>——</w:t>
      </w:r>
      <w:r>
        <w:rPr>
          <w:rFonts w:eastAsiaTheme="minorEastAsia"/>
          <w:color w:val="000000"/>
        </w:rPr>
        <w:t>第9部分：</w:t>
      </w:r>
      <w:r>
        <w:rPr>
          <w:rFonts w:hint="eastAsia" w:eastAsiaTheme="minorEastAsia"/>
          <w:color w:val="000000"/>
        </w:rPr>
        <w:t>五氧化二磷</w:t>
      </w:r>
      <w:r>
        <w:rPr>
          <w:rFonts w:eastAsiaTheme="minorEastAsia"/>
          <w:color w:val="000000"/>
        </w:rPr>
        <w:t>量的测定；</w:t>
      </w:r>
    </w:p>
    <w:p w14:paraId="7EC5DBDB">
      <w:pPr>
        <w:ind w:firstLine="420"/>
        <w:rPr>
          <w:rFonts w:eastAsiaTheme="minorEastAsia"/>
          <w:color w:val="000000"/>
        </w:rPr>
      </w:pPr>
      <w:r>
        <w:rPr>
          <w:szCs w:val="21"/>
        </w:rPr>
        <w:t>——</w:t>
      </w:r>
      <w:r>
        <w:rPr>
          <w:rFonts w:eastAsiaTheme="minorEastAsia"/>
          <w:color w:val="000000"/>
        </w:rPr>
        <w:t>第10部分：</w:t>
      </w:r>
      <w:r>
        <w:rPr>
          <w:rFonts w:hint="eastAsia" w:eastAsiaTheme="minorEastAsia"/>
          <w:color w:val="000000"/>
        </w:rPr>
        <w:t>水分</w:t>
      </w:r>
      <w:r>
        <w:rPr>
          <w:rFonts w:eastAsiaTheme="minorEastAsia"/>
          <w:color w:val="000000"/>
        </w:rPr>
        <w:t xml:space="preserve">的测定  </w:t>
      </w:r>
      <w:r>
        <w:rPr>
          <w:rFonts w:hint="eastAsia" w:eastAsiaTheme="minorEastAsia"/>
          <w:color w:val="000000"/>
        </w:rPr>
        <w:t>重量</w:t>
      </w:r>
      <w:r>
        <w:rPr>
          <w:rFonts w:eastAsiaTheme="minorEastAsia"/>
          <w:color w:val="000000"/>
        </w:rPr>
        <w:t>法；</w:t>
      </w:r>
    </w:p>
    <w:p w14:paraId="537A7905">
      <w:pPr>
        <w:ind w:firstLine="420"/>
        <w:rPr>
          <w:rFonts w:eastAsiaTheme="minorEastAsia"/>
          <w:color w:val="000000"/>
        </w:rPr>
      </w:pPr>
      <w:r>
        <w:rPr>
          <w:szCs w:val="21"/>
        </w:rPr>
        <w:t>——</w:t>
      </w:r>
      <w:r>
        <w:rPr>
          <w:rFonts w:eastAsiaTheme="minorEastAsia"/>
          <w:color w:val="000000"/>
        </w:rPr>
        <w:t>第11部分：</w:t>
      </w:r>
      <w:r>
        <w:rPr>
          <w:rFonts w:hint="eastAsia" w:eastAsiaTheme="minorEastAsia"/>
          <w:color w:val="000000"/>
        </w:rPr>
        <w:t>氟</w:t>
      </w:r>
      <w:r>
        <w:rPr>
          <w:rFonts w:eastAsiaTheme="minorEastAsia"/>
          <w:color w:val="000000"/>
        </w:rPr>
        <w:t>量的测定。</w:t>
      </w:r>
    </w:p>
    <w:p w14:paraId="7E053227">
      <w:pPr>
        <w:ind w:firstLine="420"/>
        <w:rPr>
          <w:rFonts w:eastAsiaTheme="minorEastAsia"/>
        </w:rPr>
      </w:pPr>
      <w:r>
        <w:rPr>
          <w:rFonts w:hint="eastAsia" w:eastAsiaTheme="minorEastAsia"/>
        </w:rPr>
        <w:t>本文件代替</w:t>
      </w:r>
      <w:r>
        <w:rPr>
          <w:rFonts w:eastAsiaTheme="minorEastAsia"/>
        </w:rPr>
        <w:t>GB/T</w:t>
      </w:r>
      <w:r>
        <w:t> </w:t>
      </w:r>
      <w:r>
        <w:rPr>
          <w:rFonts w:eastAsiaTheme="minorEastAsia"/>
        </w:rPr>
        <w:t>18114</w:t>
      </w:r>
      <w:r>
        <w:rPr>
          <w:rFonts w:hint="eastAsia" w:eastAsiaTheme="minorEastAsia"/>
        </w:rPr>
        <w:t>.9-2010</w:t>
      </w:r>
      <w:r>
        <w:rPr>
          <w:rFonts w:eastAsiaTheme="minorEastAsia"/>
        </w:rPr>
        <w:t>《稀土精矿化学分析方法 第</w:t>
      </w:r>
      <w:r>
        <w:rPr>
          <w:rFonts w:hint="eastAsia" w:eastAsiaTheme="minorEastAsia"/>
        </w:rPr>
        <w:t>9</w:t>
      </w:r>
      <w:r>
        <w:rPr>
          <w:rFonts w:eastAsiaTheme="minorEastAsia"/>
        </w:rPr>
        <w:t>部分：</w:t>
      </w:r>
      <w:r>
        <w:rPr>
          <w:rFonts w:hint="eastAsia" w:eastAsiaTheme="minorEastAsia"/>
        </w:rPr>
        <w:t>五氧化二磷</w:t>
      </w:r>
      <w:r>
        <w:rPr>
          <w:rFonts w:eastAsiaTheme="minorEastAsia"/>
        </w:rPr>
        <w:t xml:space="preserve">量的测定 </w:t>
      </w:r>
      <w:r>
        <w:rPr>
          <w:rFonts w:hint="eastAsia" w:eastAsiaTheme="minorEastAsia"/>
        </w:rPr>
        <w:t>磷铋钼蓝分光光度法</w:t>
      </w:r>
      <w:r>
        <w:rPr>
          <w:rFonts w:eastAsiaTheme="minorEastAsia"/>
        </w:rPr>
        <w:t>》</w:t>
      </w:r>
      <w:r>
        <w:rPr>
          <w:rFonts w:hint="eastAsia" w:eastAsiaTheme="minorEastAsia"/>
        </w:rPr>
        <w:t>，与</w:t>
      </w:r>
      <w:r>
        <w:rPr>
          <w:rFonts w:eastAsiaTheme="minorEastAsia"/>
        </w:rPr>
        <w:t>GB/T</w:t>
      </w:r>
      <w:r>
        <w:t> </w:t>
      </w:r>
      <w:r>
        <w:rPr>
          <w:rFonts w:eastAsiaTheme="minorEastAsia"/>
        </w:rPr>
        <w:t>18114</w:t>
      </w:r>
      <w:r>
        <w:rPr>
          <w:rFonts w:hint="eastAsia" w:eastAsiaTheme="minorEastAsia"/>
        </w:rPr>
        <w:t>.9-2010相比，除结构调整和编辑性改动外，主要技术变化如下：</w:t>
      </w:r>
    </w:p>
    <w:p w14:paraId="7876B74B">
      <w:pPr>
        <w:numPr>
          <w:ilvl w:val="0"/>
          <w:numId w:val="0"/>
        </w:numPr>
        <w:ind w:firstLine="420" w:firstLineChars="0"/>
        <w:rPr>
          <w:rFonts w:hint="eastAsia" w:eastAsiaTheme="minorEastAsia"/>
          <w:lang w:eastAsia="zh-CN"/>
        </w:rPr>
      </w:pPr>
      <w:r>
        <w:rPr>
          <w:rFonts w:ascii="Times New Roman" w:hAnsi="Times New Roman" w:cs="Times New Roman" w:eastAsiaTheme="minorEastAsia"/>
          <w:kern w:val="2"/>
          <w:sz w:val="21"/>
          <w:szCs w:val="24"/>
          <w:lang w:val="en-US" w:eastAsia="zh-CN" w:bidi="ar-SA"/>
        </w:rPr>
        <w:t>a）</w:t>
      </w:r>
      <w:r>
        <w:rPr>
          <w:rFonts w:hint="eastAsia" w:eastAsiaTheme="minorEastAsia"/>
          <w:lang w:val="en-US" w:eastAsia="zh-CN"/>
        </w:rPr>
        <w:t>更改了</w:t>
      </w:r>
      <w:r>
        <w:rPr>
          <w:rFonts w:hint="eastAsia" w:eastAsiaTheme="minorEastAsia"/>
        </w:rPr>
        <w:t>五氧化二磷量测定范围</w:t>
      </w:r>
      <w:r>
        <w:rPr>
          <w:rFonts w:hint="eastAsia" w:eastAsiaTheme="minorEastAsia"/>
          <w:lang w:eastAsia="zh-CN"/>
        </w:rPr>
        <w:t>，</w:t>
      </w:r>
      <w:r>
        <w:rPr>
          <w:rFonts w:hint="eastAsia" w:eastAsiaTheme="minorEastAsia"/>
        </w:rPr>
        <w:t>由“0.20%~30.00%”</w:t>
      </w:r>
      <w:r>
        <w:rPr>
          <w:rFonts w:hint="eastAsia" w:eastAsiaTheme="minorEastAsia"/>
          <w:lang w:val="en-US" w:eastAsia="zh-CN"/>
        </w:rPr>
        <w:t>更改</w:t>
      </w:r>
      <w:r>
        <w:rPr>
          <w:rFonts w:hint="eastAsia" w:eastAsiaTheme="minorEastAsia"/>
        </w:rPr>
        <w:t>为“方法1：0.</w:t>
      </w:r>
      <w:r>
        <w:rPr>
          <w:rFonts w:hint="eastAsia" w:eastAsiaTheme="minorEastAsia"/>
          <w:lang w:val="en-US" w:eastAsia="zh-CN"/>
        </w:rPr>
        <w:t>10</w:t>
      </w:r>
      <w:r>
        <w:rPr>
          <w:rFonts w:hint="eastAsia" w:eastAsiaTheme="minorEastAsia"/>
        </w:rPr>
        <w:t>%~30.00%、方法2：0.10%~30.00%”</w:t>
      </w:r>
      <w:r>
        <w:rPr>
          <w:rFonts w:hint="eastAsia" w:eastAsiaTheme="minorEastAsia"/>
          <w:lang w:eastAsia="zh-CN"/>
        </w:rPr>
        <w:t>（</w:t>
      </w:r>
      <w:r>
        <w:rPr>
          <w:rFonts w:hint="eastAsia" w:eastAsiaTheme="minorEastAsia"/>
          <w:lang w:val="en-US" w:eastAsia="zh-CN"/>
        </w:rPr>
        <w:t>见第1章，2010年版的第1章</w:t>
      </w:r>
      <w:r>
        <w:rPr>
          <w:rFonts w:hint="eastAsia" w:eastAsiaTheme="minorEastAsia"/>
          <w:lang w:eastAsia="zh-CN"/>
        </w:rPr>
        <w:t>）</w:t>
      </w:r>
      <w:r>
        <w:rPr>
          <w:rFonts w:hint="eastAsia" w:eastAsiaTheme="minorEastAsia"/>
        </w:rPr>
        <w:t>；</w:t>
      </w:r>
    </w:p>
    <w:p w14:paraId="319675CD">
      <w:pPr>
        <w:numPr>
          <w:ilvl w:val="0"/>
          <w:numId w:val="0"/>
        </w:numPr>
        <w:ind w:firstLine="420" w:firstLineChars="200"/>
        <w:rPr>
          <w:rFonts w:hint="eastAsia" w:eastAsiaTheme="minorEastAsia"/>
          <w:lang w:val="en-US" w:eastAsia="zh-CN"/>
        </w:rPr>
      </w:pPr>
      <w:r>
        <w:rPr>
          <w:rFonts w:hint="eastAsia" w:eastAsiaTheme="minorEastAsia"/>
        </w:rPr>
        <w:t>b）</w:t>
      </w:r>
      <w:r>
        <w:rPr>
          <w:rFonts w:hint="eastAsia" w:eastAsiaTheme="minorEastAsia"/>
          <w:lang w:val="en-US" w:eastAsia="zh-CN"/>
        </w:rPr>
        <w:t>增加“当文件中的方法测定范围出现重叠时，选择仲裁方法”的说明（见第1章）；</w:t>
      </w:r>
    </w:p>
    <w:p w14:paraId="48A5C289">
      <w:pPr>
        <w:numPr>
          <w:ilvl w:val="0"/>
          <w:numId w:val="0"/>
        </w:numPr>
        <w:ind w:firstLine="420" w:firstLineChars="200"/>
        <w:rPr>
          <w:rFonts w:hint="eastAsia" w:eastAsiaTheme="minorEastAsia"/>
          <w:lang w:val="en-US" w:eastAsia="zh-CN"/>
        </w:rPr>
      </w:pPr>
      <w:r>
        <w:rPr>
          <w:rFonts w:hint="eastAsia" w:eastAsiaTheme="minorEastAsia"/>
          <w:lang w:val="en-US" w:eastAsia="zh-CN"/>
        </w:rPr>
        <w:t>c）增加了规范性引用文件（见第2章）；</w:t>
      </w:r>
    </w:p>
    <w:p w14:paraId="043E31DE">
      <w:pPr>
        <w:numPr>
          <w:ilvl w:val="0"/>
          <w:numId w:val="0"/>
        </w:numPr>
        <w:ind w:firstLine="420" w:firstLineChars="200"/>
        <w:rPr>
          <w:rFonts w:hint="default" w:eastAsiaTheme="minorEastAsia"/>
          <w:lang w:val="en-US" w:eastAsia="zh-CN"/>
        </w:rPr>
      </w:pPr>
      <w:r>
        <w:rPr>
          <w:rFonts w:hint="eastAsia" w:eastAsiaTheme="minorEastAsia"/>
          <w:lang w:val="en-US" w:eastAsia="zh-CN"/>
        </w:rPr>
        <w:t>d）增加了术语和定义（见第3章）；</w:t>
      </w:r>
    </w:p>
    <w:p w14:paraId="50F922B7">
      <w:pPr>
        <w:numPr>
          <w:ilvl w:val="0"/>
          <w:numId w:val="0"/>
        </w:numPr>
        <w:ind w:firstLine="420" w:firstLineChars="200"/>
        <w:rPr>
          <w:rFonts w:hint="eastAsia" w:eastAsiaTheme="minorEastAsia"/>
        </w:rPr>
      </w:pPr>
      <w:r>
        <w:rPr>
          <w:rFonts w:hint="eastAsia" w:eastAsiaTheme="minorEastAsia"/>
          <w:lang w:val="en-US" w:eastAsia="zh-CN"/>
        </w:rPr>
        <w:t>e）更改了</w:t>
      </w:r>
      <w:r>
        <w:rPr>
          <w:rFonts w:hint="eastAsia" w:eastAsiaTheme="minorEastAsia"/>
        </w:rPr>
        <w:t xml:space="preserve">方法1 </w:t>
      </w:r>
      <w:r>
        <w:rPr>
          <w:rFonts w:hint="eastAsia" w:eastAsiaTheme="minorEastAsia"/>
          <w:lang w:val="en-US" w:eastAsia="zh-CN"/>
        </w:rPr>
        <w:t>中钼酸铵浓度用量，由“50g/L加入5mL”更改为“25g/L加入10mL”（4.2.12、4.5.5，2010年版的3.12、5.4.4）；</w:t>
      </w:r>
    </w:p>
    <w:p w14:paraId="40E83A08">
      <w:pPr>
        <w:ind w:firstLine="420"/>
        <w:rPr>
          <w:rFonts w:hint="eastAsia" w:eastAsiaTheme="minorEastAsia"/>
          <w:lang w:val="en-US" w:eastAsia="zh-CN"/>
        </w:rPr>
      </w:pPr>
      <w:r>
        <w:rPr>
          <w:rFonts w:hint="eastAsia" w:eastAsiaTheme="minorEastAsia"/>
          <w:lang w:val="en-US" w:eastAsia="zh-CN"/>
        </w:rPr>
        <w:t>f</w:t>
      </w:r>
      <w:r>
        <w:rPr>
          <w:rFonts w:hint="eastAsia" w:eastAsiaTheme="minorEastAsia"/>
        </w:rPr>
        <w:t>）</w:t>
      </w:r>
      <w:r>
        <w:rPr>
          <w:rFonts w:hint="eastAsia" w:eastAsiaTheme="minorEastAsia"/>
          <w:lang w:val="en-US" w:eastAsia="zh-CN"/>
        </w:rPr>
        <w:t>更改了</w:t>
      </w:r>
      <w:r>
        <w:rPr>
          <w:rFonts w:hint="eastAsia" w:eastAsiaTheme="minorEastAsia"/>
        </w:rPr>
        <w:t xml:space="preserve">方法1 </w:t>
      </w:r>
      <w:r>
        <w:rPr>
          <w:rFonts w:hint="eastAsia" w:eastAsiaTheme="minorEastAsia"/>
          <w:lang w:val="en-US" w:eastAsia="zh-CN"/>
        </w:rPr>
        <w:t>的工作曲线范围，由“0</w:t>
      </w:r>
      <w:r>
        <w:rPr>
          <w:rFonts w:hint="eastAsia"/>
          <w:szCs w:val="21"/>
        </w:rPr>
        <w:t xml:space="preserve"> µg</w:t>
      </w:r>
      <w:r>
        <w:rPr>
          <w:rFonts w:hint="eastAsia"/>
          <w:szCs w:val="21"/>
          <w:lang w:val="en-US" w:eastAsia="zh-CN"/>
        </w:rPr>
        <w:t>/mL、0.25</w:t>
      </w:r>
      <w:r>
        <w:rPr>
          <w:rFonts w:hint="eastAsia"/>
          <w:szCs w:val="21"/>
        </w:rPr>
        <w:t xml:space="preserve"> µg</w:t>
      </w:r>
      <w:r>
        <w:rPr>
          <w:rFonts w:hint="eastAsia"/>
          <w:szCs w:val="21"/>
          <w:lang w:val="en-US" w:eastAsia="zh-CN"/>
        </w:rPr>
        <w:t>/mL、0.50</w:t>
      </w:r>
      <w:r>
        <w:rPr>
          <w:rFonts w:hint="eastAsia"/>
          <w:szCs w:val="21"/>
        </w:rPr>
        <w:t xml:space="preserve"> µg</w:t>
      </w:r>
      <w:r>
        <w:rPr>
          <w:rFonts w:hint="eastAsia"/>
          <w:szCs w:val="21"/>
          <w:lang w:val="en-US" w:eastAsia="zh-CN"/>
        </w:rPr>
        <w:t>/mL、0.75</w:t>
      </w:r>
      <w:r>
        <w:rPr>
          <w:rFonts w:hint="eastAsia"/>
          <w:szCs w:val="21"/>
        </w:rPr>
        <w:t xml:space="preserve"> µg</w:t>
      </w:r>
      <w:r>
        <w:rPr>
          <w:rFonts w:hint="eastAsia"/>
          <w:szCs w:val="21"/>
          <w:lang w:val="en-US" w:eastAsia="zh-CN"/>
        </w:rPr>
        <w:t>/mL、1.00</w:t>
      </w:r>
      <w:r>
        <w:rPr>
          <w:rFonts w:hint="eastAsia"/>
          <w:szCs w:val="21"/>
        </w:rPr>
        <w:t xml:space="preserve"> µg</w:t>
      </w:r>
      <w:r>
        <w:rPr>
          <w:rFonts w:hint="eastAsia"/>
          <w:szCs w:val="21"/>
          <w:lang w:val="en-US" w:eastAsia="zh-CN"/>
        </w:rPr>
        <w:t>/mL</w:t>
      </w:r>
      <w:r>
        <w:rPr>
          <w:rFonts w:hint="eastAsia" w:eastAsiaTheme="minorEastAsia"/>
          <w:lang w:val="en-US" w:eastAsia="zh-CN"/>
        </w:rPr>
        <w:t>”更改为“0</w:t>
      </w:r>
      <w:r>
        <w:rPr>
          <w:rFonts w:hint="eastAsia"/>
          <w:szCs w:val="21"/>
        </w:rPr>
        <w:t>µg</w:t>
      </w:r>
      <w:r>
        <w:rPr>
          <w:rFonts w:hint="eastAsia"/>
          <w:szCs w:val="21"/>
          <w:lang w:val="en-US" w:eastAsia="zh-CN"/>
        </w:rPr>
        <w:t>/mL</w:t>
      </w:r>
      <w:r>
        <w:rPr>
          <w:rFonts w:hint="eastAsia" w:eastAsiaTheme="minorEastAsia"/>
          <w:lang w:val="en-US" w:eastAsia="zh-CN"/>
        </w:rPr>
        <w:t>、0.1</w:t>
      </w:r>
      <w:r>
        <w:rPr>
          <w:rFonts w:hint="eastAsia"/>
          <w:szCs w:val="21"/>
        </w:rPr>
        <w:t>µg</w:t>
      </w:r>
      <w:r>
        <w:rPr>
          <w:rFonts w:hint="eastAsia"/>
          <w:szCs w:val="21"/>
          <w:lang w:val="en-US" w:eastAsia="zh-CN"/>
        </w:rPr>
        <w:t>/mL</w:t>
      </w:r>
      <w:r>
        <w:rPr>
          <w:rFonts w:hint="eastAsia" w:eastAsiaTheme="minorEastAsia"/>
          <w:lang w:val="en-US" w:eastAsia="zh-CN"/>
        </w:rPr>
        <w:t>、0.25</w:t>
      </w:r>
      <w:r>
        <w:rPr>
          <w:rFonts w:hint="eastAsia"/>
          <w:szCs w:val="21"/>
        </w:rPr>
        <w:t>µg</w:t>
      </w:r>
      <w:r>
        <w:rPr>
          <w:rFonts w:hint="eastAsia"/>
          <w:szCs w:val="21"/>
          <w:lang w:val="en-US" w:eastAsia="zh-CN"/>
        </w:rPr>
        <w:t>/mL</w:t>
      </w:r>
      <w:r>
        <w:rPr>
          <w:rFonts w:hint="eastAsia" w:eastAsiaTheme="minorEastAsia"/>
          <w:lang w:val="en-US" w:eastAsia="zh-CN"/>
        </w:rPr>
        <w:t>、0.50</w:t>
      </w:r>
      <w:r>
        <w:rPr>
          <w:rFonts w:hint="eastAsia"/>
          <w:szCs w:val="21"/>
        </w:rPr>
        <w:t>µg</w:t>
      </w:r>
      <w:r>
        <w:rPr>
          <w:rFonts w:hint="eastAsia"/>
          <w:szCs w:val="21"/>
          <w:lang w:val="en-US" w:eastAsia="zh-CN"/>
        </w:rPr>
        <w:t>/mL</w:t>
      </w:r>
      <w:r>
        <w:rPr>
          <w:rFonts w:hint="eastAsia" w:eastAsiaTheme="minorEastAsia"/>
          <w:lang w:val="en-US" w:eastAsia="zh-CN"/>
        </w:rPr>
        <w:t>、1.00</w:t>
      </w:r>
      <w:r>
        <w:rPr>
          <w:rFonts w:hint="eastAsia"/>
          <w:szCs w:val="21"/>
        </w:rPr>
        <w:t>µg</w:t>
      </w:r>
      <w:r>
        <w:rPr>
          <w:rFonts w:hint="eastAsia"/>
          <w:szCs w:val="21"/>
          <w:lang w:val="en-US" w:eastAsia="zh-CN"/>
        </w:rPr>
        <w:t>/mL</w:t>
      </w:r>
      <w:r>
        <w:rPr>
          <w:rFonts w:hint="eastAsia" w:eastAsiaTheme="minorEastAsia"/>
          <w:lang w:val="en-US" w:eastAsia="zh-CN"/>
        </w:rPr>
        <w:t>、1.50</w:t>
      </w:r>
      <w:r>
        <w:rPr>
          <w:rFonts w:hint="eastAsia"/>
          <w:szCs w:val="21"/>
        </w:rPr>
        <w:t>µg</w:t>
      </w:r>
      <w:r>
        <w:rPr>
          <w:rFonts w:hint="eastAsia"/>
          <w:szCs w:val="21"/>
          <w:lang w:val="en-US" w:eastAsia="zh-CN"/>
        </w:rPr>
        <w:t>/mL</w:t>
      </w:r>
      <w:r>
        <w:rPr>
          <w:rFonts w:hint="eastAsia" w:eastAsiaTheme="minorEastAsia"/>
          <w:lang w:val="en-US" w:eastAsia="zh-CN"/>
        </w:rPr>
        <w:t>、2.00</w:t>
      </w:r>
      <w:r>
        <w:rPr>
          <w:rFonts w:hint="eastAsia"/>
          <w:szCs w:val="21"/>
        </w:rPr>
        <w:t>µg</w:t>
      </w:r>
      <w:r>
        <w:rPr>
          <w:rFonts w:hint="eastAsia"/>
          <w:szCs w:val="21"/>
          <w:lang w:val="en-US" w:eastAsia="zh-CN"/>
        </w:rPr>
        <w:t>/mL</w:t>
      </w:r>
      <w:r>
        <w:rPr>
          <w:rFonts w:hint="eastAsia" w:eastAsiaTheme="minorEastAsia"/>
          <w:lang w:val="en-US" w:eastAsia="zh-CN"/>
        </w:rPr>
        <w:t>”（见4.5.5.2，2010年版的5.5.2）；</w:t>
      </w:r>
    </w:p>
    <w:p w14:paraId="14DF2A87">
      <w:pPr>
        <w:ind w:firstLine="420"/>
        <w:rPr>
          <w:rFonts w:hint="eastAsia" w:eastAsiaTheme="minorEastAsia"/>
          <w:lang w:val="en-US" w:eastAsia="zh-CN"/>
        </w:rPr>
      </w:pPr>
      <w:r>
        <w:rPr>
          <w:rFonts w:hint="eastAsia" w:eastAsiaTheme="minorEastAsia"/>
          <w:lang w:val="en-US" w:eastAsia="zh-CN"/>
        </w:rPr>
        <w:t>g</w:t>
      </w:r>
      <w:r>
        <w:rPr>
          <w:rFonts w:hint="eastAsia" w:eastAsiaTheme="minorEastAsia"/>
        </w:rPr>
        <w:t>）</w:t>
      </w:r>
      <w:r>
        <w:rPr>
          <w:rFonts w:hint="eastAsia" w:eastAsiaTheme="minorEastAsia"/>
          <w:lang w:val="en-US" w:eastAsia="zh-CN"/>
        </w:rPr>
        <w:t>更改了</w:t>
      </w:r>
      <w:r>
        <w:rPr>
          <w:rFonts w:hint="eastAsia" w:eastAsiaTheme="minorEastAsia"/>
        </w:rPr>
        <w:t xml:space="preserve">方法1 </w:t>
      </w:r>
      <w:r>
        <w:rPr>
          <w:rFonts w:hint="eastAsia" w:eastAsiaTheme="minorEastAsia"/>
          <w:lang w:val="en-US" w:eastAsia="zh-CN"/>
        </w:rPr>
        <w:t>的分析波长，由710nm更改为700nm（见4.1、4.5.5，2010年版的第2章、5.5.3）。</w:t>
      </w:r>
    </w:p>
    <w:p w14:paraId="39C54F66">
      <w:pPr>
        <w:ind w:firstLine="420"/>
        <w:rPr>
          <w:rFonts w:hint="default" w:eastAsiaTheme="minorEastAsia"/>
          <w:lang w:val="en-US" w:eastAsia="zh-CN"/>
        </w:rPr>
      </w:pPr>
      <w:r>
        <w:rPr>
          <w:rFonts w:hint="eastAsia" w:eastAsiaTheme="minorEastAsia"/>
          <w:lang w:val="en-US" w:eastAsia="zh-CN"/>
        </w:rPr>
        <w:t>h</w:t>
      </w:r>
      <w:r>
        <w:rPr>
          <w:rFonts w:hint="eastAsia" w:eastAsiaTheme="minorEastAsia"/>
        </w:rPr>
        <w:t>）</w:t>
      </w:r>
      <w:r>
        <w:rPr>
          <w:rFonts w:hint="eastAsia" w:eastAsiaTheme="minorEastAsia"/>
          <w:lang w:val="en-US" w:eastAsia="zh-CN"/>
        </w:rPr>
        <w:t>更改了</w:t>
      </w:r>
      <w:r>
        <w:rPr>
          <w:rFonts w:hint="eastAsia" w:eastAsiaTheme="minorEastAsia"/>
        </w:rPr>
        <w:t>方法1 精密度</w:t>
      </w:r>
      <w:r>
        <w:rPr>
          <w:rFonts w:hint="eastAsia" w:eastAsiaTheme="minorEastAsia"/>
          <w:lang w:val="en-US" w:eastAsia="zh-CN"/>
        </w:rPr>
        <w:t>的部分表述</w:t>
      </w:r>
      <w:r>
        <w:rPr>
          <w:rFonts w:hint="eastAsia" w:eastAsiaTheme="minorEastAsia"/>
        </w:rPr>
        <w:t>，将“允许差”</w:t>
      </w:r>
      <w:r>
        <w:rPr>
          <w:rFonts w:hint="eastAsia" w:eastAsiaTheme="minorEastAsia"/>
          <w:lang w:val="en-US" w:eastAsia="zh-CN"/>
        </w:rPr>
        <w:t>更</w:t>
      </w:r>
      <w:r>
        <w:rPr>
          <w:rFonts w:hint="eastAsia" w:eastAsiaTheme="minorEastAsia"/>
        </w:rPr>
        <w:t>改为“再现性”</w:t>
      </w:r>
      <w:r>
        <w:rPr>
          <w:rFonts w:hint="eastAsia" w:eastAsiaTheme="minorEastAsia"/>
          <w:lang w:eastAsia="zh-CN"/>
        </w:rPr>
        <w:t>（</w:t>
      </w:r>
      <w:r>
        <w:rPr>
          <w:rFonts w:hint="eastAsia" w:eastAsiaTheme="minorEastAsia"/>
          <w:lang w:val="en-US" w:eastAsia="zh-CN"/>
        </w:rPr>
        <w:t>见5.7.2，2010年版的7.2</w:t>
      </w:r>
      <w:r>
        <w:rPr>
          <w:rFonts w:hint="eastAsia" w:eastAsiaTheme="minorEastAsia"/>
          <w:lang w:eastAsia="zh-CN"/>
        </w:rPr>
        <w:t>）</w:t>
      </w:r>
      <w:r>
        <w:rPr>
          <w:rFonts w:hint="eastAsia" w:eastAsiaTheme="minorEastAsia"/>
        </w:rPr>
        <w:t>；</w:t>
      </w:r>
    </w:p>
    <w:p w14:paraId="6861DA8C">
      <w:pPr>
        <w:ind w:firstLine="420"/>
        <w:rPr>
          <w:rFonts w:hint="eastAsia" w:eastAsiaTheme="minorEastAsia"/>
          <w:lang w:val="en-US" w:eastAsia="zh-CN"/>
        </w:rPr>
      </w:pPr>
      <w:r>
        <w:rPr>
          <w:rFonts w:hint="eastAsia" w:eastAsiaTheme="minorEastAsia"/>
          <w:lang w:val="en-US" w:eastAsia="zh-CN"/>
        </w:rPr>
        <w:t>i</w:t>
      </w:r>
      <w:r>
        <w:rPr>
          <w:rFonts w:hint="eastAsia" w:eastAsiaTheme="minorEastAsia"/>
        </w:rPr>
        <w:t>）增加“方法2</w:t>
      </w:r>
      <w:r>
        <w:rPr>
          <w:rFonts w:hint="eastAsia"/>
          <w:szCs w:val="21"/>
        </w:rPr>
        <w:t>电感耦合等离子体发射光谱法</w:t>
      </w:r>
      <w:r>
        <w:rPr>
          <w:rFonts w:hint="eastAsia" w:eastAsiaTheme="minorEastAsia"/>
        </w:rPr>
        <w:t>”</w:t>
      </w:r>
      <w:r>
        <w:rPr>
          <w:rFonts w:hint="eastAsia" w:eastAsiaTheme="minorEastAsia"/>
          <w:lang w:eastAsia="zh-CN"/>
        </w:rPr>
        <w:t>（</w:t>
      </w:r>
      <w:r>
        <w:rPr>
          <w:rFonts w:hint="eastAsia" w:eastAsiaTheme="minorEastAsia"/>
          <w:lang w:val="en-US" w:eastAsia="zh-CN"/>
        </w:rPr>
        <w:t>见第5章</w:t>
      </w:r>
      <w:r>
        <w:rPr>
          <w:rFonts w:hint="eastAsia" w:eastAsiaTheme="minorEastAsia"/>
          <w:lang w:eastAsia="zh-CN"/>
        </w:rPr>
        <w:t>）；</w:t>
      </w:r>
    </w:p>
    <w:p w14:paraId="0C2AF74F">
      <w:pPr>
        <w:ind w:firstLine="420"/>
        <w:rPr>
          <w:rFonts w:eastAsiaTheme="minorEastAsia"/>
        </w:rPr>
      </w:pPr>
      <w:r>
        <w:rPr>
          <w:rFonts w:eastAsiaTheme="minorEastAsia"/>
        </w:rPr>
        <w:t>请注意本文件的某些内容可能涉及专利。本文件的发布机构不承担识别专利的责任。</w:t>
      </w:r>
    </w:p>
    <w:p w14:paraId="22A00206">
      <w:pPr>
        <w:ind w:firstLine="420"/>
        <w:rPr>
          <w:rFonts w:eastAsiaTheme="minorEastAsia"/>
        </w:rPr>
      </w:pPr>
      <w:r>
        <w:rPr>
          <w:rFonts w:eastAsiaTheme="minorEastAsia"/>
        </w:rPr>
        <w:t>本文件由全国稀土标准化技术委员会（SAC/TC 229）提出并归口。</w:t>
      </w:r>
    </w:p>
    <w:p w14:paraId="36AABCD3">
      <w:pPr>
        <w:ind w:firstLine="420"/>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起草单位：</w:t>
      </w:r>
      <w:r>
        <w:rPr>
          <w:rFonts w:hint="eastAsia" w:asciiTheme="minorEastAsia" w:hAnsiTheme="minorEastAsia" w:eastAsiaTheme="minorEastAsia"/>
        </w:rPr>
        <w:t>包头稀土研究院、国标（北京）检验认证有限公司、江西金世纪新材料股份有限公司、中国科学院海西研究院厦门稀土材料研究所、包头稀土新材料技术研发中心、包头华美稀土高科技有限公司、四川省冕宁县方兴稀土有限公司。</w:t>
      </w:r>
    </w:p>
    <w:p w14:paraId="0C354721">
      <w:pPr>
        <w:ind w:firstLine="420"/>
        <w:rPr>
          <w:rFonts w:hint="default" w:eastAsiaTheme="minorEastAsia"/>
          <w:lang w:val="en-US" w:eastAsia="zh-CN"/>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主要起草人：</w:t>
      </w:r>
      <w:r>
        <w:rPr>
          <w:rFonts w:hint="eastAsia" w:asciiTheme="minorEastAsia" w:hAnsiTheme="minorEastAsia" w:eastAsiaTheme="minorEastAsia"/>
          <w:lang w:val="en-US" w:eastAsia="zh-CN"/>
        </w:rPr>
        <w:t>***、***</w:t>
      </w:r>
      <w:bookmarkStart w:id="4" w:name="_GoBack"/>
      <w:bookmarkEnd w:id="4"/>
    </w:p>
    <w:p w14:paraId="7AC4721C">
      <w:pPr>
        <w:pStyle w:val="47"/>
        <w:ind w:firstLine="420"/>
        <w:rPr>
          <w:rFonts w:ascii="Times New Roman"/>
        </w:rPr>
      </w:pPr>
      <w:r>
        <w:rPr>
          <w:rFonts w:hint="eastAsia" w:ascii="Times New Roman"/>
        </w:rPr>
        <w:t>本文件及其所代替文件的历次版本发布情况为：</w:t>
      </w:r>
    </w:p>
    <w:p w14:paraId="685869B6">
      <w:pPr>
        <w:pStyle w:val="47"/>
        <w:ind w:firstLine="420"/>
        <w:rPr>
          <w:rFonts w:ascii="Times New Roman"/>
          <w:szCs w:val="21"/>
        </w:rPr>
      </w:pPr>
      <w:r>
        <w:rPr>
          <w:rFonts w:ascii="Times New Roman"/>
          <w:szCs w:val="21"/>
        </w:rPr>
        <w:t>——</w:t>
      </w:r>
      <w:r>
        <w:rPr>
          <w:rFonts w:hint="eastAsia" w:ascii="Times New Roman"/>
          <w:szCs w:val="21"/>
        </w:rPr>
        <w:t>2000</w:t>
      </w:r>
      <w:r>
        <w:rPr>
          <w:rFonts w:ascii="Times New Roman"/>
          <w:szCs w:val="21"/>
        </w:rPr>
        <w:t>年首次发布为</w:t>
      </w:r>
      <w:r>
        <w:rPr>
          <w:rFonts w:hint="eastAsia" w:ascii="Times New Roman"/>
          <w:szCs w:val="21"/>
        </w:rPr>
        <w:t>GB/T 18114.9-2000；</w:t>
      </w:r>
    </w:p>
    <w:p w14:paraId="6A07B084">
      <w:pPr>
        <w:pStyle w:val="47"/>
        <w:ind w:firstLine="420"/>
        <w:rPr>
          <w:rFonts w:ascii="Times New Roman"/>
          <w:szCs w:val="21"/>
        </w:rPr>
      </w:pPr>
      <w:r>
        <w:rPr>
          <w:rFonts w:ascii="Times New Roman"/>
          <w:szCs w:val="21"/>
        </w:rPr>
        <w:t>——</w:t>
      </w:r>
      <w:r>
        <w:rPr>
          <w:rFonts w:hint="eastAsia" w:ascii="Times New Roman"/>
          <w:szCs w:val="21"/>
        </w:rPr>
        <w:t>2010年第一次修订为GB/T 18114.9-2010；</w:t>
      </w:r>
    </w:p>
    <w:p w14:paraId="1BC057A2">
      <w:pPr>
        <w:pStyle w:val="47"/>
        <w:ind w:firstLine="420"/>
        <w:rPr>
          <w:rFonts w:ascii="Times New Roman"/>
          <w:szCs w:val="21"/>
        </w:rPr>
      </w:pPr>
      <w:r>
        <w:rPr>
          <w:rFonts w:ascii="Times New Roman"/>
          <w:szCs w:val="21"/>
        </w:rPr>
        <w:t>——</w:t>
      </w:r>
      <w:r>
        <w:rPr>
          <w:rFonts w:hint="eastAsia" w:ascii="Times New Roman"/>
          <w:szCs w:val="21"/>
        </w:rPr>
        <w:t>本次为第二次修订。</w:t>
      </w:r>
    </w:p>
    <w:p w14:paraId="0CC926DE">
      <w:pPr>
        <w:pStyle w:val="73"/>
        <w:numPr>
          <w:ilvl w:val="0"/>
          <w:numId w:val="0"/>
        </w:numPr>
        <w:spacing w:before="0" w:after="20"/>
        <w:jc w:val="both"/>
        <w:rPr>
          <w:color w:val="000000"/>
        </w:rPr>
      </w:pPr>
    </w:p>
    <w:p w14:paraId="5432D49B">
      <w:pPr>
        <w:rPr>
          <w:color w:val="000000"/>
        </w:rPr>
      </w:pPr>
    </w:p>
    <w:p w14:paraId="488D656F">
      <w:pPr>
        <w:rPr>
          <w:color w:val="000000"/>
        </w:rPr>
      </w:pPr>
    </w:p>
    <w:p w14:paraId="580DC6BA">
      <w:pPr>
        <w:rPr>
          <w:color w:val="000000"/>
        </w:rPr>
      </w:pPr>
    </w:p>
    <w:p w14:paraId="20F24291">
      <w:pPr>
        <w:rPr>
          <w:color w:val="000000"/>
        </w:rPr>
      </w:pPr>
    </w:p>
    <w:p w14:paraId="75826AB1">
      <w:pPr>
        <w:pStyle w:val="73"/>
        <w:numPr>
          <w:ilvl w:val="0"/>
          <w:numId w:val="0"/>
        </w:numPr>
        <w:spacing w:before="20" w:after="20"/>
        <w:rPr>
          <w:color w:val="000000"/>
        </w:rPr>
      </w:pPr>
      <w:r>
        <w:rPr>
          <w:rFonts w:hint="eastAsia"/>
          <w:color w:val="000000"/>
        </w:rPr>
        <w:t>引 言</w:t>
      </w:r>
    </w:p>
    <w:p w14:paraId="40DF12C5">
      <w:pPr>
        <w:ind w:firstLine="420" w:firstLineChars="200"/>
        <w:rPr>
          <w:rFonts w:asciiTheme="minorEastAsia" w:hAnsiTheme="minorEastAsia" w:eastAsiaTheme="minorEastAsia"/>
        </w:rPr>
      </w:pPr>
    </w:p>
    <w:p w14:paraId="4F2CBD53">
      <w:pPr>
        <w:spacing w:line="240" w:lineRule="auto"/>
        <w:ind w:firstLine="420" w:firstLineChars="200"/>
        <w:rPr>
          <w:rFonts w:ascii="宋体" w:hAnsi="宋体" w:cs="宋体"/>
          <w:szCs w:val="21"/>
        </w:rPr>
      </w:pPr>
      <w:r>
        <w:rPr>
          <w:rFonts w:hint="eastAsia" w:asciiTheme="minorEastAsia" w:hAnsiTheme="minorEastAsia" w:eastAsiaTheme="minorEastAsia"/>
        </w:rPr>
        <w:t>稀土精矿是指稀土矿石经选矿富集后，稀土含量达到冶炼要求的产品。其稀土元素自然配分不发生变化。包括氟碳铈矿精矿、独居石精矿、氟碳铈矿-独居石混合精矿、氟碳铈镧矿精矿等。由于</w:t>
      </w:r>
      <w:r>
        <w:rPr>
          <w:rFonts w:hint="eastAsia" w:asciiTheme="minorEastAsia" w:hAnsiTheme="minorEastAsia" w:eastAsiaTheme="minorEastAsia"/>
          <w:lang w:val="en-US" w:eastAsia="zh-CN"/>
        </w:rPr>
        <w:t>稀土</w:t>
      </w:r>
      <w:r>
        <w:rPr>
          <w:rFonts w:hint="eastAsia" w:asciiTheme="minorEastAsia" w:hAnsiTheme="minorEastAsia" w:eastAsiaTheme="minorEastAsia"/>
        </w:rPr>
        <w:t>具有优良的光电磁等物理特性，能与其他材料组成性能各异、品类繁多的新型原材料，能大幅度的提高其他产品的质量和性能。化学成分是稀土精矿产品的重要考核指标。制定科学、准确的化学成分分析方法标准，通过明确适用范围，规范试剂和材料、试验设备和步骤，并经过反复多次的试验和验证给出精密度数据，可以增强不同试验室间数据的一致性和可比性，为稀土精矿产品的品质核查提供严谨、规范的技术手段，有利于促进稀土精矿产品的生产与贸易。</w:t>
      </w:r>
    </w:p>
    <w:p w14:paraId="5576C0A6">
      <w:pPr>
        <w:spacing w:line="240" w:lineRule="auto"/>
        <w:ind w:firstLine="420" w:firstLineChars="200"/>
        <w:rPr>
          <w:szCs w:val="21"/>
        </w:rPr>
      </w:pPr>
      <w:r>
        <w:rPr>
          <w:rFonts w:hint="eastAsia"/>
          <w:szCs w:val="21"/>
        </w:rPr>
        <w:t>本系列标准GB/T 18114《稀土精矿化学分析方法》重点针对稀土精矿中稀土氧化物总量、十五个稀土元素氧化物配分量、共存非稀土元素的检测，共由11个部分构成。</w:t>
      </w:r>
    </w:p>
    <w:p w14:paraId="179E4FAA">
      <w:pPr>
        <w:ind w:firstLine="420"/>
        <w:rPr>
          <w:rFonts w:eastAsiaTheme="minorEastAsia"/>
          <w:color w:val="000000"/>
        </w:rPr>
      </w:pPr>
      <w:r>
        <w:rPr>
          <w:szCs w:val="21"/>
        </w:rPr>
        <w:t>——</w:t>
      </w:r>
      <w:r>
        <w:rPr>
          <w:rFonts w:eastAsiaTheme="minorEastAsia"/>
          <w:color w:val="000000"/>
        </w:rPr>
        <w:t>第1部分：</w:t>
      </w:r>
      <w:r>
        <w:rPr>
          <w:rFonts w:hint="eastAsia" w:eastAsiaTheme="minorEastAsia"/>
          <w:color w:val="000000"/>
        </w:rPr>
        <w:t>稀土氧化物总量</w:t>
      </w:r>
      <w:r>
        <w:rPr>
          <w:rFonts w:eastAsiaTheme="minorEastAsia"/>
          <w:color w:val="000000"/>
        </w:rPr>
        <w:t xml:space="preserve">的测定 </w:t>
      </w:r>
      <w:r>
        <w:rPr>
          <w:rFonts w:hint="eastAsia" w:eastAsiaTheme="minorEastAsia"/>
          <w:color w:val="000000"/>
        </w:rPr>
        <w:t>重量</w:t>
      </w:r>
      <w:r>
        <w:rPr>
          <w:rFonts w:eastAsiaTheme="minorEastAsia"/>
          <w:color w:val="000000"/>
        </w:rPr>
        <w:t>法；</w:t>
      </w:r>
    </w:p>
    <w:p w14:paraId="6A379D4A">
      <w:pPr>
        <w:ind w:firstLine="420"/>
        <w:rPr>
          <w:rFonts w:eastAsiaTheme="minorEastAsia"/>
          <w:color w:val="000000"/>
        </w:rPr>
      </w:pPr>
      <w:r>
        <w:rPr>
          <w:szCs w:val="21"/>
        </w:rPr>
        <w:t>——</w:t>
      </w:r>
      <w:r>
        <w:rPr>
          <w:rFonts w:eastAsiaTheme="minorEastAsia"/>
          <w:color w:val="000000"/>
        </w:rPr>
        <w:t>第2部分：</w:t>
      </w:r>
      <w:r>
        <w:rPr>
          <w:rFonts w:hint="eastAsia" w:eastAsiaTheme="minorEastAsia"/>
          <w:color w:val="000000"/>
        </w:rPr>
        <w:t>氧化钍</w:t>
      </w:r>
      <w:r>
        <w:rPr>
          <w:rFonts w:eastAsiaTheme="minorEastAsia"/>
          <w:color w:val="000000"/>
        </w:rPr>
        <w:t>量的测定；</w:t>
      </w:r>
    </w:p>
    <w:p w14:paraId="6D1BD539">
      <w:pPr>
        <w:ind w:firstLine="420"/>
        <w:rPr>
          <w:rFonts w:eastAsiaTheme="minorEastAsia"/>
          <w:color w:val="000000"/>
        </w:rPr>
      </w:pPr>
      <w:r>
        <w:rPr>
          <w:szCs w:val="21"/>
        </w:rPr>
        <w:t>——</w:t>
      </w:r>
      <w:r>
        <w:rPr>
          <w:rFonts w:eastAsiaTheme="minorEastAsia"/>
          <w:color w:val="000000"/>
        </w:rPr>
        <w:t>第3部分：</w:t>
      </w:r>
      <w:r>
        <w:rPr>
          <w:rFonts w:hint="eastAsia" w:eastAsiaTheme="minorEastAsia"/>
          <w:color w:val="000000"/>
        </w:rPr>
        <w:t>氧化钙量的测定</w:t>
      </w:r>
      <w:r>
        <w:rPr>
          <w:rFonts w:eastAsiaTheme="minorEastAsia"/>
          <w:color w:val="000000"/>
        </w:rPr>
        <w:t>；</w:t>
      </w:r>
    </w:p>
    <w:p w14:paraId="3C83C423">
      <w:pPr>
        <w:ind w:firstLine="420"/>
        <w:rPr>
          <w:rFonts w:eastAsiaTheme="minorEastAsia"/>
          <w:color w:val="000000"/>
        </w:rPr>
      </w:pPr>
      <w:r>
        <w:rPr>
          <w:szCs w:val="21"/>
        </w:rPr>
        <w:t>——</w:t>
      </w:r>
      <w:r>
        <w:rPr>
          <w:rFonts w:eastAsiaTheme="minorEastAsia"/>
          <w:color w:val="000000"/>
        </w:rPr>
        <w:t>第4部分：</w:t>
      </w:r>
      <w:r>
        <w:rPr>
          <w:rFonts w:hint="eastAsia" w:eastAsiaTheme="minorEastAsia"/>
          <w:color w:val="000000"/>
        </w:rPr>
        <w:t>氧化铌、氧化锆、氧化钛</w:t>
      </w:r>
      <w:r>
        <w:rPr>
          <w:rFonts w:eastAsiaTheme="minorEastAsia"/>
          <w:color w:val="000000"/>
        </w:rPr>
        <w:t xml:space="preserve">量的测定  </w:t>
      </w:r>
      <w:r>
        <w:rPr>
          <w:rFonts w:hint="eastAsia" w:eastAsiaTheme="minorEastAsia"/>
          <w:color w:val="000000"/>
        </w:rPr>
        <w:t>电感耦合等离子体发射光谱</w:t>
      </w:r>
      <w:r>
        <w:rPr>
          <w:rFonts w:eastAsiaTheme="minorEastAsia"/>
          <w:color w:val="000000"/>
        </w:rPr>
        <w:t>法；</w:t>
      </w:r>
    </w:p>
    <w:p w14:paraId="1B9A28C0">
      <w:pPr>
        <w:ind w:firstLine="420"/>
        <w:rPr>
          <w:rFonts w:eastAsiaTheme="minorEastAsia"/>
          <w:color w:val="000000"/>
        </w:rPr>
      </w:pPr>
      <w:r>
        <w:rPr>
          <w:szCs w:val="21"/>
        </w:rPr>
        <w:t>——</w:t>
      </w:r>
      <w:r>
        <w:rPr>
          <w:rFonts w:eastAsiaTheme="minorEastAsia"/>
          <w:color w:val="000000"/>
        </w:rPr>
        <w:t>第5部分：</w:t>
      </w:r>
      <w:r>
        <w:rPr>
          <w:rFonts w:hint="eastAsia" w:eastAsiaTheme="minorEastAsia"/>
          <w:color w:val="000000"/>
        </w:rPr>
        <w:t>氧化铝</w:t>
      </w:r>
      <w:r>
        <w:rPr>
          <w:rFonts w:eastAsiaTheme="minorEastAsia"/>
          <w:color w:val="000000"/>
        </w:rPr>
        <w:t xml:space="preserve">量的测定  </w:t>
      </w:r>
      <w:r>
        <w:rPr>
          <w:rFonts w:hint="eastAsia" w:eastAsiaTheme="minorEastAsia"/>
          <w:color w:val="000000"/>
        </w:rPr>
        <w:t>电感耦合等离子体发射光谱</w:t>
      </w:r>
      <w:r>
        <w:rPr>
          <w:rFonts w:eastAsiaTheme="minorEastAsia"/>
          <w:color w:val="000000"/>
        </w:rPr>
        <w:t>法；</w:t>
      </w:r>
    </w:p>
    <w:p w14:paraId="46888EC1">
      <w:pPr>
        <w:ind w:firstLine="420"/>
        <w:rPr>
          <w:rFonts w:eastAsiaTheme="minorEastAsia"/>
          <w:color w:val="000000"/>
        </w:rPr>
      </w:pPr>
      <w:r>
        <w:rPr>
          <w:szCs w:val="21"/>
        </w:rPr>
        <w:t>——</w:t>
      </w:r>
      <w:r>
        <w:rPr>
          <w:rFonts w:eastAsiaTheme="minorEastAsia"/>
          <w:color w:val="000000"/>
        </w:rPr>
        <w:t>第6部分：</w:t>
      </w:r>
      <w:r>
        <w:rPr>
          <w:rFonts w:hint="eastAsia" w:eastAsiaTheme="minorEastAsia"/>
          <w:color w:val="000000"/>
        </w:rPr>
        <w:t>二氧化硅</w:t>
      </w:r>
      <w:r>
        <w:rPr>
          <w:rFonts w:eastAsiaTheme="minorEastAsia"/>
          <w:color w:val="000000"/>
        </w:rPr>
        <w:t>量的测定；</w:t>
      </w:r>
    </w:p>
    <w:p w14:paraId="30A751E4">
      <w:pPr>
        <w:ind w:firstLine="420"/>
        <w:rPr>
          <w:rFonts w:eastAsiaTheme="minorEastAsia"/>
          <w:color w:val="000000"/>
        </w:rPr>
      </w:pPr>
      <w:r>
        <w:rPr>
          <w:szCs w:val="21"/>
        </w:rPr>
        <w:t>——</w:t>
      </w:r>
      <w:r>
        <w:rPr>
          <w:rFonts w:eastAsiaTheme="minorEastAsia"/>
          <w:color w:val="000000"/>
        </w:rPr>
        <w:t>第7部分：</w:t>
      </w:r>
      <w:r>
        <w:rPr>
          <w:rFonts w:hint="eastAsia" w:eastAsiaTheme="minorEastAsia"/>
          <w:color w:val="000000"/>
        </w:rPr>
        <w:t>氧化铁</w:t>
      </w:r>
      <w:r>
        <w:rPr>
          <w:rFonts w:eastAsiaTheme="minorEastAsia"/>
          <w:color w:val="000000"/>
        </w:rPr>
        <w:t>量的测定</w:t>
      </w:r>
      <w:r>
        <w:rPr>
          <w:rFonts w:hint="eastAsia" w:eastAsiaTheme="minorEastAsia"/>
          <w:color w:val="000000"/>
        </w:rPr>
        <w:t xml:space="preserve"> 重铬酸钾滴定法</w:t>
      </w:r>
      <w:r>
        <w:rPr>
          <w:rFonts w:eastAsiaTheme="minorEastAsia"/>
          <w:color w:val="000000"/>
        </w:rPr>
        <w:t>；</w:t>
      </w:r>
    </w:p>
    <w:p w14:paraId="627D6E12">
      <w:pPr>
        <w:ind w:firstLine="420"/>
        <w:rPr>
          <w:rFonts w:eastAsiaTheme="minorEastAsia"/>
          <w:color w:val="000000"/>
        </w:rPr>
      </w:pPr>
      <w:r>
        <w:rPr>
          <w:szCs w:val="21"/>
        </w:rPr>
        <w:t>——</w:t>
      </w:r>
      <w:r>
        <w:rPr>
          <w:rFonts w:eastAsiaTheme="minorEastAsia"/>
          <w:color w:val="000000"/>
        </w:rPr>
        <w:t>第8部分：</w:t>
      </w:r>
      <w:r>
        <w:rPr>
          <w:rFonts w:hint="eastAsia" w:eastAsiaTheme="minorEastAsia"/>
          <w:color w:val="000000"/>
          <w:lang w:val="en-US" w:eastAsia="zh-CN"/>
        </w:rPr>
        <w:t>稀土氧化物量和配分量的测定</w:t>
      </w:r>
      <w:r>
        <w:rPr>
          <w:rFonts w:eastAsiaTheme="minorEastAsia"/>
          <w:color w:val="000000"/>
        </w:rPr>
        <w:t>；</w:t>
      </w:r>
    </w:p>
    <w:p w14:paraId="4A618EB7">
      <w:pPr>
        <w:ind w:firstLine="420"/>
        <w:rPr>
          <w:rFonts w:eastAsiaTheme="minorEastAsia"/>
          <w:color w:val="000000"/>
        </w:rPr>
      </w:pPr>
      <w:r>
        <w:rPr>
          <w:szCs w:val="21"/>
        </w:rPr>
        <w:t>——</w:t>
      </w:r>
      <w:r>
        <w:rPr>
          <w:rFonts w:eastAsiaTheme="minorEastAsia"/>
          <w:color w:val="000000"/>
        </w:rPr>
        <w:t>第9部分：</w:t>
      </w:r>
      <w:r>
        <w:rPr>
          <w:rFonts w:hint="eastAsia" w:eastAsiaTheme="minorEastAsia"/>
          <w:color w:val="000000"/>
        </w:rPr>
        <w:t>五氧化二磷</w:t>
      </w:r>
      <w:r>
        <w:rPr>
          <w:rFonts w:eastAsiaTheme="minorEastAsia"/>
          <w:color w:val="000000"/>
        </w:rPr>
        <w:t>量的测定；</w:t>
      </w:r>
    </w:p>
    <w:p w14:paraId="656FD7A2">
      <w:pPr>
        <w:ind w:firstLine="420"/>
        <w:rPr>
          <w:rFonts w:eastAsiaTheme="minorEastAsia"/>
          <w:color w:val="000000"/>
        </w:rPr>
      </w:pPr>
      <w:r>
        <w:rPr>
          <w:szCs w:val="21"/>
        </w:rPr>
        <w:t>——</w:t>
      </w:r>
      <w:r>
        <w:rPr>
          <w:rFonts w:eastAsiaTheme="minorEastAsia"/>
          <w:color w:val="000000"/>
        </w:rPr>
        <w:t>第10部分：</w:t>
      </w:r>
      <w:r>
        <w:rPr>
          <w:rFonts w:hint="eastAsia" w:eastAsiaTheme="minorEastAsia"/>
          <w:color w:val="000000"/>
        </w:rPr>
        <w:t>水分</w:t>
      </w:r>
      <w:r>
        <w:rPr>
          <w:rFonts w:eastAsiaTheme="minorEastAsia"/>
          <w:color w:val="000000"/>
        </w:rPr>
        <w:t xml:space="preserve">的测定  </w:t>
      </w:r>
      <w:r>
        <w:rPr>
          <w:rFonts w:hint="eastAsia" w:eastAsiaTheme="minorEastAsia"/>
          <w:color w:val="000000"/>
        </w:rPr>
        <w:t>重量</w:t>
      </w:r>
      <w:r>
        <w:rPr>
          <w:rFonts w:eastAsiaTheme="minorEastAsia"/>
          <w:color w:val="000000"/>
        </w:rPr>
        <w:t>法；</w:t>
      </w:r>
    </w:p>
    <w:p w14:paraId="7EDA76A0">
      <w:pPr>
        <w:adjustRightInd w:val="0"/>
        <w:snapToGrid w:val="0"/>
        <w:spacing w:line="360" w:lineRule="exact"/>
        <w:ind w:firstLine="420" w:firstLineChars="200"/>
        <w:rPr>
          <w:rFonts w:hint="default" w:eastAsiaTheme="minorEastAsia"/>
          <w:color w:val="000000"/>
          <w:lang w:val="en-US" w:eastAsia="zh-CN"/>
        </w:rPr>
      </w:pPr>
      <w:r>
        <w:rPr>
          <w:szCs w:val="21"/>
        </w:rPr>
        <w:t>——</w:t>
      </w:r>
      <w:r>
        <w:rPr>
          <w:rFonts w:eastAsiaTheme="minorEastAsia"/>
          <w:color w:val="000000"/>
        </w:rPr>
        <w:t>第11部分：</w:t>
      </w:r>
      <w:r>
        <w:rPr>
          <w:rFonts w:hint="eastAsia" w:eastAsiaTheme="minorEastAsia"/>
          <w:color w:val="000000"/>
        </w:rPr>
        <w:t>氟</w:t>
      </w:r>
      <w:r>
        <w:rPr>
          <w:rFonts w:eastAsiaTheme="minorEastAsia"/>
          <w:color w:val="000000"/>
        </w:rPr>
        <w:t>量的测定。</w:t>
      </w:r>
    </w:p>
    <w:p w14:paraId="3EAACB0A">
      <w:pPr>
        <w:spacing w:line="360" w:lineRule="exact"/>
        <w:ind w:firstLine="420" w:firstLineChars="200"/>
        <w:rPr>
          <w:rFonts w:ascii="宋体" w:hAnsi="宋体" w:cs="宋体"/>
          <w:szCs w:val="21"/>
        </w:rPr>
      </w:pPr>
      <w:r>
        <w:rPr>
          <w:rFonts w:hint="eastAsia" w:ascii="宋体" w:hAnsi="宋体" w:cs="宋体"/>
          <w:szCs w:val="21"/>
        </w:rPr>
        <w:t>本系列标准根据最新的标准化文件的结构和起草规则编写，所有标准方法均通过多家实验室试验、验证，修改“允许差”条款为“再现性”条款，在标准中给出了至少覆盖高、中、低的重复性、再现性限值，使方法的精密度要求更趋于完善。</w:t>
      </w:r>
    </w:p>
    <w:p w14:paraId="6CAEE7BD">
      <w:pPr>
        <w:spacing w:line="360" w:lineRule="exact"/>
        <w:ind w:firstLine="420" w:firstLineChars="200"/>
        <w:rPr>
          <w:rFonts w:ascii="宋体" w:hAnsi="宋体" w:cs="宋体"/>
          <w:szCs w:val="21"/>
        </w:rPr>
      </w:pPr>
      <w:r>
        <w:rPr>
          <w:rFonts w:hint="eastAsia" w:ascii="宋体" w:hAnsi="宋体" w:cs="宋体"/>
          <w:szCs w:val="21"/>
        </w:rPr>
        <w:t>本系列标准第</w:t>
      </w:r>
      <w:r>
        <w:rPr>
          <w:rFonts w:hint="eastAsia" w:ascii="宋体" w:hAnsi="宋体" w:cs="宋体"/>
          <w:szCs w:val="21"/>
          <w:lang w:val="en-US" w:eastAsia="zh-CN"/>
        </w:rPr>
        <w:t>9</w:t>
      </w:r>
      <w:r>
        <w:rPr>
          <w:rFonts w:hint="eastAsia" w:ascii="宋体" w:hAnsi="宋体" w:cs="宋体"/>
          <w:szCs w:val="21"/>
        </w:rPr>
        <w:t>部分修订以GB/T 18114.</w:t>
      </w:r>
      <w:r>
        <w:rPr>
          <w:rFonts w:hint="eastAsia" w:ascii="宋体" w:hAnsi="宋体" w:cs="宋体"/>
          <w:szCs w:val="21"/>
          <w:lang w:val="en-US" w:eastAsia="zh-CN"/>
        </w:rPr>
        <w:t>9</w:t>
      </w:r>
      <w:r>
        <w:rPr>
          <w:rFonts w:hint="eastAsia" w:ascii="宋体" w:hAnsi="宋体" w:cs="宋体"/>
          <w:szCs w:val="21"/>
        </w:rPr>
        <w:t>-2010为基础，在完善原有方法“</w:t>
      </w:r>
      <w:r>
        <w:rPr>
          <w:rFonts w:hint="eastAsia" w:ascii="宋体" w:hAnsi="宋体" w:cs="宋体"/>
          <w:szCs w:val="21"/>
          <w:lang w:val="en-US" w:eastAsia="zh-CN"/>
        </w:rPr>
        <w:t>磷铋钼蓝分光光度法</w:t>
      </w:r>
      <w:r>
        <w:rPr>
          <w:rFonts w:hint="eastAsia" w:ascii="宋体" w:hAnsi="宋体" w:cs="宋体"/>
          <w:szCs w:val="21"/>
        </w:rPr>
        <w:t>”的基础上，增加了方法</w:t>
      </w:r>
      <w:r>
        <w:rPr>
          <w:rFonts w:hint="eastAsia" w:ascii="宋体" w:hAnsi="宋体" w:cs="宋体"/>
          <w:szCs w:val="21"/>
          <w:lang w:val="en-US" w:eastAsia="zh-CN"/>
        </w:rPr>
        <w:t>2</w:t>
      </w:r>
      <w:r>
        <w:rPr>
          <w:rFonts w:hint="eastAsia" w:ascii="宋体" w:hAnsi="宋体" w:cs="宋体"/>
          <w:szCs w:val="21"/>
        </w:rPr>
        <w:t>电感耦合等离子体发射光谱法，覆盖现有稀土精矿产品中关注的</w:t>
      </w:r>
      <w:r>
        <w:rPr>
          <w:rFonts w:hint="eastAsia" w:ascii="宋体" w:hAnsi="宋体" w:cs="宋体"/>
          <w:szCs w:val="21"/>
          <w:lang w:val="en-US" w:eastAsia="zh-CN"/>
        </w:rPr>
        <w:t>五氧化二磷</w:t>
      </w:r>
      <w:r>
        <w:rPr>
          <w:rFonts w:hint="eastAsia" w:ascii="宋体" w:hAnsi="宋体" w:cs="宋体"/>
          <w:szCs w:val="21"/>
        </w:rPr>
        <w:t>量指标，为稀土精矿化学成分的测定提供了快捷、准确的方法规范，具有良好的操作性。</w:t>
      </w:r>
    </w:p>
    <w:p w14:paraId="788B28CB">
      <w:pPr>
        <w:spacing w:line="360" w:lineRule="exact"/>
        <w:ind w:firstLine="420" w:firstLineChars="200"/>
        <w:rPr>
          <w:rFonts w:ascii="宋体" w:hAnsi="宋体" w:cs="宋体"/>
          <w:szCs w:val="21"/>
        </w:rPr>
      </w:pPr>
    </w:p>
    <w:p w14:paraId="61509FB0">
      <w:pPr>
        <w:spacing w:line="360" w:lineRule="exact"/>
        <w:ind w:firstLine="420" w:firstLineChars="200"/>
        <w:rPr>
          <w:rFonts w:ascii="宋体" w:hAnsi="宋体" w:cs="宋体"/>
          <w:szCs w:val="21"/>
        </w:rPr>
        <w:sectPr>
          <w:headerReference r:id="rId8" w:type="default"/>
          <w:footerReference r:id="rId10" w:type="default"/>
          <w:headerReference r:id="rId9" w:type="even"/>
          <w:footerReference r:id="rId11" w:type="even"/>
          <w:pgSz w:w="11907" w:h="16839"/>
          <w:pgMar w:top="1418" w:right="1134" w:bottom="1134" w:left="1418" w:header="1418" w:footer="851" w:gutter="0"/>
          <w:pgBorders>
            <w:top w:val="none" w:sz="0" w:space="0"/>
            <w:left w:val="none" w:sz="0" w:space="0"/>
            <w:bottom w:val="none" w:sz="0" w:space="0"/>
            <w:right w:val="none" w:sz="0" w:space="0"/>
          </w:pgBorders>
          <w:pgNumType w:start="1"/>
          <w:cols w:space="720" w:num="1"/>
          <w:docGrid w:type="lines" w:linePitch="312" w:charSpace="0"/>
        </w:sectPr>
      </w:pPr>
    </w:p>
    <w:p w14:paraId="6830A67D">
      <w:pPr>
        <w:pStyle w:val="108"/>
        <w:spacing w:before="851" w:after="0" w:line="240" w:lineRule="auto"/>
        <w:rPr>
          <w:rFonts w:ascii="Times New Roman"/>
        </w:rPr>
      </w:pPr>
      <w:r>
        <w:rPr>
          <w:rFonts w:hint="eastAsia" w:ascii="Times New Roman"/>
        </w:rPr>
        <w:t>稀土精矿</w:t>
      </w:r>
      <w:r>
        <w:rPr>
          <w:rFonts w:ascii="Times New Roman"/>
        </w:rPr>
        <w:t>化学分析方法</w:t>
      </w:r>
    </w:p>
    <w:p w14:paraId="5ACDC8DE">
      <w:pPr>
        <w:pStyle w:val="108"/>
        <w:spacing w:before="0" w:after="0" w:line="240" w:lineRule="auto"/>
      </w:pPr>
      <w:r>
        <w:t>第</w:t>
      </w:r>
      <w:r>
        <w:rPr>
          <w:rFonts w:hint="eastAsia"/>
        </w:rPr>
        <w:t>9</w:t>
      </w:r>
      <w:r>
        <w:t>部分：</w:t>
      </w:r>
      <w:r>
        <w:rPr>
          <w:rFonts w:hint="eastAsia"/>
        </w:rPr>
        <w:t>五氧化二磷</w:t>
      </w:r>
      <w:r>
        <w:t>量的测定</w:t>
      </w:r>
    </w:p>
    <w:p w14:paraId="4A921115">
      <w:pPr>
        <w:pStyle w:val="74"/>
        <w:numPr>
          <w:ilvl w:val="0"/>
          <w:numId w:val="11"/>
        </w:numPr>
        <w:tabs>
          <w:tab w:val="left" w:pos="112"/>
          <w:tab w:val="clear" w:pos="360"/>
        </w:tabs>
        <w:spacing w:before="312" w:beforeLines="100" w:after="312" w:afterLines="100"/>
        <w:ind w:left="357" w:hanging="357"/>
        <w:rPr>
          <w:rFonts w:ascii="Times New Roman"/>
          <w:color w:val="000000"/>
        </w:rPr>
      </w:pPr>
      <w:r>
        <w:rPr>
          <w:rFonts w:ascii="Times New Roman"/>
          <w:color w:val="FF0000"/>
        </w:rPr>
        <w:t>　</w:t>
      </w:r>
      <w:r>
        <w:rPr>
          <w:rFonts w:ascii="Times New Roman"/>
          <w:color w:val="000000"/>
        </w:rPr>
        <w:t>范围</w:t>
      </w:r>
    </w:p>
    <w:p w14:paraId="6E597E6B">
      <w:pPr>
        <w:pStyle w:val="47"/>
        <w:ind w:firstLine="420"/>
        <w:rPr>
          <w:rFonts w:asciiTheme="minorEastAsia" w:hAnsiTheme="minorEastAsia" w:eastAsiaTheme="minorEastAsia"/>
          <w:color w:val="000000"/>
          <w:szCs w:val="21"/>
        </w:rPr>
      </w:pPr>
      <w:r>
        <w:rPr>
          <w:rFonts w:asciiTheme="minorEastAsia" w:hAnsiTheme="minorEastAsia" w:eastAsiaTheme="minorEastAsia"/>
          <w:color w:val="000000"/>
          <w:szCs w:val="21"/>
        </w:rPr>
        <w:t>本文件</w:t>
      </w:r>
      <w:r>
        <w:rPr>
          <w:rFonts w:hint="eastAsia" w:asciiTheme="minorEastAsia" w:hAnsiTheme="minorEastAsia" w:eastAsiaTheme="minorEastAsia"/>
          <w:color w:val="000000"/>
          <w:szCs w:val="21"/>
          <w:lang w:val="en-US" w:eastAsia="zh-CN"/>
        </w:rPr>
        <w:t>描述</w:t>
      </w:r>
      <w:r>
        <w:rPr>
          <w:rFonts w:asciiTheme="minorEastAsia" w:hAnsiTheme="minorEastAsia" w:eastAsiaTheme="minorEastAsia"/>
          <w:color w:val="000000"/>
          <w:szCs w:val="21"/>
        </w:rPr>
        <w:t>了</w:t>
      </w:r>
      <w:r>
        <w:rPr>
          <w:rFonts w:ascii="Times New Roman"/>
          <w:szCs w:val="21"/>
        </w:rPr>
        <w:t>稀土精矿中</w:t>
      </w:r>
      <w:r>
        <w:rPr>
          <w:rFonts w:hint="eastAsia" w:ascii="Times New Roman"/>
          <w:szCs w:val="21"/>
        </w:rPr>
        <w:t>五氧化二磷</w:t>
      </w:r>
      <w:r>
        <w:rPr>
          <w:rFonts w:ascii="Times New Roman"/>
          <w:szCs w:val="21"/>
        </w:rPr>
        <w:t>量的测定方法</w:t>
      </w:r>
      <w:r>
        <w:rPr>
          <w:rFonts w:asciiTheme="minorEastAsia" w:hAnsiTheme="minorEastAsia" w:eastAsiaTheme="minorEastAsia"/>
          <w:color w:val="000000"/>
          <w:szCs w:val="21"/>
        </w:rPr>
        <w:t>。</w:t>
      </w:r>
    </w:p>
    <w:p w14:paraId="5D45AC3A">
      <w:pPr>
        <w:autoSpaceDE w:val="0"/>
        <w:autoSpaceDN w:val="0"/>
        <w:ind w:firstLine="420"/>
        <w:rPr>
          <w:rFonts w:asciiTheme="minorEastAsia" w:hAnsiTheme="minorEastAsia" w:eastAsiaTheme="minorEastAsia"/>
          <w:color w:val="000000"/>
          <w:szCs w:val="21"/>
        </w:rPr>
      </w:pPr>
      <w:r>
        <w:rPr>
          <w:rFonts w:asciiTheme="minorEastAsia" w:hAnsiTheme="minorEastAsia" w:eastAsiaTheme="minorEastAsia"/>
          <w:color w:val="000000"/>
          <w:szCs w:val="21"/>
        </w:rPr>
        <w:t>本</w:t>
      </w:r>
      <w:r>
        <w:rPr>
          <w:rFonts w:hint="eastAsia" w:asciiTheme="minorEastAsia" w:hAnsiTheme="minorEastAsia" w:eastAsiaTheme="minorEastAsia"/>
          <w:color w:val="000000"/>
          <w:szCs w:val="21"/>
        </w:rPr>
        <w:t>文件</w:t>
      </w:r>
      <w:r>
        <w:rPr>
          <w:rFonts w:asciiTheme="minorEastAsia" w:hAnsiTheme="minorEastAsia" w:eastAsiaTheme="minorEastAsia"/>
          <w:color w:val="000000"/>
          <w:szCs w:val="21"/>
        </w:rPr>
        <w:t>适用于</w:t>
      </w:r>
      <w:r>
        <w:rPr>
          <w:szCs w:val="21"/>
        </w:rPr>
        <w:t>稀土精矿中</w:t>
      </w:r>
      <w:r>
        <w:rPr>
          <w:rFonts w:hint="eastAsia"/>
          <w:szCs w:val="21"/>
        </w:rPr>
        <w:t>五氧化二磷</w:t>
      </w:r>
      <w:r>
        <w:rPr>
          <w:szCs w:val="21"/>
        </w:rPr>
        <w:t>量</w:t>
      </w:r>
      <w:r>
        <w:rPr>
          <w:rFonts w:asciiTheme="minorEastAsia" w:hAnsiTheme="minorEastAsia" w:eastAsiaTheme="minorEastAsia"/>
          <w:color w:val="000000"/>
          <w:szCs w:val="21"/>
        </w:rPr>
        <w:t>的测定。</w:t>
      </w:r>
    </w:p>
    <w:p w14:paraId="5844B1CA">
      <w:pPr>
        <w:autoSpaceDE w:val="0"/>
        <w:autoSpaceDN w:val="0"/>
        <w:ind w:firstLine="420"/>
        <w:rPr>
          <w:szCs w:val="20"/>
        </w:rPr>
      </w:pPr>
      <w:r>
        <w:rPr>
          <w:rFonts w:hint="eastAsia" w:asciiTheme="minorEastAsia" w:hAnsiTheme="minorEastAsia" w:eastAsiaTheme="minorEastAsia"/>
          <w:color w:val="000000"/>
          <w:szCs w:val="21"/>
          <w:lang w:val="en-US" w:eastAsia="zh-CN"/>
        </w:rPr>
        <w:t>本文件共包含两个方法：磷铋钼蓝分光光度法（方法1），</w:t>
      </w:r>
      <w:r>
        <w:rPr>
          <w:rFonts w:hint="eastAsia" w:eastAsiaTheme="minorEastAsia"/>
          <w:szCs w:val="21"/>
        </w:rPr>
        <w:t>测定范围（质量分数）：</w:t>
      </w:r>
      <w:r>
        <w:rPr>
          <w:rFonts w:hint="eastAsia" w:eastAsiaTheme="minorEastAsia"/>
          <w:szCs w:val="20"/>
          <w:lang w:val="en-US" w:eastAsia="zh-CN"/>
        </w:rPr>
        <w:t>0.10</w:t>
      </w:r>
      <w:r>
        <w:rPr>
          <w:szCs w:val="20"/>
        </w:rPr>
        <w:t>%</w:t>
      </w:r>
      <w:r>
        <w:rPr>
          <w:rFonts w:hint="eastAsia"/>
          <w:szCs w:val="20"/>
        </w:rPr>
        <w:t>~3</w:t>
      </w:r>
      <w:r>
        <w:rPr>
          <w:szCs w:val="20"/>
        </w:rPr>
        <w:t>0.00</w:t>
      </w:r>
      <w:r>
        <w:rPr>
          <w:rFonts w:hint="eastAsia"/>
          <w:szCs w:val="20"/>
        </w:rPr>
        <w:t xml:space="preserve"> </w:t>
      </w:r>
      <w:r>
        <w:rPr>
          <w:szCs w:val="20"/>
        </w:rPr>
        <w:t>%；</w:t>
      </w:r>
      <w:r>
        <w:rPr>
          <w:rFonts w:hint="eastAsia"/>
          <w:szCs w:val="21"/>
        </w:rPr>
        <w:t>电感耦合等离子体发射光谱法</w:t>
      </w:r>
      <w:r>
        <w:rPr>
          <w:rFonts w:hint="eastAsia"/>
          <w:szCs w:val="21"/>
          <w:lang w:eastAsia="zh-CN"/>
        </w:rPr>
        <w:t>（</w:t>
      </w:r>
      <w:r>
        <w:rPr>
          <w:rFonts w:hint="eastAsia"/>
          <w:szCs w:val="21"/>
          <w:lang w:val="en-US" w:eastAsia="zh-CN"/>
        </w:rPr>
        <w:t>ICP-OES，</w:t>
      </w:r>
      <w:r>
        <w:rPr>
          <w:szCs w:val="20"/>
        </w:rPr>
        <w:t xml:space="preserve">方法2 </w:t>
      </w:r>
      <w:r>
        <w:rPr>
          <w:rFonts w:hint="eastAsia"/>
          <w:szCs w:val="21"/>
          <w:lang w:eastAsia="zh-CN"/>
        </w:rPr>
        <w:t>），</w:t>
      </w:r>
      <w:r>
        <w:rPr>
          <w:rFonts w:hint="eastAsia"/>
          <w:szCs w:val="21"/>
          <w:lang w:val="en-US" w:eastAsia="zh-CN"/>
        </w:rPr>
        <w:t>测定范围：</w:t>
      </w:r>
      <w:r>
        <w:rPr>
          <w:szCs w:val="20"/>
        </w:rPr>
        <w:t>0.10</w:t>
      </w:r>
      <w:r>
        <w:rPr>
          <w:rFonts w:hint="eastAsia"/>
          <w:szCs w:val="20"/>
        </w:rPr>
        <w:t xml:space="preserve"> </w:t>
      </w:r>
      <w:r>
        <w:rPr>
          <w:szCs w:val="20"/>
        </w:rPr>
        <w:t>%</w:t>
      </w:r>
      <w:r>
        <w:rPr>
          <w:rFonts w:hint="eastAsia"/>
          <w:szCs w:val="20"/>
        </w:rPr>
        <w:t>~30</w:t>
      </w:r>
      <w:r>
        <w:rPr>
          <w:szCs w:val="20"/>
        </w:rPr>
        <w:t>.00</w:t>
      </w:r>
      <w:r>
        <w:rPr>
          <w:rFonts w:hint="eastAsia"/>
          <w:szCs w:val="20"/>
        </w:rPr>
        <w:t xml:space="preserve"> </w:t>
      </w:r>
      <w:r>
        <w:rPr>
          <w:szCs w:val="20"/>
        </w:rPr>
        <w:t>%。</w:t>
      </w:r>
    </w:p>
    <w:p w14:paraId="3361E396">
      <w:pPr>
        <w:pStyle w:val="47"/>
        <w:ind w:firstLine="420"/>
        <w:jc w:val="left"/>
        <w:rPr>
          <w:rFonts w:ascii="Times New Roman" w:eastAsiaTheme="minorEastAsia"/>
          <w:szCs w:val="21"/>
        </w:rPr>
      </w:pPr>
      <w:r>
        <w:rPr>
          <w:rFonts w:ascii="Times New Roman"/>
          <w:szCs w:val="21"/>
        </w:rPr>
        <w:t>当本文件中不同方法的测定范围出现重叠时，通常以方法</w:t>
      </w:r>
      <w:r>
        <w:rPr>
          <w:rFonts w:hint="eastAsia" w:ascii="Times New Roman"/>
          <w:szCs w:val="21"/>
        </w:rPr>
        <w:t>X</w:t>
      </w:r>
      <w:r>
        <w:rPr>
          <w:rFonts w:ascii="Times New Roman"/>
          <w:szCs w:val="21"/>
        </w:rPr>
        <w:t>作为仲裁方法。</w:t>
      </w:r>
    </w:p>
    <w:p w14:paraId="10A4F906">
      <w:pPr>
        <w:pStyle w:val="74"/>
        <w:numPr>
          <w:ilvl w:val="0"/>
          <w:numId w:val="11"/>
        </w:numPr>
        <w:tabs>
          <w:tab w:val="left" w:pos="112"/>
          <w:tab w:val="clear" w:pos="360"/>
        </w:tabs>
        <w:spacing w:before="312" w:beforeLines="100" w:after="312" w:afterLines="100"/>
        <w:ind w:left="357" w:hanging="357" w:hangingChars="170"/>
        <w:rPr>
          <w:rFonts w:ascii="Times New Roman"/>
        </w:rPr>
      </w:pPr>
      <w:r>
        <w:rPr>
          <w:rFonts w:ascii="Times New Roman"/>
          <w:color w:val="FF0000"/>
        </w:rPr>
        <w:t>　</w:t>
      </w:r>
      <w:r>
        <w:rPr>
          <w:rFonts w:hint="eastAsia" w:ascii="Times New Roman"/>
        </w:rPr>
        <w:t>规范性引用文件</w:t>
      </w:r>
    </w:p>
    <w:p w14:paraId="54161A3A">
      <w:pPr>
        <w:pStyle w:val="47"/>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76BC3DD">
      <w:pPr>
        <w:pStyle w:val="47"/>
        <w:ind w:firstLine="420"/>
        <w:rPr>
          <w:rFonts w:hint="default" w:ascii="Times New Roman" w:eastAsiaTheme="minorEastAsia"/>
          <w:color w:val="000000"/>
          <w:szCs w:val="21"/>
          <w:lang w:val="en-US" w:eastAsia="zh-CN"/>
        </w:rPr>
      </w:pPr>
      <w:r>
        <w:rPr>
          <w:rFonts w:hint="eastAsia" w:ascii="Times New Roman" w:eastAsiaTheme="minorEastAsia"/>
          <w:color w:val="000000"/>
          <w:szCs w:val="21"/>
          <w:lang w:val="en-US" w:eastAsia="zh-CN"/>
        </w:rPr>
        <w:t>GB/T 6379.2 测量方法与结果的准确度（正确度与精密度） 第2部分：确定标准测量方法重复性与再现性的基本方法</w:t>
      </w:r>
    </w:p>
    <w:p w14:paraId="67687F50">
      <w:pPr>
        <w:pStyle w:val="47"/>
        <w:ind w:firstLine="420"/>
        <w:rPr>
          <w:rFonts w:ascii="Times New Roman" w:eastAsiaTheme="minorEastAsia"/>
          <w:color w:val="000000"/>
          <w:szCs w:val="21"/>
        </w:rPr>
      </w:pPr>
      <w:r>
        <w:rPr>
          <w:rFonts w:ascii="Times New Roman" w:eastAsiaTheme="minorEastAsia"/>
          <w:color w:val="000000"/>
          <w:szCs w:val="21"/>
        </w:rPr>
        <w:t>GB/T</w:t>
      </w:r>
      <w:r>
        <w:rPr>
          <w:rFonts w:ascii="Times New Roman"/>
          <w:color w:val="FF0000"/>
        </w:rPr>
        <w:t> </w:t>
      </w:r>
      <w:r>
        <w:rPr>
          <w:rFonts w:ascii="Times New Roman" w:eastAsiaTheme="minorEastAsia"/>
          <w:color w:val="000000"/>
          <w:szCs w:val="21"/>
        </w:rPr>
        <w:t>6682　分析实验室用水规格和试验方法</w:t>
      </w:r>
    </w:p>
    <w:p w14:paraId="74AE914B">
      <w:pPr>
        <w:pStyle w:val="47"/>
        <w:ind w:firstLine="420"/>
        <w:rPr>
          <w:rFonts w:ascii="Times New Roman" w:eastAsiaTheme="minorEastAsia"/>
          <w:color w:val="000000"/>
          <w:szCs w:val="21"/>
        </w:rPr>
      </w:pPr>
      <w:r>
        <w:rPr>
          <w:rFonts w:ascii="Times New Roman" w:eastAsiaTheme="minorEastAsia"/>
          <w:color w:val="000000"/>
          <w:szCs w:val="21"/>
        </w:rPr>
        <w:t>GB/T</w:t>
      </w:r>
      <w:r>
        <w:rPr>
          <w:rFonts w:ascii="Times New Roman"/>
          <w:color w:val="FF0000"/>
        </w:rPr>
        <w:t> </w:t>
      </w:r>
      <w:r>
        <w:rPr>
          <w:rFonts w:ascii="Times New Roman" w:eastAsiaTheme="minorEastAsia"/>
          <w:color w:val="000000"/>
          <w:szCs w:val="21"/>
        </w:rPr>
        <w:t>8170　数值修约规则与极限数值的表示和判定</w:t>
      </w:r>
    </w:p>
    <w:p w14:paraId="74F5E927">
      <w:pPr>
        <w:pStyle w:val="47"/>
        <w:ind w:firstLine="420"/>
        <w:rPr>
          <w:rFonts w:hint="default" w:ascii="Times New Roman" w:eastAsiaTheme="minorEastAsia"/>
          <w:color w:val="000000"/>
          <w:szCs w:val="21"/>
          <w:lang w:val="en-US" w:eastAsia="zh-CN"/>
        </w:rPr>
      </w:pPr>
      <w:r>
        <w:rPr>
          <w:rFonts w:hint="eastAsia" w:ascii="Times New Roman" w:eastAsiaTheme="minorEastAsia"/>
          <w:color w:val="000000"/>
          <w:szCs w:val="21"/>
          <w:lang w:val="en-US" w:eastAsia="zh-CN"/>
        </w:rPr>
        <w:t>JJG 768 发射光谱仪</w:t>
      </w:r>
    </w:p>
    <w:p w14:paraId="7390FE02">
      <w:pPr>
        <w:pStyle w:val="74"/>
        <w:numPr>
          <w:ilvl w:val="0"/>
          <w:numId w:val="11"/>
        </w:numPr>
        <w:tabs>
          <w:tab w:val="left" w:pos="112"/>
          <w:tab w:val="clear" w:pos="360"/>
        </w:tabs>
        <w:spacing w:before="312" w:beforeLines="100" w:after="312" w:afterLines="100"/>
        <w:ind w:left="357" w:hanging="357"/>
        <w:rPr>
          <w:rFonts w:ascii="Times New Roman"/>
        </w:rPr>
      </w:pPr>
      <w:r>
        <w:rPr>
          <w:rFonts w:ascii="Times New Roman"/>
          <w:color w:val="FF0000"/>
        </w:rPr>
        <w:t>　</w:t>
      </w:r>
      <w:r>
        <w:rPr>
          <w:rFonts w:hint="eastAsia" w:ascii="Times New Roman"/>
        </w:rPr>
        <w:t>术语和定义</w:t>
      </w:r>
    </w:p>
    <w:p w14:paraId="2CC7F120">
      <w:pPr>
        <w:pStyle w:val="47"/>
        <w:ind w:firstLine="420"/>
        <w:rPr>
          <w:rFonts w:ascii="Times New Roman"/>
          <w:szCs w:val="21"/>
        </w:rPr>
      </w:pPr>
      <w:r>
        <w:rPr>
          <w:rFonts w:hint="eastAsia" w:ascii="Times New Roman"/>
          <w:szCs w:val="21"/>
        </w:rPr>
        <w:t>本文件没有需要界定的术语和定义。</w:t>
      </w:r>
    </w:p>
    <w:p w14:paraId="16C995A3">
      <w:pPr>
        <w:pStyle w:val="74"/>
        <w:numPr>
          <w:ilvl w:val="0"/>
          <w:numId w:val="11"/>
        </w:numPr>
        <w:tabs>
          <w:tab w:val="left" w:pos="112"/>
          <w:tab w:val="clear" w:pos="360"/>
        </w:tabs>
        <w:spacing w:before="312" w:beforeLines="100" w:after="312" w:afterLines="100"/>
        <w:ind w:left="357" w:hanging="357"/>
        <w:rPr>
          <w:rFonts w:ascii="Times New Roman"/>
        </w:rPr>
      </w:pPr>
      <w:r>
        <w:rPr>
          <w:rFonts w:ascii="Times New Roman"/>
        </w:rPr>
        <w:t>　</w:t>
      </w:r>
      <w:r>
        <w:rPr>
          <w:rFonts w:hint="eastAsia" w:ascii="Times New Roman"/>
        </w:rPr>
        <w:t>方法1 磷铋钼蓝分光光度法</w:t>
      </w:r>
    </w:p>
    <w:p w14:paraId="171DA71B">
      <w:pPr>
        <w:pStyle w:val="74"/>
        <w:numPr>
          <w:ilvl w:val="255"/>
          <w:numId w:val="0"/>
        </w:numPr>
        <w:tabs>
          <w:tab w:val="left" w:pos="112"/>
        </w:tabs>
        <w:spacing w:before="156" w:after="156"/>
        <w:rPr>
          <w:rFonts w:hAnsi="黑体" w:cs="黑体"/>
        </w:rPr>
      </w:pPr>
      <w:r>
        <w:rPr>
          <w:rFonts w:hAnsi="黑体" w:cs="黑体"/>
        </w:rPr>
        <w:t xml:space="preserve">4.1 </w:t>
      </w:r>
      <w:r>
        <w:rPr>
          <w:rFonts w:hint="eastAsia" w:hAnsi="黑体" w:cs="黑体"/>
        </w:rPr>
        <w:t>方法提要</w:t>
      </w:r>
    </w:p>
    <w:p w14:paraId="773610A7">
      <w:pPr>
        <w:pStyle w:val="47"/>
        <w:ind w:firstLine="420"/>
        <w:rPr>
          <w:rFonts w:ascii="Times New Roman"/>
          <w:bCs/>
          <w:kern w:val="2"/>
          <w:szCs w:val="24"/>
        </w:rPr>
      </w:pPr>
      <w:r>
        <w:rPr>
          <w:rFonts w:hint="eastAsia" w:ascii="Times New Roman"/>
          <w:szCs w:val="21"/>
        </w:rPr>
        <w:t>试样经碱熔融后热水浸取，硝酸酸化溶液，在1 mol/L的硝酸酸度下，以乙醇为稳定剂，铋盐为催化剂，加入钼酸铵与磷形成磷铋钼三元杂多酸，用抗坏血酸还原，在波长700 nm处比色测定。</w:t>
      </w:r>
    </w:p>
    <w:p w14:paraId="4774831E">
      <w:pPr>
        <w:pStyle w:val="74"/>
        <w:numPr>
          <w:ilvl w:val="0"/>
          <w:numId w:val="0"/>
        </w:numPr>
        <w:spacing w:before="156" w:after="156"/>
        <w:rPr>
          <w:rFonts w:ascii="Times New Roman"/>
        </w:rPr>
      </w:pPr>
      <w:r>
        <w:rPr>
          <w:rFonts w:hAnsi="黑体" w:cs="黑体"/>
        </w:rPr>
        <w:t>4.2</w:t>
      </w:r>
      <w:r>
        <w:rPr>
          <w:rFonts w:ascii="Times New Roman"/>
        </w:rPr>
        <w:t xml:space="preserve"> </w:t>
      </w:r>
      <w:r>
        <w:rPr>
          <w:rFonts w:hint="eastAsia" w:ascii="Times New Roman"/>
        </w:rPr>
        <w:t>试剂和材料</w:t>
      </w:r>
    </w:p>
    <w:p w14:paraId="3C79649B">
      <w:pPr>
        <w:pStyle w:val="47"/>
        <w:ind w:firstLine="420"/>
        <w:rPr>
          <w:rFonts w:ascii="Times New Roman"/>
        </w:rPr>
      </w:pPr>
      <w:r>
        <w:rPr>
          <w:rFonts w:hint="eastAsia" w:ascii="Times New Roman"/>
          <w:bCs/>
          <w:kern w:val="2"/>
          <w:szCs w:val="24"/>
        </w:rPr>
        <w:t>除非另有说明，在分析中仅使用确认为分析纯及以上试剂和符合实验室GB/T</w:t>
      </w:r>
      <w:r>
        <w:rPr>
          <w:rFonts w:ascii="Times New Roman"/>
          <w:bCs/>
          <w:kern w:val="2"/>
          <w:szCs w:val="24"/>
        </w:rPr>
        <w:t xml:space="preserve"> </w:t>
      </w:r>
      <w:r>
        <w:rPr>
          <w:rFonts w:hint="eastAsia" w:ascii="Times New Roman"/>
          <w:bCs/>
          <w:kern w:val="2"/>
          <w:szCs w:val="24"/>
        </w:rPr>
        <w:t>6682规定的</w:t>
      </w:r>
      <w:r>
        <w:rPr>
          <w:rFonts w:hint="eastAsia" w:ascii="Times New Roman"/>
          <w:bCs/>
          <w:kern w:val="2"/>
          <w:szCs w:val="24"/>
          <w:lang w:val="en-US" w:eastAsia="zh-CN"/>
        </w:rPr>
        <w:t>二</w:t>
      </w:r>
      <w:r>
        <w:rPr>
          <w:rFonts w:hint="eastAsia" w:ascii="Times New Roman"/>
          <w:bCs/>
          <w:kern w:val="2"/>
          <w:szCs w:val="24"/>
        </w:rPr>
        <w:t>级水。优先使用有证标准溶液。</w:t>
      </w:r>
    </w:p>
    <w:p w14:paraId="79EE2B63">
      <w:pPr>
        <w:rPr>
          <w:rFonts w:ascii="黑体" w:hAnsi="黑体" w:eastAsia="黑体"/>
        </w:rPr>
      </w:pPr>
      <w:r>
        <w:rPr>
          <w:rFonts w:ascii="黑体" w:hAnsi="黑体" w:eastAsia="黑体"/>
          <w:szCs w:val="21"/>
        </w:rPr>
        <w:t>4.2.</w:t>
      </w:r>
      <w:r>
        <w:rPr>
          <w:rFonts w:hint="eastAsia" w:ascii="黑体" w:hAnsi="黑体" w:eastAsia="黑体"/>
          <w:szCs w:val="21"/>
        </w:rPr>
        <w:t>1</w:t>
      </w:r>
      <w:r>
        <w:rPr>
          <w:rFonts w:ascii="黑体" w:hAnsi="黑体" w:eastAsia="黑体"/>
          <w:szCs w:val="21"/>
        </w:rPr>
        <w:t xml:space="preserve"> </w:t>
      </w:r>
      <w:r>
        <w:rPr>
          <w:rFonts w:hint="eastAsia"/>
          <w:szCs w:val="21"/>
        </w:rPr>
        <w:t>氢氧化钠。</w:t>
      </w:r>
    </w:p>
    <w:p w14:paraId="37281283">
      <w:pPr>
        <w:rPr>
          <w:szCs w:val="21"/>
        </w:rPr>
      </w:pPr>
      <w:r>
        <w:rPr>
          <w:rFonts w:ascii="黑体" w:hAnsi="黑体" w:eastAsia="黑体"/>
        </w:rPr>
        <w:t>4.2.</w:t>
      </w:r>
      <w:r>
        <w:rPr>
          <w:rFonts w:hint="eastAsia" w:ascii="黑体" w:hAnsi="黑体" w:eastAsia="黑体"/>
        </w:rPr>
        <w:t>2</w:t>
      </w:r>
      <w:r>
        <w:rPr>
          <w:rFonts w:ascii="黑体" w:hAnsi="黑体" w:eastAsia="黑体"/>
        </w:rPr>
        <w:t xml:space="preserve"> </w:t>
      </w:r>
      <w:r>
        <w:rPr>
          <w:rFonts w:hint="eastAsia"/>
          <w:szCs w:val="21"/>
        </w:rPr>
        <w:t>过氧化钠。</w:t>
      </w:r>
    </w:p>
    <w:p w14:paraId="01D9C919">
      <w:pPr>
        <w:rPr>
          <w:szCs w:val="21"/>
        </w:rPr>
      </w:pPr>
      <w:r>
        <w:rPr>
          <w:rFonts w:ascii="黑体" w:hAnsi="黑体" w:eastAsia="黑体"/>
          <w:szCs w:val="21"/>
        </w:rPr>
        <w:t>4.2.</w:t>
      </w:r>
      <w:r>
        <w:rPr>
          <w:rFonts w:hint="eastAsia" w:ascii="黑体" w:hAnsi="黑体" w:eastAsia="黑体"/>
          <w:szCs w:val="21"/>
        </w:rPr>
        <w:t>3</w:t>
      </w:r>
      <w:r>
        <w:rPr>
          <w:rFonts w:ascii="黑体" w:hAnsi="黑体" w:eastAsia="黑体"/>
          <w:szCs w:val="21"/>
        </w:rPr>
        <w:t xml:space="preserve"> </w:t>
      </w:r>
      <w:r>
        <w:rPr>
          <w:rFonts w:hint="eastAsia"/>
          <w:szCs w:val="21"/>
        </w:rPr>
        <w:t>乙醇</w:t>
      </w:r>
      <w:r>
        <w:rPr>
          <w:rFonts w:hint="eastAsia"/>
          <w:szCs w:val="21"/>
          <w:lang w:eastAsia="zh-CN"/>
        </w:rPr>
        <w:t>（</w:t>
      </w:r>
      <w:r>
        <w:rPr>
          <w:rFonts w:hint="eastAsia"/>
          <w:szCs w:val="21"/>
        </w:rPr>
        <w:t>95%</w:t>
      </w:r>
      <w:r>
        <w:rPr>
          <w:rFonts w:hint="eastAsia"/>
          <w:szCs w:val="21"/>
          <w:lang w:eastAsia="zh-CN"/>
        </w:rPr>
        <w:t>）</w:t>
      </w:r>
      <w:r>
        <w:rPr>
          <w:rFonts w:hint="eastAsia"/>
          <w:szCs w:val="21"/>
        </w:rPr>
        <w:t>。</w:t>
      </w:r>
    </w:p>
    <w:p w14:paraId="25182A10">
      <w:pPr>
        <w:rPr>
          <w:szCs w:val="21"/>
        </w:rPr>
      </w:pPr>
      <w:r>
        <w:rPr>
          <w:rFonts w:ascii="黑体" w:hAnsi="黑体" w:eastAsia="黑体"/>
          <w:szCs w:val="21"/>
        </w:rPr>
        <w:t>4.2.</w:t>
      </w:r>
      <w:r>
        <w:rPr>
          <w:rFonts w:hint="eastAsia" w:ascii="黑体" w:hAnsi="黑体" w:eastAsia="黑体"/>
          <w:szCs w:val="21"/>
        </w:rPr>
        <w:t>4</w:t>
      </w:r>
      <w:r>
        <w:rPr>
          <w:rFonts w:ascii="黑体" w:hAnsi="黑体" w:eastAsia="黑体"/>
          <w:szCs w:val="21"/>
        </w:rPr>
        <w:t xml:space="preserve"> </w:t>
      </w:r>
      <w:r>
        <w:rPr>
          <w:rFonts w:hint="eastAsia"/>
          <w:szCs w:val="21"/>
        </w:rPr>
        <w:t>过氧化氢</w:t>
      </w:r>
      <w:r>
        <w:rPr>
          <w:rFonts w:hint="eastAsia"/>
          <w:szCs w:val="21"/>
          <w:lang w:eastAsia="zh-CN"/>
        </w:rPr>
        <w:t>（</w:t>
      </w:r>
      <w:r>
        <w:rPr>
          <w:rFonts w:hint="eastAsia"/>
          <w:szCs w:val="21"/>
          <w:lang w:val="en-US" w:eastAsia="zh-CN"/>
        </w:rPr>
        <w:t>30%</w:t>
      </w:r>
      <w:r>
        <w:rPr>
          <w:rFonts w:hint="eastAsia"/>
          <w:szCs w:val="21"/>
          <w:lang w:eastAsia="zh-CN"/>
        </w:rPr>
        <w:t>）</w:t>
      </w:r>
      <w:r>
        <w:rPr>
          <w:rFonts w:hint="eastAsia"/>
          <w:szCs w:val="21"/>
        </w:rPr>
        <w:t>。</w:t>
      </w:r>
    </w:p>
    <w:p w14:paraId="16250B98">
      <w:pPr>
        <w:rPr>
          <w:szCs w:val="21"/>
        </w:rPr>
      </w:pPr>
      <w:r>
        <w:rPr>
          <w:rFonts w:ascii="黑体" w:hAnsi="黑体" w:eastAsia="黑体"/>
          <w:szCs w:val="21"/>
        </w:rPr>
        <w:t>4.2.</w:t>
      </w:r>
      <w:r>
        <w:rPr>
          <w:rFonts w:hint="eastAsia" w:ascii="黑体" w:hAnsi="黑体" w:eastAsia="黑体"/>
          <w:szCs w:val="21"/>
        </w:rPr>
        <w:t>5</w:t>
      </w:r>
      <w:r>
        <w:rPr>
          <w:rFonts w:ascii="黑体" w:hAnsi="黑体" w:eastAsia="黑体"/>
          <w:szCs w:val="21"/>
        </w:rPr>
        <w:t xml:space="preserve"> </w:t>
      </w:r>
      <w:r>
        <w:rPr>
          <w:rFonts w:hint="eastAsia"/>
          <w:szCs w:val="21"/>
        </w:rPr>
        <w:t>硝酸</w:t>
      </w:r>
      <w:r>
        <w:rPr>
          <w:rFonts w:hint="eastAsia"/>
          <w:szCs w:val="21"/>
          <w:lang w:eastAsia="zh-CN"/>
        </w:rPr>
        <w:t>（</w:t>
      </w:r>
      <w:r>
        <w:rPr>
          <w:i/>
          <w:iCs/>
          <w:szCs w:val="21"/>
        </w:rPr>
        <w:t>ρ</w:t>
      </w:r>
      <w:r>
        <w:rPr>
          <w:rFonts w:hint="eastAsia"/>
          <w:i/>
          <w:iCs/>
          <w:szCs w:val="21"/>
          <w:lang w:val="en-US" w:eastAsia="zh-CN"/>
        </w:rPr>
        <w:t>=</w:t>
      </w:r>
      <w:r>
        <w:rPr>
          <w:rFonts w:hint="eastAsia"/>
          <w:szCs w:val="21"/>
        </w:rPr>
        <w:t>1.42 g/mL</w:t>
      </w:r>
      <w:r>
        <w:rPr>
          <w:rFonts w:hint="eastAsia"/>
          <w:szCs w:val="21"/>
          <w:lang w:eastAsia="zh-CN"/>
        </w:rPr>
        <w:t>）</w:t>
      </w:r>
      <w:r>
        <w:rPr>
          <w:rFonts w:hint="eastAsia"/>
          <w:szCs w:val="21"/>
        </w:rPr>
        <w:t>。</w:t>
      </w:r>
    </w:p>
    <w:p w14:paraId="4222A723">
      <w:pPr>
        <w:rPr>
          <w:szCs w:val="21"/>
        </w:rPr>
      </w:pPr>
      <w:r>
        <w:rPr>
          <w:rFonts w:ascii="黑体" w:hAnsi="黑体" w:eastAsia="黑体"/>
          <w:szCs w:val="21"/>
        </w:rPr>
        <w:t xml:space="preserve">4.2.6 </w:t>
      </w:r>
      <w:r>
        <w:rPr>
          <w:rFonts w:hint="eastAsia"/>
          <w:szCs w:val="21"/>
        </w:rPr>
        <w:t>硝酸</w:t>
      </w:r>
      <w:r>
        <w:rPr>
          <w:rFonts w:hint="eastAsia"/>
          <w:szCs w:val="21"/>
          <w:lang w:eastAsia="zh-CN"/>
        </w:rPr>
        <w:t>（</w:t>
      </w:r>
      <w:r>
        <w:rPr>
          <w:rFonts w:hint="eastAsia"/>
          <w:szCs w:val="21"/>
        </w:rPr>
        <w:t>1+1</w:t>
      </w:r>
      <w:r>
        <w:rPr>
          <w:rFonts w:hint="eastAsia"/>
          <w:szCs w:val="21"/>
          <w:lang w:eastAsia="zh-CN"/>
        </w:rPr>
        <w:t>）</w:t>
      </w:r>
      <w:r>
        <w:rPr>
          <w:rFonts w:hint="eastAsia"/>
          <w:szCs w:val="21"/>
        </w:rPr>
        <w:t>。</w:t>
      </w:r>
    </w:p>
    <w:p w14:paraId="0DDAEE91">
      <w:pPr>
        <w:rPr>
          <w:szCs w:val="21"/>
        </w:rPr>
      </w:pPr>
      <w:r>
        <w:rPr>
          <w:rFonts w:ascii="黑体" w:hAnsi="黑体" w:eastAsia="黑体"/>
          <w:szCs w:val="21"/>
        </w:rPr>
        <w:t xml:space="preserve">4.2.7 </w:t>
      </w:r>
      <w:r>
        <w:rPr>
          <w:rFonts w:hint="eastAsia"/>
          <w:szCs w:val="21"/>
        </w:rPr>
        <w:t>硝酸</w:t>
      </w:r>
      <w:r>
        <w:rPr>
          <w:rFonts w:hint="eastAsia"/>
          <w:szCs w:val="21"/>
          <w:lang w:eastAsia="zh-CN"/>
        </w:rPr>
        <w:t>（</w:t>
      </w:r>
      <w:r>
        <w:rPr>
          <w:rFonts w:hint="eastAsia"/>
          <w:szCs w:val="21"/>
        </w:rPr>
        <w:t>1+3</w:t>
      </w:r>
      <w:r>
        <w:rPr>
          <w:rFonts w:hint="eastAsia"/>
          <w:szCs w:val="21"/>
          <w:lang w:eastAsia="zh-CN"/>
        </w:rPr>
        <w:t>）</w:t>
      </w:r>
      <w:r>
        <w:rPr>
          <w:rFonts w:hint="eastAsia"/>
          <w:szCs w:val="21"/>
        </w:rPr>
        <w:t>。</w:t>
      </w:r>
    </w:p>
    <w:p w14:paraId="64CDACED">
      <w:pPr>
        <w:rPr>
          <w:szCs w:val="21"/>
        </w:rPr>
      </w:pPr>
      <w:r>
        <w:rPr>
          <w:rFonts w:ascii="黑体" w:hAnsi="黑体" w:eastAsia="黑体"/>
          <w:szCs w:val="21"/>
        </w:rPr>
        <w:t>4.2.</w:t>
      </w:r>
      <w:r>
        <w:rPr>
          <w:rFonts w:hint="eastAsia" w:ascii="黑体" w:hAnsi="黑体" w:eastAsia="黑体"/>
          <w:szCs w:val="21"/>
        </w:rPr>
        <w:t>8</w:t>
      </w:r>
      <w:r>
        <w:rPr>
          <w:rFonts w:ascii="黑体" w:hAnsi="黑体" w:eastAsia="黑体"/>
          <w:szCs w:val="21"/>
        </w:rPr>
        <w:t xml:space="preserve"> </w:t>
      </w:r>
      <w:r>
        <w:rPr>
          <w:rFonts w:hint="eastAsia"/>
          <w:szCs w:val="21"/>
        </w:rPr>
        <w:t>硝酸铋—硝酸混合液</w:t>
      </w:r>
      <w:r>
        <w:rPr>
          <w:rFonts w:hint="eastAsia"/>
          <w:szCs w:val="21"/>
          <w:lang w:eastAsia="zh-CN"/>
        </w:rPr>
        <w:t>（</w:t>
      </w:r>
      <w:r>
        <w:rPr>
          <w:rFonts w:hint="eastAsia"/>
          <w:szCs w:val="21"/>
        </w:rPr>
        <w:t>10 g/L</w:t>
      </w:r>
      <w:r>
        <w:rPr>
          <w:rFonts w:hint="eastAsia"/>
          <w:szCs w:val="21"/>
          <w:lang w:eastAsia="zh-CN"/>
        </w:rPr>
        <w:t>）</w:t>
      </w:r>
      <w:r>
        <w:rPr>
          <w:rFonts w:hint="eastAsia"/>
          <w:szCs w:val="21"/>
        </w:rPr>
        <w:t>：称取10克硝酸铋加入625 mL硝酸（</w:t>
      </w:r>
      <w:r>
        <w:rPr>
          <w:szCs w:val="21"/>
        </w:rPr>
        <w:t>4</w:t>
      </w:r>
      <w:r>
        <w:rPr>
          <w:rFonts w:hint="eastAsia"/>
          <w:szCs w:val="21"/>
        </w:rPr>
        <w:t>.2.</w:t>
      </w:r>
      <w:r>
        <w:rPr>
          <w:rFonts w:hint="eastAsia"/>
          <w:szCs w:val="21"/>
          <w:lang w:val="en-US" w:eastAsia="zh-CN"/>
        </w:rPr>
        <w:t>7</w:t>
      </w:r>
      <w:r>
        <w:rPr>
          <w:rFonts w:hint="eastAsia"/>
          <w:szCs w:val="21"/>
        </w:rPr>
        <w:t>）溶液至1000 mL，混匀。</w:t>
      </w:r>
    </w:p>
    <w:p w14:paraId="65BC84C6">
      <w:pPr>
        <w:spacing w:line="276" w:lineRule="auto"/>
        <w:rPr>
          <w:szCs w:val="21"/>
        </w:rPr>
      </w:pPr>
      <w:r>
        <w:rPr>
          <w:rFonts w:ascii="黑体" w:hAnsi="黑体" w:eastAsia="黑体"/>
          <w:bCs/>
          <w:szCs w:val="21"/>
        </w:rPr>
        <w:t>4.2.</w:t>
      </w:r>
      <w:r>
        <w:rPr>
          <w:rFonts w:hint="eastAsia" w:ascii="黑体" w:hAnsi="黑体" w:eastAsia="黑体"/>
          <w:bCs/>
          <w:szCs w:val="21"/>
        </w:rPr>
        <w:t>9</w:t>
      </w:r>
      <w:r>
        <w:rPr>
          <w:szCs w:val="21"/>
        </w:rPr>
        <w:t xml:space="preserve"> </w:t>
      </w:r>
      <w:r>
        <w:rPr>
          <w:rFonts w:hint="eastAsia"/>
          <w:szCs w:val="21"/>
        </w:rPr>
        <w:t>抗坏血酸</w:t>
      </w:r>
      <w:r>
        <w:rPr>
          <w:rFonts w:hint="eastAsia"/>
          <w:szCs w:val="21"/>
          <w:lang w:eastAsia="zh-CN"/>
        </w:rPr>
        <w:t>（</w:t>
      </w:r>
      <w:r>
        <w:rPr>
          <w:rFonts w:hint="eastAsia"/>
          <w:szCs w:val="21"/>
        </w:rPr>
        <w:t>50 g/L</w:t>
      </w:r>
      <w:r>
        <w:rPr>
          <w:rFonts w:hint="eastAsia"/>
          <w:szCs w:val="21"/>
          <w:lang w:eastAsia="zh-CN"/>
        </w:rPr>
        <w:t>）</w:t>
      </w:r>
      <w:r>
        <w:rPr>
          <w:rFonts w:hint="eastAsia"/>
          <w:szCs w:val="21"/>
        </w:rPr>
        <w:t>，</w:t>
      </w:r>
      <w:r>
        <w:rPr>
          <w:rFonts w:hint="eastAsia"/>
          <w:szCs w:val="21"/>
          <w:lang w:val="en-US" w:eastAsia="zh-CN"/>
        </w:rPr>
        <w:t>现用现配</w:t>
      </w:r>
      <w:r>
        <w:rPr>
          <w:rFonts w:hint="eastAsia"/>
          <w:szCs w:val="21"/>
        </w:rPr>
        <w:t>。</w:t>
      </w:r>
    </w:p>
    <w:p w14:paraId="5AAA2C57">
      <w:pPr>
        <w:spacing w:line="276" w:lineRule="auto"/>
        <w:rPr>
          <w:szCs w:val="21"/>
        </w:rPr>
      </w:pPr>
      <w:r>
        <w:rPr>
          <w:rFonts w:ascii="黑体" w:hAnsi="黑体" w:eastAsia="黑体"/>
          <w:bCs/>
          <w:szCs w:val="21"/>
        </w:rPr>
        <w:t>4.2.</w:t>
      </w:r>
      <w:r>
        <w:rPr>
          <w:rFonts w:hint="eastAsia" w:ascii="黑体" w:hAnsi="黑体" w:eastAsia="黑体"/>
          <w:bCs/>
          <w:szCs w:val="21"/>
        </w:rPr>
        <w:t xml:space="preserve">10 </w:t>
      </w:r>
      <w:r>
        <w:rPr>
          <w:rFonts w:hint="eastAsia"/>
          <w:szCs w:val="21"/>
        </w:rPr>
        <w:t>氢氧化钠</w:t>
      </w:r>
      <w:r>
        <w:rPr>
          <w:rFonts w:hint="eastAsia"/>
          <w:szCs w:val="21"/>
          <w:lang w:eastAsia="zh-CN"/>
        </w:rPr>
        <w:t>（</w:t>
      </w:r>
      <w:r>
        <w:rPr>
          <w:rFonts w:hint="eastAsia"/>
          <w:szCs w:val="21"/>
        </w:rPr>
        <w:t>40 g/L，贮于塑料瓶中</w:t>
      </w:r>
      <w:r>
        <w:rPr>
          <w:rFonts w:hint="eastAsia"/>
          <w:szCs w:val="21"/>
          <w:lang w:eastAsia="zh-CN"/>
        </w:rPr>
        <w:t>）</w:t>
      </w:r>
      <w:r>
        <w:rPr>
          <w:rFonts w:hint="eastAsia"/>
          <w:szCs w:val="21"/>
        </w:rPr>
        <w:t>。</w:t>
      </w:r>
    </w:p>
    <w:p w14:paraId="46610409">
      <w:pPr>
        <w:rPr>
          <w:szCs w:val="21"/>
        </w:rPr>
      </w:pPr>
      <w:r>
        <w:rPr>
          <w:rFonts w:ascii="黑体" w:hAnsi="黑体" w:eastAsia="黑体"/>
          <w:bCs/>
          <w:szCs w:val="21"/>
        </w:rPr>
        <w:t>4.2.</w:t>
      </w:r>
      <w:r>
        <w:rPr>
          <w:rFonts w:hint="eastAsia" w:ascii="黑体" w:hAnsi="黑体" w:eastAsia="黑体"/>
          <w:bCs/>
          <w:szCs w:val="21"/>
        </w:rPr>
        <w:t>11</w:t>
      </w:r>
      <w:r>
        <w:rPr>
          <w:rFonts w:ascii="黑体" w:hAnsi="黑体" w:eastAsia="黑体"/>
          <w:szCs w:val="21"/>
        </w:rPr>
        <w:t xml:space="preserve"> </w:t>
      </w:r>
      <w:r>
        <w:rPr>
          <w:rFonts w:hint="eastAsia"/>
          <w:szCs w:val="21"/>
        </w:rPr>
        <w:t>对硝基酚指示剂</w:t>
      </w:r>
      <w:r>
        <w:rPr>
          <w:rFonts w:hint="eastAsia"/>
          <w:szCs w:val="21"/>
          <w:lang w:eastAsia="zh-CN"/>
        </w:rPr>
        <w:t>（</w:t>
      </w:r>
      <w:r>
        <w:rPr>
          <w:rFonts w:hint="eastAsia"/>
          <w:szCs w:val="21"/>
        </w:rPr>
        <w:t>10 g/L</w:t>
      </w:r>
      <w:r>
        <w:rPr>
          <w:rFonts w:hint="eastAsia"/>
          <w:szCs w:val="21"/>
          <w:lang w:eastAsia="zh-CN"/>
        </w:rPr>
        <w:t>）</w:t>
      </w:r>
      <w:r>
        <w:rPr>
          <w:rFonts w:hint="eastAsia"/>
          <w:szCs w:val="21"/>
        </w:rPr>
        <w:t>。</w:t>
      </w:r>
    </w:p>
    <w:p w14:paraId="6CF583DD">
      <w:pPr>
        <w:spacing w:line="276" w:lineRule="auto"/>
        <w:rPr>
          <w:szCs w:val="21"/>
        </w:rPr>
      </w:pPr>
      <w:r>
        <w:rPr>
          <w:rFonts w:ascii="黑体" w:hAnsi="黑体" w:eastAsia="黑体"/>
          <w:bCs/>
          <w:szCs w:val="21"/>
        </w:rPr>
        <w:t>4.2.</w:t>
      </w:r>
      <w:r>
        <w:rPr>
          <w:rFonts w:hint="eastAsia" w:ascii="黑体" w:hAnsi="黑体" w:eastAsia="黑体"/>
          <w:bCs/>
          <w:szCs w:val="21"/>
        </w:rPr>
        <w:t>12</w:t>
      </w:r>
      <w:r>
        <w:rPr>
          <w:rFonts w:ascii="黑体" w:hAnsi="黑体" w:eastAsia="黑体"/>
          <w:szCs w:val="21"/>
        </w:rPr>
        <w:t xml:space="preserve"> </w:t>
      </w:r>
      <w:r>
        <w:rPr>
          <w:rFonts w:hint="eastAsia"/>
          <w:szCs w:val="21"/>
        </w:rPr>
        <w:t>钼酸铵</w:t>
      </w:r>
      <w:r>
        <w:rPr>
          <w:rFonts w:hint="eastAsia"/>
          <w:szCs w:val="21"/>
          <w:lang w:val="en-US" w:eastAsia="zh-CN"/>
        </w:rPr>
        <w:t>溶液</w:t>
      </w:r>
      <w:r>
        <w:rPr>
          <w:rFonts w:hint="eastAsia"/>
          <w:szCs w:val="21"/>
          <w:lang w:eastAsia="zh-CN"/>
        </w:rPr>
        <w:t>（</w:t>
      </w:r>
      <w:r>
        <w:rPr>
          <w:rFonts w:hint="eastAsia"/>
          <w:szCs w:val="21"/>
        </w:rPr>
        <w:t>25 g/L</w:t>
      </w:r>
      <w:r>
        <w:rPr>
          <w:rFonts w:hint="eastAsia"/>
          <w:szCs w:val="21"/>
          <w:lang w:eastAsia="zh-CN"/>
        </w:rPr>
        <w:t>）</w:t>
      </w:r>
      <w:r>
        <w:rPr>
          <w:rFonts w:hint="eastAsia"/>
          <w:szCs w:val="21"/>
        </w:rPr>
        <w:t>：称取5g钼酸铵加水至200mL，加入3.65mL氢氧化钠（</w:t>
      </w:r>
      <w:r>
        <w:rPr>
          <w:szCs w:val="21"/>
        </w:rPr>
        <w:t>4.2</w:t>
      </w:r>
      <w:r>
        <w:rPr>
          <w:rFonts w:hint="eastAsia"/>
          <w:szCs w:val="21"/>
        </w:rPr>
        <w:t>.</w:t>
      </w:r>
      <w:r>
        <w:rPr>
          <w:rFonts w:hint="eastAsia"/>
          <w:szCs w:val="21"/>
          <w:lang w:val="en-US" w:eastAsia="zh-CN"/>
        </w:rPr>
        <w:t>10</w:t>
      </w:r>
      <w:r>
        <w:rPr>
          <w:rFonts w:hint="eastAsia"/>
          <w:szCs w:val="21"/>
        </w:rPr>
        <w:t>），使得其pH=7。</w:t>
      </w:r>
    </w:p>
    <w:p w14:paraId="6BEBEA05">
      <w:pPr>
        <w:spacing w:line="276" w:lineRule="auto"/>
        <w:rPr>
          <w:szCs w:val="21"/>
        </w:rPr>
      </w:pPr>
      <w:r>
        <w:rPr>
          <w:rFonts w:ascii="黑体" w:hAnsi="黑体" w:eastAsia="黑体"/>
          <w:bCs/>
        </w:rPr>
        <w:t>4.2.</w:t>
      </w:r>
      <w:r>
        <w:rPr>
          <w:rFonts w:hint="eastAsia" w:ascii="黑体" w:hAnsi="黑体" w:eastAsia="黑体"/>
          <w:bCs/>
        </w:rPr>
        <w:t>13</w:t>
      </w:r>
      <w:r>
        <w:rPr>
          <w:rFonts w:ascii="黑体" w:hAnsi="黑体" w:eastAsia="黑体"/>
          <w:color w:val="000000"/>
        </w:rPr>
        <w:t xml:space="preserve"> </w:t>
      </w:r>
      <w:r>
        <w:rPr>
          <w:rFonts w:hint="eastAsia" w:ascii="宋体" w:hAnsi="宋体" w:cs="宋体"/>
          <w:bCs/>
          <w:szCs w:val="21"/>
        </w:rPr>
        <w:t>五氧化二磷标准贮存溶液：称取1.9170 g预先经100℃～105℃烘干1h后置于干燥器中冷却至室温的优级纯磷酸二氢钾于250 mL烧杯中，加100 mL水溶解，移入1000 mL容量瓶中，以水稀释至刻度，混匀。此溶液1 mL含1 mg五氧化二磷。</w:t>
      </w:r>
    </w:p>
    <w:p w14:paraId="4FE15DBF">
      <w:pPr>
        <w:rPr>
          <w:szCs w:val="21"/>
        </w:rPr>
      </w:pPr>
      <w:r>
        <w:rPr>
          <w:rFonts w:ascii="黑体" w:hAnsi="黑体" w:eastAsia="黑体"/>
          <w:bCs/>
          <w:szCs w:val="21"/>
        </w:rPr>
        <w:t>4.2.</w:t>
      </w:r>
      <w:r>
        <w:rPr>
          <w:rFonts w:hint="eastAsia" w:ascii="黑体" w:hAnsi="黑体" w:eastAsia="黑体"/>
          <w:bCs/>
          <w:szCs w:val="21"/>
        </w:rPr>
        <w:t>14</w:t>
      </w:r>
      <w:r>
        <w:rPr>
          <w:szCs w:val="21"/>
        </w:rPr>
        <w:t xml:space="preserve"> </w:t>
      </w:r>
      <w:r>
        <w:rPr>
          <w:rFonts w:hint="eastAsia"/>
          <w:szCs w:val="21"/>
        </w:rPr>
        <w:t>五氧化二磷标准溶液：移取10 mL五氧化二磷标准贮存溶液（</w:t>
      </w:r>
      <w:r>
        <w:rPr>
          <w:szCs w:val="21"/>
        </w:rPr>
        <w:t>4</w:t>
      </w:r>
      <w:r>
        <w:rPr>
          <w:rFonts w:hint="eastAsia"/>
          <w:szCs w:val="21"/>
        </w:rPr>
        <w:t>.2.1</w:t>
      </w:r>
      <w:r>
        <w:rPr>
          <w:rFonts w:hint="eastAsia"/>
          <w:szCs w:val="21"/>
          <w:lang w:val="en-US" w:eastAsia="zh-CN"/>
        </w:rPr>
        <w:t>3</w:t>
      </w:r>
      <w:r>
        <w:rPr>
          <w:rFonts w:hint="eastAsia"/>
          <w:szCs w:val="21"/>
        </w:rPr>
        <w:t>）置于200 mL容量瓶中，以水稀释至刻度，混匀。此溶液1 mL含50 µg五氧化二磷。</w:t>
      </w:r>
    </w:p>
    <w:p w14:paraId="25A07DD9">
      <w:pPr>
        <w:pStyle w:val="74"/>
        <w:numPr>
          <w:ilvl w:val="0"/>
          <w:numId w:val="0"/>
        </w:numPr>
        <w:spacing w:before="156" w:after="156"/>
        <w:rPr>
          <w:rFonts w:ascii="黑体" w:hAnsi="黑体" w:eastAsia="黑体"/>
        </w:rPr>
      </w:pPr>
      <w:r>
        <w:rPr>
          <w:rFonts w:hAnsi="黑体" w:cs="黑体"/>
        </w:rPr>
        <w:t>4.3</w:t>
      </w:r>
      <w:r>
        <w:rPr>
          <w:rFonts w:hint="eastAsia" w:ascii="Times New Roman"/>
        </w:rPr>
        <w:t>　仪器设备</w:t>
      </w:r>
    </w:p>
    <w:p w14:paraId="37B9BDFA">
      <w:pPr>
        <w:rPr>
          <w:bCs/>
        </w:rPr>
      </w:pPr>
      <w:r>
        <w:rPr>
          <w:rFonts w:ascii="黑体" w:hAnsi="黑体" w:eastAsia="黑体"/>
        </w:rPr>
        <w:t xml:space="preserve">4.3.1 </w:t>
      </w:r>
      <w:r>
        <w:rPr>
          <w:rFonts w:hint="eastAsia"/>
          <w:bCs/>
        </w:rPr>
        <w:t>可见光分光光度计或紫外-可见分光光度计。</w:t>
      </w:r>
    </w:p>
    <w:p w14:paraId="393EC2C6">
      <w:pPr>
        <w:ind w:firstLine="420" w:firstLineChars="200"/>
        <w:rPr>
          <w:bCs/>
        </w:rPr>
      </w:pPr>
      <w:r>
        <w:rPr>
          <w:rFonts w:hint="eastAsia"/>
          <w:bCs/>
        </w:rPr>
        <w:t>在仪器最佳工作条件下，凡达到下列两项指标者均可使用：</w:t>
      </w:r>
    </w:p>
    <w:p w14:paraId="07101A49">
      <w:pPr>
        <w:ind w:firstLine="420" w:firstLineChars="200"/>
        <w:rPr>
          <w:bCs/>
        </w:rPr>
      </w:pPr>
      <w:r>
        <w:rPr>
          <w:rFonts w:hint="eastAsia"/>
          <w:bCs/>
        </w:rPr>
        <w:t>——波长700 nm处光谱带宽不大于6 nm，波长测量精确至±1 nm；</w:t>
      </w:r>
    </w:p>
    <w:p w14:paraId="50C6373A">
      <w:pPr>
        <w:ind w:firstLine="420" w:firstLineChars="200"/>
        <w:rPr>
          <w:bCs/>
        </w:rPr>
      </w:pPr>
      <w:r>
        <w:rPr>
          <w:rFonts w:hint="eastAsia"/>
          <w:bCs/>
        </w:rPr>
        <w:t>——精密度：用校准曲线最高浓度溶液测量10次吸光度，相对标准偏差不大于0.30%。</w:t>
      </w:r>
    </w:p>
    <w:p w14:paraId="2538C9EA">
      <w:pPr>
        <w:rPr>
          <w:bCs/>
        </w:rPr>
      </w:pPr>
      <w:r>
        <w:rPr>
          <w:rFonts w:hint="eastAsia" w:ascii="黑体" w:hAnsi="黑体" w:eastAsia="黑体" w:cs="黑体"/>
          <w:bCs/>
        </w:rPr>
        <w:t>4.3.3</w:t>
      </w:r>
      <w:r>
        <w:rPr>
          <w:rFonts w:hint="eastAsia"/>
          <w:bCs/>
        </w:rPr>
        <w:t xml:space="preserve"> 马弗炉，</w:t>
      </w:r>
      <w:r>
        <w:rPr>
          <w:rFonts w:hint="eastAsia"/>
          <w:bCs/>
          <w:lang w:eastAsia="zh-CN"/>
        </w:rPr>
        <w:t>≥</w:t>
      </w:r>
      <w:r>
        <w:rPr>
          <w:rFonts w:hint="eastAsia"/>
          <w:bCs/>
        </w:rPr>
        <w:t>500℃。</w:t>
      </w:r>
    </w:p>
    <w:p w14:paraId="3E6A374F">
      <w:pPr>
        <w:rPr>
          <w:bCs/>
        </w:rPr>
      </w:pPr>
      <w:r>
        <w:rPr>
          <w:rFonts w:hint="eastAsia" w:ascii="黑体" w:hAnsi="黑体" w:eastAsia="黑体" w:cs="黑体"/>
          <w:bCs/>
        </w:rPr>
        <w:t>4.3.4</w:t>
      </w:r>
      <w:r>
        <w:rPr>
          <w:rFonts w:hint="eastAsia"/>
          <w:bCs/>
        </w:rPr>
        <w:t xml:space="preserve"> 分析天平：感量0.1 mg。</w:t>
      </w:r>
    </w:p>
    <w:p w14:paraId="6EE8FE43">
      <w:pPr>
        <w:pStyle w:val="74"/>
        <w:numPr>
          <w:ilvl w:val="0"/>
          <w:numId w:val="0"/>
        </w:numPr>
        <w:spacing w:before="156" w:after="156"/>
        <w:rPr>
          <w:rFonts w:ascii="Times New Roman"/>
          <w:color w:val="000000"/>
        </w:rPr>
      </w:pPr>
      <w:r>
        <w:rPr>
          <w:rFonts w:hint="eastAsia" w:hAnsi="黑体" w:cs="黑体"/>
          <w:color w:val="000000"/>
        </w:rPr>
        <w:t xml:space="preserve">4.4 </w:t>
      </w:r>
      <w:r>
        <w:rPr>
          <w:rFonts w:ascii="Times New Roman"/>
          <w:color w:val="000000"/>
        </w:rPr>
        <w:t>样品</w:t>
      </w:r>
    </w:p>
    <w:p w14:paraId="502BF309">
      <w:pPr>
        <w:keepNext w:val="0"/>
        <w:keepLines w:val="0"/>
        <w:pageBreakBefore w:val="0"/>
        <w:widowControl w:val="0"/>
        <w:kinsoku/>
        <w:wordWrap/>
        <w:overflowPunct/>
        <w:topLinePunct w:val="0"/>
        <w:autoSpaceDE/>
        <w:autoSpaceDN/>
        <w:bidi w:val="0"/>
        <w:textAlignment w:val="auto"/>
        <w:rPr>
          <w:rFonts w:hint="eastAsia" w:eastAsia="宋体"/>
          <w:lang w:eastAsia="zh-CN"/>
        </w:rPr>
      </w:pPr>
      <w:r>
        <w:rPr>
          <w:rFonts w:hint="eastAsia" w:ascii="黑体" w:hAnsi="黑体" w:eastAsia="黑体" w:cs="黑体"/>
        </w:rPr>
        <w:t xml:space="preserve">4.4.1 </w:t>
      </w:r>
      <w:r>
        <w:rPr>
          <w:rFonts w:hint="default" w:ascii="Times New Roman" w:hAnsi="Times New Roman" w:cs="Times New Roman"/>
          <w:szCs w:val="21"/>
        </w:rPr>
        <w:t>试样的粒度应</w:t>
      </w:r>
      <w:r>
        <w:rPr>
          <w:rFonts w:hint="eastAsia" w:cs="Times New Roman"/>
          <w:szCs w:val="21"/>
          <w:lang w:val="en-US" w:eastAsia="zh-CN"/>
        </w:rPr>
        <w:t>不大于0.074mm</w:t>
      </w:r>
      <w:r>
        <w:rPr>
          <w:rFonts w:hint="eastAsia" w:ascii="宋体" w:hAnsi="宋体" w:cs="宋体"/>
          <w:szCs w:val="21"/>
          <w:lang w:eastAsia="zh-CN"/>
        </w:rPr>
        <w:t>。</w:t>
      </w:r>
    </w:p>
    <w:p w14:paraId="42849071">
      <w:pPr>
        <w:keepNext w:val="0"/>
        <w:keepLines w:val="0"/>
        <w:pageBreakBefore w:val="0"/>
        <w:widowControl w:val="0"/>
        <w:kinsoku/>
        <w:wordWrap/>
        <w:overflowPunct/>
        <w:topLinePunct w:val="0"/>
        <w:autoSpaceDE/>
        <w:autoSpaceDN/>
        <w:bidi w:val="0"/>
        <w:adjustRightInd w:val="0"/>
        <w:snapToGrid w:val="0"/>
        <w:textAlignment w:val="auto"/>
        <w:rPr>
          <w:rFonts w:asciiTheme="minorEastAsia" w:hAnsiTheme="minorEastAsia" w:eastAsiaTheme="minorEastAsia"/>
        </w:rPr>
      </w:pPr>
      <w:r>
        <w:rPr>
          <w:rFonts w:hint="eastAsia" w:ascii="黑体" w:hAnsi="黑体" w:eastAsia="黑体" w:cs="黑体"/>
        </w:rPr>
        <w:t xml:space="preserve">4.4.2 </w:t>
      </w:r>
      <w:r>
        <w:t>试样经105 ℃~110 ℃干燥2 h，</w:t>
      </w:r>
      <w:r>
        <w:rPr>
          <w:rFonts w:hint="eastAsia" w:ascii="宋体" w:hAnsi="宋体" w:cs="宋体"/>
          <w:szCs w:val="21"/>
        </w:rPr>
        <w:t>置于干燥器中，冷却至室温</w:t>
      </w:r>
      <w:r>
        <w:t>。</w:t>
      </w:r>
    </w:p>
    <w:p w14:paraId="26E17497">
      <w:pPr>
        <w:spacing w:before="156" w:beforeLines="50" w:after="156" w:afterLines="50"/>
        <w:rPr>
          <w:rFonts w:hAnsi="黑体" w:cs="黑体"/>
          <w:color w:val="000000"/>
        </w:rPr>
      </w:pPr>
      <w:r>
        <w:rPr>
          <w:rFonts w:hint="eastAsia" w:ascii="黑体" w:hAnsi="黑体" w:eastAsia="黑体" w:cs="黑体"/>
          <w:color w:val="000000"/>
          <w:kern w:val="0"/>
          <w:szCs w:val="20"/>
        </w:rPr>
        <w:t>4.5 试验步骤</w:t>
      </w:r>
    </w:p>
    <w:p w14:paraId="00397709">
      <w:pPr>
        <w:pStyle w:val="81"/>
        <w:numPr>
          <w:ilvl w:val="0"/>
          <w:numId w:val="0"/>
        </w:numPr>
        <w:spacing w:before="156" w:beforeLines="50" w:after="156" w:afterLines="50"/>
        <w:rPr>
          <w:rFonts w:ascii="Times New Roman"/>
          <w:kern w:val="2"/>
        </w:rPr>
      </w:pPr>
      <w:r>
        <w:rPr>
          <w:rFonts w:hint="eastAsia" w:hAnsi="黑体"/>
          <w:kern w:val="2"/>
        </w:rPr>
        <w:t>4.5</w:t>
      </w:r>
      <w:r>
        <w:rPr>
          <w:rFonts w:hAnsi="黑体"/>
          <w:kern w:val="2"/>
        </w:rPr>
        <w:t>.1</w:t>
      </w:r>
      <w:r>
        <w:rPr>
          <w:rFonts w:ascii="Times New Roman"/>
          <w:kern w:val="2"/>
        </w:rPr>
        <w:t>试料</w:t>
      </w:r>
    </w:p>
    <w:p w14:paraId="33C86E28">
      <w:pPr>
        <w:ind w:firstLine="420" w:firstLineChars="200"/>
        <w:rPr>
          <w:rFonts w:hint="eastAsia" w:ascii="黑体" w:hAnsi="黑体" w:eastAsia="宋体" w:cs="黑体"/>
          <w:sz w:val="18"/>
          <w:szCs w:val="18"/>
          <w:lang w:eastAsia="zh-CN"/>
        </w:rPr>
      </w:pPr>
      <w:r>
        <w:rPr>
          <w:rFonts w:hint="eastAsia"/>
          <w:szCs w:val="21"/>
        </w:rPr>
        <w:t>根据五氧化二磷的质量分数，按表1称取试样（4.4）</w:t>
      </w:r>
      <w:r>
        <w:rPr>
          <w:rFonts w:hint="eastAsia"/>
          <w:szCs w:val="21"/>
          <w:lang w:eastAsia="zh-CN"/>
        </w:rPr>
        <w:t>。</w:t>
      </w:r>
    </w:p>
    <w:p w14:paraId="065DD36F">
      <w:pPr>
        <w:jc w:val="center"/>
        <w:rPr>
          <w:rFonts w:hint="default" w:eastAsia="黑体"/>
          <w:color w:val="FF0000"/>
          <w:highlight w:val="yellow"/>
          <w:lang w:val="en-US" w:eastAsia="zh-CN"/>
        </w:rPr>
      </w:pPr>
      <w:r>
        <w:rPr>
          <w:rFonts w:hint="eastAsia" w:ascii="黑体" w:hAnsi="黑体" w:eastAsia="黑体" w:cs="黑体"/>
          <w:sz w:val="18"/>
          <w:szCs w:val="18"/>
        </w:rPr>
        <w:t>表1</w:t>
      </w:r>
      <w:r>
        <w:rPr>
          <w:rFonts w:hint="eastAsia" w:ascii="黑体" w:hAnsi="黑体" w:eastAsia="黑体" w:cs="黑体"/>
          <w:sz w:val="18"/>
          <w:szCs w:val="18"/>
          <w:lang w:val="en-US" w:eastAsia="zh-CN"/>
        </w:rPr>
        <w:t xml:space="preserve"> 试料称取量/移取量</w:t>
      </w:r>
    </w:p>
    <w:tbl>
      <w:tblPr>
        <w:tblStyle w:val="3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22"/>
        <w:gridCol w:w="1712"/>
        <w:gridCol w:w="1712"/>
        <w:gridCol w:w="1712"/>
        <w:gridCol w:w="1713"/>
      </w:tblGrid>
      <w:tr w14:paraId="204B0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2" w:type="dxa"/>
            <w:tcBorders>
              <w:top w:val="single" w:color="000000" w:sz="12" w:space="0"/>
              <w:left w:val="single" w:color="000000" w:sz="12" w:space="0"/>
              <w:bottom w:val="single" w:color="000000" w:sz="12" w:space="0"/>
              <w:right w:val="single" w:color="000000" w:sz="4" w:space="0"/>
            </w:tcBorders>
            <w:vAlign w:val="center"/>
          </w:tcPr>
          <w:p w14:paraId="6838C079">
            <w:pPr>
              <w:pStyle w:val="21"/>
              <w:adjustRightInd w:val="0"/>
              <w:snapToGrid w:val="0"/>
              <w:jc w:val="center"/>
              <w:rPr>
                <w:rFonts w:ascii="Times New Roman" w:hAnsi="宋体"/>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五氧化二磷的质量分数</w:t>
            </w:r>
          </w:p>
          <w:p w14:paraId="77A4F679">
            <w:pPr>
              <w:pStyle w:val="21"/>
              <w:adjustRightInd w:val="0"/>
              <w:snapToGrid w:val="0"/>
              <w:jc w:val="center"/>
              <w:rPr>
                <w:color w:val="000000" w:themeColor="text1"/>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1712" w:type="dxa"/>
            <w:tcBorders>
              <w:top w:val="single" w:color="000000" w:sz="12" w:space="0"/>
              <w:left w:val="single" w:color="000000" w:sz="4" w:space="0"/>
              <w:bottom w:val="single" w:color="000000" w:sz="12" w:space="0"/>
              <w:right w:val="single" w:color="000000" w:sz="4" w:space="0"/>
            </w:tcBorders>
            <w:vAlign w:val="center"/>
          </w:tcPr>
          <w:p w14:paraId="377C0B39">
            <w:pPr>
              <w:pStyle w:val="21"/>
              <w:adjustRightInd w:val="0"/>
              <w:snapToGrid w:val="0"/>
              <w:jc w:val="center"/>
              <w:rPr>
                <w:rFonts w:ascii="Times New Roman" w:hAnsi="宋体"/>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试料量</w:t>
            </w:r>
          </w:p>
          <w:p w14:paraId="01791D49">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g</w:t>
            </w:r>
          </w:p>
        </w:tc>
        <w:tc>
          <w:tcPr>
            <w:tcW w:w="1712" w:type="dxa"/>
            <w:tcBorders>
              <w:top w:val="single" w:color="000000" w:sz="12" w:space="0"/>
              <w:left w:val="single" w:color="000000" w:sz="4" w:space="0"/>
              <w:bottom w:val="single" w:color="000000" w:sz="12" w:space="0"/>
              <w:right w:val="single" w:color="000000" w:sz="4" w:space="0"/>
            </w:tcBorders>
            <w:vAlign w:val="center"/>
          </w:tcPr>
          <w:p w14:paraId="18B97D3E">
            <w:pPr>
              <w:pStyle w:val="21"/>
              <w:adjustRightInd w:val="0"/>
              <w:snapToGrid w:val="0"/>
              <w:jc w:val="center"/>
              <w:rPr>
                <w:rFonts w:ascii="Times New Roman" w:hAnsi="宋体"/>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定容体积</w:t>
            </w:r>
          </w:p>
          <w:p w14:paraId="4B1BDB25">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mL</w:t>
            </w:r>
          </w:p>
        </w:tc>
        <w:tc>
          <w:tcPr>
            <w:tcW w:w="1712" w:type="dxa"/>
            <w:tcBorders>
              <w:top w:val="single" w:color="000000" w:sz="12" w:space="0"/>
              <w:left w:val="single" w:color="000000" w:sz="4" w:space="0"/>
              <w:bottom w:val="single" w:color="000000" w:sz="12" w:space="0"/>
              <w:right w:val="single" w:color="000000" w:sz="4" w:space="0"/>
            </w:tcBorders>
            <w:vAlign w:val="center"/>
          </w:tcPr>
          <w:p w14:paraId="25785348">
            <w:pPr>
              <w:pStyle w:val="21"/>
              <w:adjustRightInd w:val="0"/>
              <w:snapToGrid w:val="0"/>
              <w:jc w:val="center"/>
              <w:rPr>
                <w:rFonts w:ascii="Times New Roman" w:hAnsi="宋体"/>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分取体积</w:t>
            </w:r>
          </w:p>
          <w:p w14:paraId="40C5C044">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mL</w:t>
            </w:r>
          </w:p>
        </w:tc>
        <w:tc>
          <w:tcPr>
            <w:tcW w:w="1713" w:type="dxa"/>
            <w:tcBorders>
              <w:top w:val="single" w:color="000000" w:sz="12" w:space="0"/>
              <w:left w:val="single" w:color="000000" w:sz="4" w:space="0"/>
              <w:bottom w:val="single" w:color="000000" w:sz="12" w:space="0"/>
              <w:right w:val="single" w:color="000000" w:sz="12" w:space="0"/>
            </w:tcBorders>
            <w:vAlign w:val="center"/>
          </w:tcPr>
          <w:p w14:paraId="4F0F5AD0">
            <w:pPr>
              <w:pStyle w:val="21"/>
              <w:adjustRightInd w:val="0"/>
              <w:snapToGrid w:val="0"/>
              <w:jc w:val="center"/>
              <w:rPr>
                <w:rFonts w:ascii="Times New Roman" w:hAnsi="宋体"/>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比色皿</w:t>
            </w:r>
          </w:p>
          <w:p w14:paraId="59D44526">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cm</w:t>
            </w:r>
          </w:p>
        </w:tc>
      </w:tr>
      <w:tr w14:paraId="1AE1C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2" w:type="dxa"/>
            <w:tcBorders>
              <w:top w:val="single" w:color="000000" w:sz="12" w:space="0"/>
              <w:left w:val="single" w:color="000000" w:sz="12" w:space="0"/>
              <w:bottom w:val="single" w:color="000000" w:sz="4" w:space="0"/>
              <w:right w:val="single" w:color="000000" w:sz="4" w:space="0"/>
            </w:tcBorders>
            <w:vAlign w:val="center"/>
          </w:tcPr>
          <w:p w14:paraId="3B6699FB">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0.</w:t>
            </w:r>
            <w:r>
              <w:rPr>
                <w:rFonts w:hint="eastAsia" w:ascii="Times New Roman" w:hAnsi="宋体"/>
                <w:color w:val="000000" w:themeColor="text1"/>
                <w:sz w:val="18"/>
                <w:szCs w:val="18"/>
                <w:lang w:val="en-US" w:eastAsia="zh-CN"/>
                <w14:textFill>
                  <w14:solidFill>
                    <w14:schemeClr w14:val="tx1"/>
                  </w14:solidFill>
                </w14:textFill>
              </w:rPr>
              <w:t>10</w:t>
            </w:r>
            <w:r>
              <w:rPr>
                <w:rFonts w:hint="eastAsia" w:ascii="Times New Roman" w:hAnsi="宋体"/>
                <w:color w:val="000000" w:themeColor="text1"/>
                <w:sz w:val="18"/>
                <w:szCs w:val="18"/>
                <w14:textFill>
                  <w14:solidFill>
                    <w14:schemeClr w14:val="tx1"/>
                  </w14:solidFill>
                </w14:textFill>
              </w:rPr>
              <w:t>~1.00</w:t>
            </w:r>
          </w:p>
        </w:tc>
        <w:tc>
          <w:tcPr>
            <w:tcW w:w="1712" w:type="dxa"/>
            <w:tcBorders>
              <w:top w:val="single" w:color="000000" w:sz="12" w:space="0"/>
              <w:left w:val="single" w:color="000000" w:sz="4" w:space="0"/>
              <w:bottom w:val="single" w:color="000000" w:sz="4" w:space="0"/>
              <w:right w:val="single" w:color="000000" w:sz="4" w:space="0"/>
            </w:tcBorders>
            <w:vAlign w:val="center"/>
          </w:tcPr>
          <w:p w14:paraId="7227FB2A">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0.4</w:t>
            </w:r>
          </w:p>
        </w:tc>
        <w:tc>
          <w:tcPr>
            <w:tcW w:w="1712" w:type="dxa"/>
            <w:tcBorders>
              <w:top w:val="single" w:color="000000" w:sz="12" w:space="0"/>
              <w:left w:val="single" w:color="000000" w:sz="4" w:space="0"/>
              <w:bottom w:val="single" w:color="000000" w:sz="4" w:space="0"/>
              <w:right w:val="single" w:color="000000" w:sz="4" w:space="0"/>
            </w:tcBorders>
            <w:vAlign w:val="center"/>
          </w:tcPr>
          <w:p w14:paraId="77799689">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250</w:t>
            </w:r>
          </w:p>
        </w:tc>
        <w:tc>
          <w:tcPr>
            <w:tcW w:w="1712" w:type="dxa"/>
            <w:tcBorders>
              <w:top w:val="single" w:color="000000" w:sz="12" w:space="0"/>
              <w:left w:val="single" w:color="000000" w:sz="4" w:space="0"/>
              <w:bottom w:val="single" w:color="000000" w:sz="4" w:space="0"/>
              <w:right w:val="single" w:color="000000" w:sz="4" w:space="0"/>
            </w:tcBorders>
            <w:vAlign w:val="center"/>
          </w:tcPr>
          <w:p w14:paraId="61B8EA80">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10.00</w:t>
            </w:r>
          </w:p>
        </w:tc>
        <w:tc>
          <w:tcPr>
            <w:tcW w:w="1713" w:type="dxa"/>
            <w:tcBorders>
              <w:top w:val="single" w:color="000000" w:sz="12" w:space="0"/>
              <w:left w:val="single" w:color="000000" w:sz="4" w:space="0"/>
              <w:bottom w:val="single" w:color="000000" w:sz="4" w:space="0"/>
              <w:right w:val="single" w:color="000000" w:sz="12" w:space="0"/>
            </w:tcBorders>
            <w:vAlign w:val="center"/>
          </w:tcPr>
          <w:p w14:paraId="66CA51CE">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2</w:t>
            </w:r>
          </w:p>
        </w:tc>
      </w:tr>
      <w:tr w14:paraId="5AC2D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2" w:type="dxa"/>
            <w:tcBorders>
              <w:top w:val="single" w:color="000000" w:sz="4" w:space="0"/>
              <w:left w:val="single" w:color="000000" w:sz="12" w:space="0"/>
              <w:bottom w:val="single" w:color="000000" w:sz="4" w:space="0"/>
              <w:right w:val="single" w:color="000000" w:sz="4" w:space="0"/>
            </w:tcBorders>
            <w:vAlign w:val="center"/>
          </w:tcPr>
          <w:p w14:paraId="07F1DD0D">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lang w:val="en-US" w:eastAsia="zh-CN"/>
                <w14:textFill>
                  <w14:solidFill>
                    <w14:schemeClr w14:val="tx1"/>
                  </w14:solidFill>
                </w14:textFill>
              </w:rPr>
              <w:t>&gt;</w:t>
            </w:r>
            <w:r>
              <w:rPr>
                <w:rFonts w:hint="eastAsia" w:ascii="Times New Roman" w:hAnsi="宋体"/>
                <w:color w:val="000000" w:themeColor="text1"/>
                <w:sz w:val="18"/>
                <w:szCs w:val="18"/>
                <w14:textFill>
                  <w14:solidFill>
                    <w14:schemeClr w14:val="tx1"/>
                  </w14:solidFill>
                </w14:textFill>
              </w:rPr>
              <w:t>1.00~5.00</w:t>
            </w:r>
          </w:p>
        </w:tc>
        <w:tc>
          <w:tcPr>
            <w:tcW w:w="1712" w:type="dxa"/>
            <w:tcBorders>
              <w:top w:val="single" w:color="000000" w:sz="4" w:space="0"/>
              <w:left w:val="single" w:color="000000" w:sz="4" w:space="0"/>
              <w:bottom w:val="single" w:color="000000" w:sz="4" w:space="0"/>
              <w:right w:val="single" w:color="000000" w:sz="4" w:space="0"/>
            </w:tcBorders>
            <w:vAlign w:val="center"/>
          </w:tcPr>
          <w:p w14:paraId="109B3F60">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0.1</w:t>
            </w:r>
          </w:p>
        </w:tc>
        <w:tc>
          <w:tcPr>
            <w:tcW w:w="1712" w:type="dxa"/>
            <w:tcBorders>
              <w:top w:val="single" w:color="000000" w:sz="4" w:space="0"/>
              <w:left w:val="single" w:color="000000" w:sz="4" w:space="0"/>
              <w:bottom w:val="single" w:color="000000" w:sz="4" w:space="0"/>
              <w:right w:val="single" w:color="000000" w:sz="4" w:space="0"/>
            </w:tcBorders>
            <w:vAlign w:val="center"/>
          </w:tcPr>
          <w:p w14:paraId="618D5D39">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250</w:t>
            </w:r>
          </w:p>
        </w:tc>
        <w:tc>
          <w:tcPr>
            <w:tcW w:w="1712" w:type="dxa"/>
            <w:tcBorders>
              <w:top w:val="single" w:color="000000" w:sz="4" w:space="0"/>
              <w:left w:val="single" w:color="000000" w:sz="4" w:space="0"/>
              <w:bottom w:val="single" w:color="000000" w:sz="4" w:space="0"/>
              <w:right w:val="single" w:color="000000" w:sz="4" w:space="0"/>
            </w:tcBorders>
            <w:vAlign w:val="center"/>
          </w:tcPr>
          <w:p w14:paraId="238E7C65">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10.00</w:t>
            </w:r>
          </w:p>
        </w:tc>
        <w:tc>
          <w:tcPr>
            <w:tcW w:w="1713" w:type="dxa"/>
            <w:tcBorders>
              <w:top w:val="single" w:color="000000" w:sz="4" w:space="0"/>
              <w:left w:val="single" w:color="000000" w:sz="4" w:space="0"/>
              <w:bottom w:val="single" w:color="000000" w:sz="4" w:space="0"/>
              <w:right w:val="single" w:color="000000" w:sz="12" w:space="0"/>
            </w:tcBorders>
            <w:vAlign w:val="center"/>
          </w:tcPr>
          <w:p w14:paraId="32184D5D">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2</w:t>
            </w:r>
          </w:p>
        </w:tc>
      </w:tr>
      <w:tr w14:paraId="4E28B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2" w:type="dxa"/>
            <w:tcBorders>
              <w:top w:val="single" w:color="000000" w:sz="4" w:space="0"/>
              <w:left w:val="single" w:color="000000" w:sz="12" w:space="0"/>
              <w:bottom w:val="single" w:color="000000" w:sz="4" w:space="0"/>
              <w:right w:val="single" w:color="000000" w:sz="4" w:space="0"/>
            </w:tcBorders>
            <w:vAlign w:val="center"/>
          </w:tcPr>
          <w:p w14:paraId="47943C96">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lang w:val="en-US" w:eastAsia="zh-CN"/>
                <w14:textFill>
                  <w14:solidFill>
                    <w14:schemeClr w14:val="tx1"/>
                  </w14:solidFill>
                </w14:textFill>
              </w:rPr>
              <w:t>&gt;</w:t>
            </w:r>
            <w:r>
              <w:rPr>
                <w:rFonts w:hint="eastAsia" w:ascii="Times New Roman" w:hAnsi="宋体"/>
                <w:color w:val="000000" w:themeColor="text1"/>
                <w:sz w:val="18"/>
                <w:szCs w:val="18"/>
                <w14:textFill>
                  <w14:solidFill>
                    <w14:schemeClr w14:val="tx1"/>
                  </w14:solidFill>
                </w14:textFill>
              </w:rPr>
              <w:t>5.00~10.00</w:t>
            </w:r>
          </w:p>
        </w:tc>
        <w:tc>
          <w:tcPr>
            <w:tcW w:w="1712" w:type="dxa"/>
            <w:tcBorders>
              <w:top w:val="single" w:color="000000" w:sz="4" w:space="0"/>
              <w:left w:val="single" w:color="000000" w:sz="4" w:space="0"/>
              <w:bottom w:val="single" w:color="000000" w:sz="4" w:space="0"/>
              <w:right w:val="single" w:color="000000" w:sz="4" w:space="0"/>
            </w:tcBorders>
            <w:vAlign w:val="center"/>
          </w:tcPr>
          <w:p w14:paraId="48C26960">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0.1</w:t>
            </w:r>
          </w:p>
        </w:tc>
        <w:tc>
          <w:tcPr>
            <w:tcW w:w="1712" w:type="dxa"/>
            <w:tcBorders>
              <w:top w:val="single" w:color="000000" w:sz="4" w:space="0"/>
              <w:left w:val="single" w:color="000000" w:sz="4" w:space="0"/>
              <w:bottom w:val="single" w:color="000000" w:sz="4" w:space="0"/>
              <w:right w:val="single" w:color="000000" w:sz="4" w:space="0"/>
            </w:tcBorders>
            <w:vAlign w:val="center"/>
          </w:tcPr>
          <w:p w14:paraId="0074C17D">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250</w:t>
            </w:r>
          </w:p>
        </w:tc>
        <w:tc>
          <w:tcPr>
            <w:tcW w:w="1712" w:type="dxa"/>
            <w:tcBorders>
              <w:top w:val="single" w:color="000000" w:sz="4" w:space="0"/>
              <w:left w:val="single" w:color="000000" w:sz="4" w:space="0"/>
              <w:bottom w:val="single" w:color="000000" w:sz="4" w:space="0"/>
              <w:right w:val="single" w:color="000000" w:sz="4" w:space="0"/>
            </w:tcBorders>
            <w:vAlign w:val="center"/>
          </w:tcPr>
          <w:p w14:paraId="5ACE7395">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5.00</w:t>
            </w:r>
          </w:p>
        </w:tc>
        <w:tc>
          <w:tcPr>
            <w:tcW w:w="1713" w:type="dxa"/>
            <w:tcBorders>
              <w:top w:val="single" w:color="000000" w:sz="4" w:space="0"/>
              <w:left w:val="single" w:color="000000" w:sz="4" w:space="0"/>
              <w:bottom w:val="single" w:color="000000" w:sz="4" w:space="0"/>
              <w:right w:val="single" w:color="000000" w:sz="12" w:space="0"/>
            </w:tcBorders>
            <w:vAlign w:val="center"/>
          </w:tcPr>
          <w:p w14:paraId="444CD348">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1</w:t>
            </w:r>
          </w:p>
        </w:tc>
      </w:tr>
      <w:tr w14:paraId="781FA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2" w:type="dxa"/>
            <w:tcBorders>
              <w:top w:val="single" w:color="000000" w:sz="4" w:space="0"/>
              <w:left w:val="single" w:color="000000" w:sz="12" w:space="0"/>
              <w:bottom w:val="single" w:color="000000" w:sz="12" w:space="0"/>
              <w:right w:val="single" w:color="000000" w:sz="4" w:space="0"/>
            </w:tcBorders>
            <w:vAlign w:val="center"/>
          </w:tcPr>
          <w:p w14:paraId="14C6AFEB">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lang w:val="en-US" w:eastAsia="zh-CN"/>
                <w14:textFill>
                  <w14:solidFill>
                    <w14:schemeClr w14:val="tx1"/>
                  </w14:solidFill>
                </w14:textFill>
              </w:rPr>
              <w:t>&gt;</w:t>
            </w:r>
            <w:r>
              <w:rPr>
                <w:rFonts w:hint="eastAsia" w:ascii="Times New Roman" w:hAnsi="宋体"/>
                <w:color w:val="000000" w:themeColor="text1"/>
                <w:sz w:val="18"/>
                <w:szCs w:val="18"/>
                <w14:textFill>
                  <w14:solidFill>
                    <w14:schemeClr w14:val="tx1"/>
                  </w14:solidFill>
                </w14:textFill>
              </w:rPr>
              <w:t>10.00~30.00</w:t>
            </w:r>
          </w:p>
        </w:tc>
        <w:tc>
          <w:tcPr>
            <w:tcW w:w="1712" w:type="dxa"/>
            <w:tcBorders>
              <w:top w:val="single" w:color="000000" w:sz="4" w:space="0"/>
              <w:left w:val="single" w:color="000000" w:sz="4" w:space="0"/>
              <w:bottom w:val="single" w:color="000000" w:sz="12" w:space="0"/>
              <w:right w:val="single" w:color="000000" w:sz="4" w:space="0"/>
            </w:tcBorders>
            <w:vAlign w:val="center"/>
          </w:tcPr>
          <w:p w14:paraId="4528ABAF">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0.1</w:t>
            </w:r>
          </w:p>
        </w:tc>
        <w:tc>
          <w:tcPr>
            <w:tcW w:w="1712" w:type="dxa"/>
            <w:tcBorders>
              <w:top w:val="single" w:color="000000" w:sz="4" w:space="0"/>
              <w:left w:val="single" w:color="000000" w:sz="4" w:space="0"/>
              <w:bottom w:val="single" w:color="000000" w:sz="12" w:space="0"/>
              <w:right w:val="single" w:color="000000" w:sz="4" w:space="0"/>
            </w:tcBorders>
            <w:vAlign w:val="center"/>
          </w:tcPr>
          <w:p w14:paraId="0BBFABED">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250</w:t>
            </w:r>
          </w:p>
        </w:tc>
        <w:tc>
          <w:tcPr>
            <w:tcW w:w="1712" w:type="dxa"/>
            <w:tcBorders>
              <w:top w:val="single" w:color="000000" w:sz="4" w:space="0"/>
              <w:left w:val="single" w:color="000000" w:sz="4" w:space="0"/>
              <w:bottom w:val="single" w:color="000000" w:sz="12" w:space="0"/>
              <w:right w:val="single" w:color="000000" w:sz="4" w:space="0"/>
            </w:tcBorders>
            <w:vAlign w:val="center"/>
          </w:tcPr>
          <w:p w14:paraId="329379CB">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2.00</w:t>
            </w:r>
          </w:p>
        </w:tc>
        <w:tc>
          <w:tcPr>
            <w:tcW w:w="1713" w:type="dxa"/>
            <w:tcBorders>
              <w:top w:val="single" w:color="000000" w:sz="4" w:space="0"/>
              <w:left w:val="single" w:color="000000" w:sz="4" w:space="0"/>
              <w:bottom w:val="single" w:color="000000" w:sz="12" w:space="0"/>
              <w:right w:val="single" w:color="000000" w:sz="12" w:space="0"/>
            </w:tcBorders>
            <w:vAlign w:val="center"/>
          </w:tcPr>
          <w:p w14:paraId="75E37F2B">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1</w:t>
            </w:r>
          </w:p>
        </w:tc>
      </w:tr>
    </w:tbl>
    <w:p w14:paraId="47E915B1">
      <w:pPr>
        <w:pStyle w:val="81"/>
        <w:numPr>
          <w:ilvl w:val="0"/>
          <w:numId w:val="0"/>
        </w:numPr>
        <w:spacing w:before="156" w:beforeLines="50" w:after="156" w:afterLines="50"/>
        <w:rPr>
          <w:rFonts w:hint="default" w:hAnsi="黑体" w:eastAsia="黑体"/>
          <w:lang w:val="en-US" w:eastAsia="zh-CN"/>
        </w:rPr>
      </w:pPr>
      <w:r>
        <w:rPr>
          <w:rFonts w:hint="eastAsia" w:hAnsi="黑体"/>
          <w:kern w:val="2"/>
        </w:rPr>
        <w:t>4</w:t>
      </w:r>
      <w:r>
        <w:rPr>
          <w:rFonts w:hAnsi="黑体"/>
          <w:kern w:val="2"/>
        </w:rPr>
        <w:t xml:space="preserve">.5.2 </w:t>
      </w:r>
      <w:r>
        <w:rPr>
          <w:rFonts w:hint="eastAsia" w:hAnsi="黑体"/>
          <w:kern w:val="2"/>
          <w:lang w:val="en-US" w:eastAsia="zh-CN"/>
        </w:rPr>
        <w:t>测定次数</w:t>
      </w:r>
    </w:p>
    <w:p w14:paraId="396E14DC">
      <w:pPr>
        <w:pStyle w:val="21"/>
        <w:adjustRightInd w:val="0"/>
        <w:snapToGrid w:val="0"/>
        <w:ind w:firstLine="420" w:firstLineChars="200"/>
        <w:rPr>
          <w:rFonts w:ascii="Times New Roman" w:hAnsi="Times New Roman"/>
          <w:szCs w:val="22"/>
        </w:rPr>
      </w:pPr>
      <w:r>
        <w:rPr>
          <w:rFonts w:hint="eastAsia" w:ascii="Times New Roman" w:hAnsi="Times New Roman"/>
          <w:szCs w:val="22"/>
        </w:rPr>
        <w:t>独立进行两次测定。</w:t>
      </w:r>
    </w:p>
    <w:p w14:paraId="4CDF8FF6">
      <w:pPr>
        <w:pStyle w:val="81"/>
        <w:numPr>
          <w:ilvl w:val="0"/>
          <w:numId w:val="0"/>
        </w:numPr>
        <w:spacing w:before="156" w:beforeLines="50" w:after="156" w:afterLines="50"/>
        <w:rPr>
          <w:rFonts w:ascii="Times New Roman"/>
          <w:color w:val="000000"/>
          <w:kern w:val="2"/>
        </w:rPr>
      </w:pPr>
      <w:r>
        <w:rPr>
          <w:rFonts w:hint="eastAsia" w:hAnsi="黑体"/>
          <w:color w:val="000000"/>
          <w:kern w:val="2"/>
        </w:rPr>
        <w:t>4.5</w:t>
      </w:r>
      <w:r>
        <w:rPr>
          <w:rFonts w:hAnsi="黑体"/>
          <w:color w:val="000000"/>
          <w:kern w:val="2"/>
        </w:rPr>
        <w:t>.</w:t>
      </w:r>
      <w:r>
        <w:rPr>
          <w:rFonts w:hint="eastAsia" w:hAnsi="黑体"/>
          <w:color w:val="000000"/>
          <w:kern w:val="2"/>
        </w:rPr>
        <w:t>3</w:t>
      </w:r>
      <w:r>
        <w:rPr>
          <w:rFonts w:hAnsi="黑体"/>
          <w:color w:val="000000"/>
          <w:kern w:val="2"/>
        </w:rPr>
        <w:t xml:space="preserve"> </w:t>
      </w:r>
      <w:r>
        <w:rPr>
          <w:rFonts w:hint="eastAsia" w:ascii="Times New Roman"/>
          <w:color w:val="000000"/>
          <w:kern w:val="2"/>
        </w:rPr>
        <w:t>空白试验</w:t>
      </w:r>
    </w:p>
    <w:p w14:paraId="3770CBEE">
      <w:pPr>
        <w:pStyle w:val="21"/>
        <w:adjustRightInd w:val="0"/>
        <w:snapToGrid w:val="0"/>
        <w:ind w:firstLine="420" w:firstLineChars="200"/>
        <w:rPr>
          <w:rFonts w:ascii="Times New Roman" w:hAnsi="Times New Roman"/>
          <w:szCs w:val="22"/>
        </w:rPr>
      </w:pPr>
      <w:r>
        <w:rPr>
          <w:rFonts w:ascii="Times New Roman" w:hAnsi="Times New Roman"/>
          <w:szCs w:val="22"/>
        </w:rPr>
        <w:t>随同试料做空白试验。</w:t>
      </w:r>
    </w:p>
    <w:p w14:paraId="126CD1F3">
      <w:pPr>
        <w:pStyle w:val="81"/>
        <w:numPr>
          <w:ilvl w:val="0"/>
          <w:numId w:val="0"/>
        </w:numPr>
        <w:spacing w:before="156" w:beforeLines="50" w:after="156" w:afterLines="50"/>
        <w:rPr>
          <w:rFonts w:ascii="Times New Roman"/>
          <w:color w:val="000000"/>
          <w:kern w:val="2"/>
        </w:rPr>
      </w:pPr>
      <w:r>
        <w:rPr>
          <w:rFonts w:hint="eastAsia" w:hAnsi="黑体"/>
          <w:color w:val="000000"/>
          <w:kern w:val="2"/>
        </w:rPr>
        <w:t>4.5</w:t>
      </w:r>
      <w:r>
        <w:rPr>
          <w:rFonts w:hAnsi="黑体"/>
          <w:color w:val="000000"/>
          <w:kern w:val="2"/>
        </w:rPr>
        <w:t xml:space="preserve">.4 </w:t>
      </w:r>
      <w:r>
        <w:rPr>
          <w:rFonts w:hint="eastAsia" w:ascii="Times New Roman"/>
          <w:color w:val="000000"/>
          <w:kern w:val="2"/>
        </w:rPr>
        <w:t>分析试液的制备</w:t>
      </w:r>
    </w:p>
    <w:p w14:paraId="00EB5018">
      <w:pPr>
        <w:ind w:firstLine="420" w:firstLineChars="200"/>
        <w:rPr>
          <w:szCs w:val="21"/>
        </w:rPr>
      </w:pPr>
      <w:r>
        <w:rPr>
          <w:szCs w:val="21"/>
        </w:rPr>
        <w:t>将试料（</w:t>
      </w:r>
      <w:r>
        <w:rPr>
          <w:rFonts w:hint="eastAsia"/>
          <w:szCs w:val="21"/>
        </w:rPr>
        <w:t>4.5.1</w:t>
      </w:r>
      <w:r>
        <w:rPr>
          <w:szCs w:val="21"/>
        </w:rPr>
        <w:t>）置于盛有3</w:t>
      </w:r>
      <w:r>
        <w:rPr>
          <w:rFonts w:hint="eastAsia"/>
          <w:szCs w:val="21"/>
          <w:lang w:val="en-US" w:eastAsia="zh-CN"/>
        </w:rPr>
        <w:t>.0</w:t>
      </w:r>
      <w:r>
        <w:rPr>
          <w:szCs w:val="21"/>
        </w:rPr>
        <w:t xml:space="preserve"> g预先烘去水分的氢氧化钠（</w:t>
      </w:r>
      <w:r>
        <w:rPr>
          <w:rFonts w:hint="eastAsia"/>
          <w:szCs w:val="21"/>
        </w:rPr>
        <w:t>4.2.</w:t>
      </w:r>
      <w:r>
        <w:rPr>
          <w:rFonts w:hint="eastAsia"/>
          <w:szCs w:val="21"/>
          <w:lang w:val="en-US" w:eastAsia="zh-CN"/>
        </w:rPr>
        <w:t>1</w:t>
      </w:r>
      <w:r>
        <w:rPr>
          <w:szCs w:val="21"/>
        </w:rPr>
        <w:t>）的刚玉坩埚（</w:t>
      </w:r>
      <w:r>
        <w:rPr>
          <w:rFonts w:hint="eastAsia"/>
          <w:szCs w:val="21"/>
        </w:rPr>
        <w:t>4.3.5</w:t>
      </w:r>
      <w:r>
        <w:rPr>
          <w:szCs w:val="21"/>
        </w:rPr>
        <w:t>）中，</w:t>
      </w:r>
      <w:r>
        <w:rPr>
          <w:rFonts w:hint="eastAsia"/>
          <w:szCs w:val="21"/>
          <w:lang w:val="en-US" w:eastAsia="zh-CN"/>
        </w:rPr>
        <w:t>覆盖</w:t>
      </w:r>
      <w:r>
        <w:rPr>
          <w:szCs w:val="21"/>
        </w:rPr>
        <w:t>1.5 g过氧化钠（</w:t>
      </w:r>
      <w:r>
        <w:rPr>
          <w:rFonts w:hint="eastAsia"/>
          <w:szCs w:val="21"/>
        </w:rPr>
        <w:t>4.2</w:t>
      </w:r>
      <w:r>
        <w:rPr>
          <w:szCs w:val="21"/>
        </w:rPr>
        <w:t>.</w:t>
      </w:r>
      <w:r>
        <w:rPr>
          <w:rFonts w:hint="eastAsia"/>
          <w:szCs w:val="21"/>
          <w:lang w:val="en-US" w:eastAsia="zh-CN"/>
        </w:rPr>
        <w:t>2</w:t>
      </w:r>
      <w:r>
        <w:rPr>
          <w:szCs w:val="21"/>
        </w:rPr>
        <w:t>），</w:t>
      </w:r>
      <w:r>
        <w:rPr>
          <w:rFonts w:hint="eastAsia"/>
          <w:szCs w:val="21"/>
          <w:lang w:val="en-US" w:eastAsia="zh-CN"/>
        </w:rPr>
        <w:t>于电炉上</w:t>
      </w:r>
      <w:r>
        <w:rPr>
          <w:szCs w:val="21"/>
        </w:rPr>
        <w:t>加热</w:t>
      </w:r>
      <w:r>
        <w:rPr>
          <w:rFonts w:hint="eastAsia"/>
          <w:szCs w:val="21"/>
          <w:lang w:val="en-US" w:eastAsia="zh-CN"/>
        </w:rPr>
        <w:t>烘</w:t>
      </w:r>
      <w:r>
        <w:rPr>
          <w:szCs w:val="21"/>
        </w:rPr>
        <w:t>去水分，摇动坩埚使试样散开，盖好坩埚盖，置于750℃马弗炉（</w:t>
      </w:r>
      <w:r>
        <w:rPr>
          <w:rFonts w:hint="eastAsia"/>
          <w:szCs w:val="21"/>
        </w:rPr>
        <w:t>4.3</w:t>
      </w:r>
      <w:r>
        <w:rPr>
          <w:szCs w:val="21"/>
        </w:rPr>
        <w:t>.3）中熔融至缨红并保持10min，中间摇动1次，取出冷却。</w:t>
      </w:r>
    </w:p>
    <w:p w14:paraId="03DB0068">
      <w:pPr>
        <w:ind w:firstLine="420" w:firstLineChars="200"/>
        <w:rPr>
          <w:szCs w:val="21"/>
        </w:rPr>
      </w:pPr>
      <w:r>
        <w:rPr>
          <w:szCs w:val="21"/>
        </w:rPr>
        <w:t>将冷却后的刚玉坩埚置于预先盛有1</w:t>
      </w:r>
      <w:r>
        <w:rPr>
          <w:rFonts w:hint="eastAsia"/>
          <w:szCs w:val="21"/>
          <w:lang w:val="en-US" w:eastAsia="zh-CN"/>
        </w:rPr>
        <w:t>0</w:t>
      </w:r>
      <w:r>
        <w:rPr>
          <w:szCs w:val="21"/>
        </w:rPr>
        <w:t>0 mL热水的烧杯中浸取</w:t>
      </w:r>
      <w:r>
        <w:rPr>
          <w:rFonts w:hint="eastAsia"/>
          <w:szCs w:val="21"/>
          <w:lang w:val="en-US" w:eastAsia="zh-CN"/>
        </w:rPr>
        <w:t>熔融物</w:t>
      </w:r>
      <w:r>
        <w:rPr>
          <w:szCs w:val="21"/>
        </w:rPr>
        <w:t>，待剧烈反应后，用水冲洗坩埚及外壁，加入2 mL硝酸（</w:t>
      </w:r>
      <w:r>
        <w:rPr>
          <w:rFonts w:hint="eastAsia"/>
          <w:szCs w:val="21"/>
        </w:rPr>
        <w:t>4.2</w:t>
      </w:r>
      <w:r>
        <w:rPr>
          <w:szCs w:val="21"/>
        </w:rPr>
        <w:t>.</w:t>
      </w:r>
      <w:r>
        <w:rPr>
          <w:rFonts w:hint="eastAsia"/>
          <w:szCs w:val="21"/>
          <w:lang w:val="en-US" w:eastAsia="zh-CN"/>
        </w:rPr>
        <w:t>6</w:t>
      </w:r>
      <w:r>
        <w:rPr>
          <w:szCs w:val="21"/>
        </w:rPr>
        <w:t>）洗涤坩埚，用水洗净取出坩埚及坩埚盖，控制体积约150 mL。加入30 mL硝酸（</w:t>
      </w:r>
      <w:r>
        <w:rPr>
          <w:rFonts w:hint="eastAsia"/>
          <w:szCs w:val="21"/>
        </w:rPr>
        <w:t>4.2</w:t>
      </w:r>
      <w:r>
        <w:rPr>
          <w:szCs w:val="21"/>
        </w:rPr>
        <w:t>.</w:t>
      </w:r>
      <w:r>
        <w:rPr>
          <w:rFonts w:hint="eastAsia"/>
          <w:szCs w:val="21"/>
          <w:lang w:val="en-US" w:eastAsia="zh-CN"/>
        </w:rPr>
        <w:t>5</w:t>
      </w:r>
      <w:r>
        <w:rPr>
          <w:szCs w:val="21"/>
        </w:rPr>
        <w:t>），1 mL过氧化氢（</w:t>
      </w:r>
      <w:r>
        <w:rPr>
          <w:rFonts w:hint="eastAsia"/>
          <w:szCs w:val="21"/>
        </w:rPr>
        <w:t>4.2</w:t>
      </w:r>
      <w:r>
        <w:rPr>
          <w:szCs w:val="21"/>
        </w:rPr>
        <w:t>.</w:t>
      </w:r>
      <w:r>
        <w:rPr>
          <w:rFonts w:hint="eastAsia"/>
          <w:szCs w:val="21"/>
          <w:lang w:val="en-US" w:eastAsia="zh-CN"/>
        </w:rPr>
        <w:t>4</w:t>
      </w:r>
      <w:r>
        <w:rPr>
          <w:szCs w:val="21"/>
        </w:rPr>
        <w:t>），加热煮沸使溶液清亮，冷却后移入250 mL容量瓶中，用水稀释至刻度，混匀，待测。</w:t>
      </w:r>
    </w:p>
    <w:p w14:paraId="54A30C5A">
      <w:pPr>
        <w:spacing w:before="156" w:beforeLines="50" w:after="156" w:afterLines="50"/>
        <w:rPr>
          <w:szCs w:val="21"/>
        </w:rPr>
      </w:pPr>
      <w:r>
        <w:rPr>
          <w:rFonts w:hint="eastAsia" w:ascii="黑体" w:hAnsi="黑体" w:eastAsia="黑体" w:cs="黑体"/>
          <w:szCs w:val="21"/>
        </w:rPr>
        <w:t>4.5.5 测定</w:t>
      </w:r>
    </w:p>
    <w:p w14:paraId="1F7AAE34">
      <w:pPr>
        <w:ind w:firstLine="420" w:firstLineChars="200"/>
        <w:rPr>
          <w:szCs w:val="21"/>
        </w:rPr>
      </w:pPr>
      <w:r>
        <w:rPr>
          <w:rFonts w:hint="eastAsia"/>
          <w:szCs w:val="21"/>
        </w:rPr>
        <w:t>按</w:t>
      </w:r>
      <w:r>
        <w:rPr>
          <w:szCs w:val="21"/>
        </w:rPr>
        <w:t>表1移取试液（</w:t>
      </w:r>
      <w:r>
        <w:rPr>
          <w:rFonts w:hint="eastAsia"/>
          <w:szCs w:val="21"/>
        </w:rPr>
        <w:t>4.5.4</w:t>
      </w:r>
      <w:r>
        <w:rPr>
          <w:szCs w:val="21"/>
        </w:rPr>
        <w:t>）于100 mL容量瓶中，</w:t>
      </w:r>
      <w:r>
        <w:rPr>
          <w:rFonts w:hint="eastAsia"/>
          <w:szCs w:val="21"/>
          <w:lang w:val="en-US" w:eastAsia="zh-CN"/>
        </w:rPr>
        <w:t>加入1</w:t>
      </w:r>
      <w:r>
        <w:rPr>
          <w:szCs w:val="21"/>
        </w:rPr>
        <w:t>滴对硝基酚指示剂（</w:t>
      </w:r>
      <w:r>
        <w:rPr>
          <w:rFonts w:hint="eastAsia"/>
          <w:szCs w:val="21"/>
        </w:rPr>
        <w:t>4.2</w:t>
      </w:r>
      <w:r>
        <w:rPr>
          <w:szCs w:val="21"/>
        </w:rPr>
        <w:t>.1</w:t>
      </w:r>
      <w:r>
        <w:rPr>
          <w:rFonts w:hint="eastAsia"/>
          <w:szCs w:val="21"/>
          <w:lang w:val="en-US" w:eastAsia="zh-CN"/>
        </w:rPr>
        <w:t>1</w:t>
      </w:r>
      <w:r>
        <w:rPr>
          <w:szCs w:val="21"/>
        </w:rPr>
        <w:t>），用氢氧化钠（</w:t>
      </w:r>
      <w:r>
        <w:rPr>
          <w:rFonts w:hint="eastAsia"/>
          <w:szCs w:val="21"/>
        </w:rPr>
        <w:t>4.2</w:t>
      </w:r>
      <w:r>
        <w:rPr>
          <w:szCs w:val="21"/>
        </w:rPr>
        <w:t>.</w:t>
      </w:r>
      <w:r>
        <w:rPr>
          <w:rFonts w:hint="eastAsia"/>
          <w:szCs w:val="21"/>
          <w:lang w:val="en-US" w:eastAsia="zh-CN"/>
        </w:rPr>
        <w:t>10</w:t>
      </w:r>
      <w:r>
        <w:rPr>
          <w:szCs w:val="21"/>
        </w:rPr>
        <w:t>）调溶液至出现黄色，用硝酸（</w:t>
      </w:r>
      <w:r>
        <w:rPr>
          <w:rFonts w:hint="eastAsia"/>
          <w:szCs w:val="21"/>
        </w:rPr>
        <w:t>4.2</w:t>
      </w:r>
      <w:r>
        <w:rPr>
          <w:szCs w:val="21"/>
        </w:rPr>
        <w:t>.</w:t>
      </w:r>
      <w:r>
        <w:rPr>
          <w:rFonts w:hint="eastAsia"/>
          <w:szCs w:val="21"/>
          <w:lang w:val="en-US" w:eastAsia="zh-CN"/>
        </w:rPr>
        <w:t>7</w:t>
      </w:r>
      <w:r>
        <w:rPr>
          <w:szCs w:val="21"/>
        </w:rPr>
        <w:t>）调溶液至黄色刚消失，用水稀释至近30mL，加入10mL硝酸—硝酸铋混合液（</w:t>
      </w:r>
      <w:r>
        <w:rPr>
          <w:rFonts w:hint="eastAsia"/>
          <w:szCs w:val="21"/>
        </w:rPr>
        <w:t>4.2</w:t>
      </w:r>
      <w:r>
        <w:rPr>
          <w:szCs w:val="21"/>
        </w:rPr>
        <w:t>.</w:t>
      </w:r>
      <w:r>
        <w:rPr>
          <w:rFonts w:hint="eastAsia"/>
          <w:szCs w:val="21"/>
          <w:lang w:val="en-US" w:eastAsia="zh-CN"/>
        </w:rPr>
        <w:t>8</w:t>
      </w:r>
      <w:r>
        <w:rPr>
          <w:szCs w:val="21"/>
        </w:rPr>
        <w:t>），混匀，加入2mL抗坏血酸（</w:t>
      </w:r>
      <w:r>
        <w:rPr>
          <w:rFonts w:hint="eastAsia"/>
          <w:szCs w:val="21"/>
        </w:rPr>
        <w:t>4.2</w:t>
      </w:r>
      <w:r>
        <w:rPr>
          <w:szCs w:val="21"/>
        </w:rPr>
        <w:t>.</w:t>
      </w:r>
      <w:r>
        <w:rPr>
          <w:rFonts w:hint="eastAsia"/>
          <w:szCs w:val="21"/>
          <w:lang w:val="en-US" w:eastAsia="zh-CN"/>
        </w:rPr>
        <w:t>9</w:t>
      </w:r>
      <w:r>
        <w:rPr>
          <w:szCs w:val="21"/>
        </w:rPr>
        <w:t>），混匀，加</w:t>
      </w:r>
      <w:r>
        <w:rPr>
          <w:rFonts w:hint="eastAsia"/>
          <w:szCs w:val="21"/>
          <w:lang w:val="en-US" w:eastAsia="zh-CN"/>
        </w:rPr>
        <w:t>入</w:t>
      </w:r>
      <w:r>
        <w:rPr>
          <w:szCs w:val="21"/>
        </w:rPr>
        <w:t>10mL乙醇（</w:t>
      </w:r>
      <w:r>
        <w:rPr>
          <w:rFonts w:hint="eastAsia"/>
          <w:szCs w:val="21"/>
        </w:rPr>
        <w:t>4.2</w:t>
      </w:r>
      <w:r>
        <w:rPr>
          <w:szCs w:val="21"/>
        </w:rPr>
        <w:t>.</w:t>
      </w:r>
      <w:r>
        <w:rPr>
          <w:rFonts w:hint="eastAsia"/>
          <w:szCs w:val="21"/>
          <w:lang w:val="en-US" w:eastAsia="zh-CN"/>
        </w:rPr>
        <w:t>3</w:t>
      </w:r>
      <w:r>
        <w:rPr>
          <w:szCs w:val="21"/>
        </w:rPr>
        <w:t>），混匀，边摇边慢慢加入10mL钼酸铵（</w:t>
      </w:r>
      <w:r>
        <w:rPr>
          <w:rFonts w:hint="eastAsia"/>
          <w:szCs w:val="21"/>
        </w:rPr>
        <w:t>4.2</w:t>
      </w:r>
      <w:r>
        <w:rPr>
          <w:szCs w:val="21"/>
        </w:rPr>
        <w:t>.</w:t>
      </w:r>
      <w:r>
        <w:rPr>
          <w:rFonts w:hint="eastAsia"/>
          <w:szCs w:val="21"/>
          <w:lang w:val="en-US" w:eastAsia="zh-CN"/>
        </w:rPr>
        <w:t>12</w:t>
      </w:r>
      <w:r>
        <w:rPr>
          <w:szCs w:val="21"/>
        </w:rPr>
        <w:t>），立即边摇边稀释至刻度，混匀</w:t>
      </w:r>
      <w:r>
        <w:rPr>
          <w:rFonts w:hint="eastAsia"/>
          <w:szCs w:val="21"/>
          <w:lang w:eastAsia="zh-CN"/>
        </w:rPr>
        <w:t>。</w:t>
      </w:r>
      <w:r>
        <w:rPr>
          <w:rFonts w:hint="eastAsia"/>
          <w:szCs w:val="21"/>
          <w:lang w:val="en-US" w:eastAsia="zh-CN"/>
        </w:rPr>
        <w:t>以空白试液为参比，</w:t>
      </w:r>
      <w:r>
        <w:rPr>
          <w:szCs w:val="21"/>
        </w:rPr>
        <w:t>放置10min</w:t>
      </w:r>
      <w:r>
        <w:rPr>
          <w:rFonts w:hint="eastAsia"/>
          <w:szCs w:val="21"/>
        </w:rPr>
        <w:t>后</w:t>
      </w:r>
      <w:r>
        <w:rPr>
          <w:rFonts w:hint="eastAsia"/>
          <w:szCs w:val="21"/>
          <w:lang w:val="en-US" w:eastAsia="zh-CN"/>
        </w:rPr>
        <w:t>于分光光度计上波长700nm处，用相应比色皿（见表1）测其吸光度</w:t>
      </w:r>
      <w:r>
        <w:rPr>
          <w:rFonts w:hint="eastAsia"/>
          <w:szCs w:val="21"/>
        </w:rPr>
        <w:t>，</w:t>
      </w:r>
      <w:r>
        <w:rPr>
          <w:rFonts w:hint="eastAsia"/>
          <w:szCs w:val="21"/>
          <w:lang w:val="en-US" w:eastAsia="zh-CN"/>
        </w:rPr>
        <w:t>从工作曲线上查得五氧化二磷含量。</w:t>
      </w:r>
      <w:r>
        <w:rPr>
          <w:rFonts w:hint="eastAsia"/>
          <w:szCs w:val="21"/>
        </w:rPr>
        <w:t>须在4</w:t>
      </w:r>
      <w:r>
        <w:rPr>
          <w:szCs w:val="21"/>
        </w:rPr>
        <w:t>0</w:t>
      </w:r>
      <w:r>
        <w:rPr>
          <w:rFonts w:hint="eastAsia"/>
          <w:szCs w:val="21"/>
        </w:rPr>
        <w:t>min内完成比色</w:t>
      </w:r>
      <w:r>
        <w:rPr>
          <w:szCs w:val="21"/>
        </w:rPr>
        <w:t>。</w:t>
      </w:r>
    </w:p>
    <w:p w14:paraId="0FA968F5">
      <w:pPr>
        <w:pStyle w:val="47"/>
        <w:spacing w:before="156" w:beforeLines="50" w:after="156" w:afterLines="50"/>
        <w:ind w:firstLine="0" w:firstLineChars="0"/>
      </w:pPr>
      <w:r>
        <w:rPr>
          <w:rFonts w:hint="eastAsia" w:ascii="黑体" w:hAnsi="黑体" w:eastAsia="黑体" w:cs="黑体"/>
          <w:kern w:val="2"/>
          <w:szCs w:val="21"/>
        </w:rPr>
        <w:t>4.5.5</w:t>
      </w:r>
      <w:r>
        <w:rPr>
          <w:rFonts w:ascii="黑体" w:hAnsi="黑体" w:eastAsia="黑体" w:cs="黑体"/>
          <w:kern w:val="2"/>
          <w:szCs w:val="21"/>
        </w:rPr>
        <w:t xml:space="preserve"> </w:t>
      </w:r>
      <w:r>
        <w:rPr>
          <w:rFonts w:hint="eastAsia" w:ascii="黑体" w:hAnsi="黑体" w:eastAsia="黑体" w:cs="黑体"/>
          <w:szCs w:val="21"/>
        </w:rPr>
        <w:t>标准曲线的绘制</w:t>
      </w:r>
    </w:p>
    <w:p w14:paraId="49951C1B">
      <w:pPr>
        <w:rPr>
          <w:rFonts w:hint="eastAsia" w:eastAsia="宋体"/>
          <w:lang w:eastAsia="zh-CN"/>
        </w:rPr>
      </w:pPr>
      <w:r>
        <w:rPr>
          <w:rFonts w:hint="eastAsia" w:ascii="黑体" w:hAnsi="黑体" w:eastAsia="黑体" w:cs="黑体"/>
          <w:szCs w:val="21"/>
        </w:rPr>
        <w:t>4</w:t>
      </w:r>
      <w:r>
        <w:rPr>
          <w:rFonts w:ascii="黑体" w:hAnsi="黑体" w:eastAsia="黑体" w:cs="黑体"/>
          <w:szCs w:val="21"/>
        </w:rPr>
        <w:t>.5.</w:t>
      </w:r>
      <w:r>
        <w:rPr>
          <w:rFonts w:hint="eastAsia" w:ascii="黑体" w:hAnsi="黑体" w:eastAsia="黑体" w:cs="黑体"/>
          <w:szCs w:val="21"/>
        </w:rPr>
        <w:t>5</w:t>
      </w:r>
      <w:r>
        <w:rPr>
          <w:rFonts w:ascii="黑体" w:hAnsi="黑体" w:eastAsia="黑体" w:cs="黑体"/>
          <w:szCs w:val="21"/>
        </w:rPr>
        <w:t>.1</w:t>
      </w:r>
      <w:r>
        <w:t xml:space="preserve"> </w:t>
      </w:r>
      <w:r>
        <w:rPr>
          <w:rFonts w:hint="eastAsia"/>
          <w:lang w:val="en-US" w:eastAsia="zh-CN"/>
        </w:rPr>
        <w:t>工作曲线（2cm比色皿，五氧化二磷含量0.10%~5.00%），</w:t>
      </w:r>
      <w:r>
        <w:rPr>
          <w:rFonts w:hint="eastAsia"/>
        </w:rPr>
        <w:t>分别移取0、0.20、0.50、1.00、2.00、3.00、4.00 mL五氧化二磷标准溶液（4.2.</w:t>
      </w:r>
      <w:r>
        <w:rPr>
          <w:rFonts w:hint="eastAsia"/>
          <w:lang w:val="en-US" w:eastAsia="zh-CN"/>
        </w:rPr>
        <w:t>14</w:t>
      </w:r>
      <w:r>
        <w:rPr>
          <w:rFonts w:hint="eastAsia"/>
        </w:rPr>
        <w:t>），置于</w:t>
      </w:r>
      <w:r>
        <w:rPr>
          <w:rFonts w:hint="eastAsia"/>
          <w:lang w:val="en-US" w:eastAsia="zh-CN"/>
        </w:rPr>
        <w:t>一组</w:t>
      </w:r>
      <w:r>
        <w:rPr>
          <w:rFonts w:hint="eastAsia"/>
        </w:rPr>
        <w:t>100 mL容量瓶中，以下按分析步骤4.5.</w:t>
      </w:r>
      <w:r>
        <w:t>5</w:t>
      </w:r>
      <w:r>
        <w:rPr>
          <w:rFonts w:hint="eastAsia"/>
        </w:rPr>
        <w:t>进行</w:t>
      </w:r>
      <w:r>
        <w:rPr>
          <w:rFonts w:hint="eastAsia"/>
          <w:lang w:eastAsia="zh-CN"/>
        </w:rPr>
        <w:t>。</w:t>
      </w:r>
    </w:p>
    <w:p w14:paraId="036CE7DA">
      <w:r>
        <w:rPr>
          <w:rFonts w:hint="eastAsia" w:ascii="黑体" w:hAnsi="黑体" w:eastAsia="黑体" w:cs="黑体"/>
          <w:szCs w:val="21"/>
        </w:rPr>
        <w:t>4</w:t>
      </w:r>
      <w:r>
        <w:rPr>
          <w:rFonts w:ascii="黑体" w:hAnsi="黑体" w:eastAsia="黑体" w:cs="黑体"/>
          <w:szCs w:val="21"/>
        </w:rPr>
        <w:t>.5.</w:t>
      </w:r>
      <w:r>
        <w:rPr>
          <w:rFonts w:hint="eastAsia" w:ascii="黑体" w:hAnsi="黑体" w:eastAsia="黑体" w:cs="黑体"/>
          <w:szCs w:val="21"/>
        </w:rPr>
        <w:t>5</w:t>
      </w:r>
      <w:r>
        <w:rPr>
          <w:rFonts w:ascii="黑体" w:hAnsi="黑体" w:eastAsia="黑体" w:cs="黑体"/>
          <w:szCs w:val="21"/>
        </w:rPr>
        <w:t>.</w:t>
      </w:r>
      <w:r>
        <w:rPr>
          <w:rFonts w:hint="eastAsia" w:ascii="黑体" w:hAnsi="黑体" w:eastAsia="黑体" w:cs="黑体"/>
          <w:szCs w:val="21"/>
        </w:rPr>
        <w:t>2</w:t>
      </w:r>
      <w:r>
        <w:rPr>
          <w:rFonts w:ascii="黑体" w:hAnsi="黑体" w:eastAsia="黑体" w:cs="黑体"/>
          <w:szCs w:val="21"/>
        </w:rPr>
        <w:t xml:space="preserve"> </w:t>
      </w:r>
      <w:r>
        <w:rPr>
          <w:rFonts w:hint="eastAsia"/>
          <w:lang w:val="en-US" w:eastAsia="zh-CN"/>
        </w:rPr>
        <w:t>工作曲线（1cm比色皿，五氧化二磷含量</w:t>
      </w:r>
      <w:r>
        <w:rPr>
          <w:rFonts w:hint="default" w:ascii="Times New Roman" w:hAnsi="Times New Roman" w:cs="Times New Roman"/>
          <w:lang w:val="en-US" w:eastAsia="zh-CN"/>
        </w:rPr>
        <w:t>&gt;</w:t>
      </w:r>
      <w:r>
        <w:rPr>
          <w:rFonts w:hint="eastAsia"/>
          <w:lang w:val="en-US" w:eastAsia="zh-CN"/>
        </w:rPr>
        <w:t>5.00%~30.00%），</w:t>
      </w:r>
      <w:r>
        <w:rPr>
          <w:rFonts w:hint="eastAsia"/>
        </w:rPr>
        <w:t>分别移取0、1.00、2.00、4.00、5.00、6.00、7.00 mL五氧化二磷标准溶液（4.2.</w:t>
      </w:r>
      <w:r>
        <w:rPr>
          <w:rFonts w:hint="eastAsia"/>
          <w:lang w:val="en-US" w:eastAsia="zh-CN"/>
        </w:rPr>
        <w:t>14</w:t>
      </w:r>
      <w:r>
        <w:rPr>
          <w:rFonts w:hint="eastAsia"/>
        </w:rPr>
        <w:t>），置于</w:t>
      </w:r>
      <w:r>
        <w:rPr>
          <w:rFonts w:hint="eastAsia"/>
          <w:lang w:val="en-US" w:eastAsia="zh-CN"/>
        </w:rPr>
        <w:t>一组</w:t>
      </w:r>
      <w:r>
        <w:rPr>
          <w:rFonts w:hint="eastAsia"/>
        </w:rPr>
        <w:t>100 mL容量瓶中，以下按分析步骤</w:t>
      </w:r>
      <w:r>
        <w:t>4.5.5</w:t>
      </w:r>
      <w:r>
        <w:rPr>
          <w:rFonts w:hint="eastAsia"/>
        </w:rPr>
        <w:t>进行。</w:t>
      </w:r>
    </w:p>
    <w:p w14:paraId="653146A9">
      <w:pPr>
        <w:pStyle w:val="74"/>
        <w:numPr>
          <w:ilvl w:val="0"/>
          <w:numId w:val="0"/>
        </w:numPr>
        <w:spacing w:before="156" w:after="156"/>
        <w:rPr>
          <w:rFonts w:hAnsi="黑体" w:cs="黑体"/>
          <w:color w:val="000000"/>
        </w:rPr>
      </w:pPr>
      <w:r>
        <w:rPr>
          <w:rFonts w:hint="eastAsia" w:hAnsi="黑体" w:cs="黑体"/>
          <w:color w:val="000000"/>
        </w:rPr>
        <w:t>4.6</w:t>
      </w:r>
      <w:r>
        <w:rPr>
          <w:rFonts w:hAnsi="黑体" w:cs="黑体"/>
          <w:color w:val="000000"/>
        </w:rPr>
        <w:t xml:space="preserve"> </w:t>
      </w:r>
      <w:r>
        <w:rPr>
          <w:rFonts w:hint="eastAsia" w:hAnsi="黑体" w:cs="黑体"/>
          <w:color w:val="000000"/>
        </w:rPr>
        <w:t>试验数据处理</w:t>
      </w:r>
    </w:p>
    <w:p w14:paraId="648F5F93">
      <w:pPr>
        <w:pStyle w:val="47"/>
        <w:ind w:firstLine="420"/>
        <w:jc w:val="left"/>
        <w:rPr>
          <w:rFonts w:ascii="Times New Roman" w:hAnsi="宋体"/>
          <w:kern w:val="2"/>
          <w:szCs w:val="21"/>
        </w:rPr>
      </w:pPr>
      <w:r>
        <w:rPr>
          <w:rFonts w:hint="eastAsia" w:ascii="Times New Roman"/>
        </w:rPr>
        <w:t>五氧化二磷含量以质量分数</w:t>
      </w:r>
      <w:r>
        <w:rPr>
          <w:rFonts w:hint="eastAsia" w:hAnsi="宋体"/>
          <w:i/>
        </w:rPr>
        <w:t>w</w:t>
      </w:r>
      <w:r>
        <w:rPr>
          <w:rFonts w:hint="eastAsia" w:hAnsi="宋体"/>
        </w:rPr>
        <w:t>计，</w:t>
      </w:r>
      <w:r>
        <w:rPr>
          <w:rFonts w:hint="eastAsia" w:ascii="Times New Roman" w:hAnsi="宋体"/>
          <w:kern w:val="2"/>
          <w:szCs w:val="21"/>
        </w:rPr>
        <w:t>按公式（1</w:t>
      </w:r>
      <w:r>
        <w:rPr>
          <w:rFonts w:ascii="Times New Roman" w:hAnsi="宋体"/>
          <w:kern w:val="2"/>
          <w:szCs w:val="21"/>
        </w:rPr>
        <w:t>）计算：</w:t>
      </w:r>
    </w:p>
    <w:p w14:paraId="5271D6D7">
      <w:pPr>
        <w:jc w:val="center"/>
      </w:pPr>
      <w:r>
        <w:rPr>
          <w:position w:val="-24"/>
          <w:sz w:val="24"/>
        </w:rPr>
        <w:object>
          <v:shape id="_x0000_i1025" o:spt="75" type="#_x0000_t75" style="height:33.2pt;width:136.1pt;" o:ole="t" filled="f" o:preferrelative="t" stroked="f" coordsize="21600,21600">
            <v:path/>
            <v:fill on="f" focussize="0,0"/>
            <v:stroke on="f"/>
            <v:imagedata r:id="rId15" o:title=""/>
            <o:lock v:ext="edit" aspectratio="t"/>
            <w10:wrap type="none"/>
            <w10:anchorlock/>
          </v:shape>
          <o:OLEObject Type="Embed" ProgID="Equation.3" ShapeID="_x0000_i1025" DrawAspect="Content" ObjectID="_1468075725" r:id="rId14">
            <o:LockedField>false</o:LockedField>
          </o:OLEObject>
        </w:object>
      </w:r>
      <w:bookmarkStart w:id="3" w:name="_Hlk58576192"/>
      <w:r>
        <w:rPr>
          <w:color w:val="000000"/>
        </w:rPr>
        <w:t>………………………………（</w:t>
      </w:r>
      <w:r>
        <w:rPr>
          <w:rFonts w:hint="eastAsia"/>
          <w:color w:val="000000"/>
        </w:rPr>
        <w:t>1</w:t>
      </w:r>
      <w:r>
        <w:rPr>
          <w:color w:val="000000"/>
        </w:rPr>
        <w:t>）</w:t>
      </w:r>
    </w:p>
    <w:p w14:paraId="75C9A54B">
      <w:pPr>
        <w:pStyle w:val="47"/>
        <w:ind w:firstLine="420"/>
        <w:rPr>
          <w:rFonts w:ascii="Times New Roman"/>
        </w:rPr>
      </w:pPr>
      <w:r>
        <w:rPr>
          <w:rFonts w:ascii="Times New Roman"/>
        </w:rPr>
        <w:t>式中：</w:t>
      </w:r>
    </w:p>
    <w:p w14:paraId="423C1947">
      <w:pPr>
        <w:pStyle w:val="47"/>
        <w:ind w:firstLine="1050" w:firstLineChars="500"/>
        <w:rPr>
          <w:rFonts w:ascii="Times New Roman"/>
        </w:rPr>
      </w:pPr>
      <w:r>
        <w:rPr>
          <w:rFonts w:ascii="Times New Roman"/>
          <w:bCs/>
          <w:i/>
          <w:iCs/>
          <w:szCs w:val="21"/>
        </w:rPr>
        <w:t>m</w:t>
      </w:r>
      <w:r>
        <w:rPr>
          <w:rFonts w:ascii="Times New Roman"/>
          <w:bCs/>
          <w:i w:val="0"/>
          <w:iCs w:val="0"/>
          <w:szCs w:val="21"/>
          <w:vertAlign w:val="subscript"/>
        </w:rPr>
        <w:t>1</w:t>
      </w:r>
      <w:r>
        <w:rPr>
          <w:rFonts w:ascii="Times New Roman"/>
          <w:iCs/>
        </w:rPr>
        <w:t xml:space="preserve"> </w:t>
      </w:r>
      <w:r>
        <w:rPr>
          <w:rFonts w:ascii="Times New Roman"/>
        </w:rPr>
        <w:t xml:space="preserve">— </w:t>
      </w:r>
      <w:r>
        <w:rPr>
          <w:rFonts w:hint="eastAsia" w:ascii="Times New Roman"/>
          <w:lang w:val="en-US" w:eastAsia="zh-CN"/>
        </w:rPr>
        <w:t>从工作曲线上查得</w:t>
      </w:r>
      <w:r>
        <w:rPr>
          <w:rFonts w:ascii="Times New Roman"/>
        </w:rPr>
        <w:t>五氧化二磷的量，单位为微克（µg）；</w:t>
      </w:r>
    </w:p>
    <w:p w14:paraId="7650019B">
      <w:pPr>
        <w:pStyle w:val="47"/>
        <w:ind w:firstLine="1050" w:firstLineChars="500"/>
        <w:rPr>
          <w:rFonts w:ascii="Times New Roman"/>
        </w:rPr>
      </w:pPr>
      <m:oMath>
        <m:r>
          <m:rPr/>
          <w:rPr>
            <w:rFonts w:ascii="Cambria Math" w:hAnsi="Cambria Math"/>
          </w:rPr>
          <m:t>V</m:t>
        </m:r>
      </m:oMath>
      <w:r>
        <w:rPr>
          <w:rFonts w:hint="eastAsia" w:ascii="Times New Roman"/>
          <w:iCs/>
          <w:vertAlign w:val="subscript"/>
          <w:lang w:val="en-US" w:eastAsia="zh-CN"/>
        </w:rPr>
        <w:t>1</w:t>
      </w:r>
      <w:r>
        <w:rPr>
          <w:rFonts w:ascii="Times New Roman"/>
          <w:iCs/>
        </w:rPr>
        <w:t xml:space="preserve"> </w:t>
      </w:r>
      <w:r>
        <w:rPr>
          <w:rFonts w:ascii="Times New Roman"/>
        </w:rPr>
        <w:t>— 试液总体积，单位为毫升(mL);</w:t>
      </w:r>
    </w:p>
    <w:p w14:paraId="0EE8D7CA">
      <w:pPr>
        <w:pStyle w:val="47"/>
        <w:ind w:firstLine="1050" w:firstLineChars="500"/>
        <w:rPr>
          <w:rFonts w:ascii="Times New Roman"/>
          <w:bCs/>
          <w:i/>
          <w:iCs/>
          <w:szCs w:val="21"/>
        </w:rPr>
      </w:pPr>
      <m:oMath>
        <m:r>
          <m:rPr/>
          <w:rPr>
            <w:rFonts w:ascii="Cambria Math" w:hAnsi="Cambria Math"/>
            <w:szCs w:val="21"/>
          </w:rPr>
          <m:t>m</m:t>
        </m:r>
      </m:oMath>
      <w:r>
        <w:rPr>
          <w:rFonts w:ascii="Times New Roman"/>
          <w:szCs w:val="21"/>
        </w:rPr>
        <w:t xml:space="preserve"> — 试料的质量，单位为克(g)。</w:t>
      </w:r>
    </w:p>
    <w:p w14:paraId="2FB5257E">
      <w:pPr>
        <w:pStyle w:val="47"/>
        <w:ind w:firstLine="1050" w:firstLineChars="500"/>
        <w:rPr>
          <w:rFonts w:ascii="Times New Roman"/>
          <w:bCs/>
          <w:i/>
          <w:iCs/>
          <w:szCs w:val="21"/>
        </w:rPr>
      </w:pPr>
      <w:r>
        <w:rPr>
          <w:rFonts w:hint="eastAsia" w:ascii="Times New Roman"/>
          <w:i/>
          <w:iCs/>
        </w:rPr>
        <w:t>V</w:t>
      </w:r>
      <w:r>
        <w:rPr>
          <w:rFonts w:ascii="Times New Roman"/>
          <w:iCs/>
        </w:rPr>
        <w:t xml:space="preserve"> </w:t>
      </w:r>
      <w:r>
        <w:rPr>
          <w:rFonts w:ascii="Times New Roman"/>
        </w:rPr>
        <w:t xml:space="preserve">— </w:t>
      </w:r>
      <w:r>
        <w:rPr>
          <w:rFonts w:hint="eastAsia" w:ascii="Times New Roman"/>
          <w:lang w:val="en-US" w:eastAsia="zh-CN"/>
        </w:rPr>
        <w:t xml:space="preserve"> </w:t>
      </w:r>
      <w:r>
        <w:rPr>
          <w:rFonts w:ascii="Times New Roman"/>
        </w:rPr>
        <w:t>分取试液体积，单位为毫升(mL);</w:t>
      </w:r>
    </w:p>
    <w:bookmarkEnd w:id="3"/>
    <w:p w14:paraId="27BE2484">
      <w:pPr>
        <w:pStyle w:val="47"/>
        <w:spacing w:before="156" w:beforeLines="50"/>
        <w:ind w:firstLine="420"/>
        <w:rPr>
          <w:spacing w:val="6"/>
          <w:szCs w:val="21"/>
        </w:rPr>
      </w:pPr>
      <w:r>
        <w:rPr>
          <w:rFonts w:hint="eastAsia" w:ascii="Times New Roman"/>
          <w:szCs w:val="21"/>
        </w:rPr>
        <w:t>两次平行测定结果的绝对差值不大于表2中相应重复性限时，取其平均值作为测定结果，保留至小数点后两位，数值修约按GB/T 8170的规定执行。</w:t>
      </w:r>
    </w:p>
    <w:p w14:paraId="1879E66F">
      <w:pPr>
        <w:pStyle w:val="74"/>
        <w:numPr>
          <w:ilvl w:val="0"/>
          <w:numId w:val="0"/>
        </w:numPr>
        <w:spacing w:before="156" w:after="156"/>
      </w:pPr>
      <w:r>
        <w:rPr>
          <w:rFonts w:hint="eastAsia" w:hAnsi="黑体" w:cs="黑体"/>
          <w:color w:val="000000"/>
        </w:rPr>
        <w:t>4.7</w:t>
      </w:r>
      <w:r>
        <w:rPr>
          <w:rFonts w:hint="eastAsia" w:ascii="Times New Roman"/>
          <w:color w:val="000000"/>
        </w:rPr>
        <w:t xml:space="preserve"> </w:t>
      </w:r>
      <w:r>
        <w:rPr>
          <w:rFonts w:ascii="Times New Roman"/>
          <w:color w:val="000000"/>
        </w:rPr>
        <w:t>精密度</w:t>
      </w:r>
    </w:p>
    <w:p w14:paraId="54D1C3EE">
      <w:pPr>
        <w:pStyle w:val="47"/>
        <w:ind w:firstLine="420"/>
      </w:pPr>
      <w:r>
        <w:rPr>
          <w:rFonts w:hint="eastAsia" w:ascii="Times New Roman"/>
        </w:rPr>
        <w:t>精密度结果根据202</w:t>
      </w:r>
      <w:r>
        <w:rPr>
          <w:rFonts w:ascii="Times New Roman"/>
        </w:rPr>
        <w:t>4</w:t>
      </w:r>
      <w:r>
        <w:rPr>
          <w:rFonts w:hint="eastAsia" w:ascii="Times New Roman"/>
        </w:rPr>
        <w:t>年，7家实验室对稀土精矿</w:t>
      </w:r>
      <w:r>
        <w:rPr>
          <w:rFonts w:hint="eastAsia" w:ascii="Times New Roman"/>
          <w:lang w:val="en-US" w:eastAsia="zh-CN"/>
        </w:rPr>
        <w:t>6</w:t>
      </w:r>
      <w:r>
        <w:rPr>
          <w:rFonts w:hint="eastAsia" w:ascii="Times New Roman"/>
        </w:rPr>
        <w:t>个不同水平样品协同试验确定。每个实验室对每个水平</w:t>
      </w:r>
      <w:r>
        <w:rPr>
          <w:rFonts w:ascii="Times New Roman"/>
        </w:rPr>
        <w:t>样</w:t>
      </w:r>
      <w:r>
        <w:rPr>
          <w:rFonts w:hint="eastAsia" w:ascii="Times New Roman"/>
        </w:rPr>
        <w:t>品的</w:t>
      </w:r>
      <w:r>
        <w:rPr>
          <w:rFonts w:hint="eastAsia" w:ascii="Times New Roman"/>
          <w:lang w:val="en-US" w:eastAsia="zh-CN"/>
        </w:rPr>
        <w:t>五氧化二磷</w:t>
      </w:r>
      <w:r>
        <w:rPr>
          <w:rFonts w:hint="eastAsia" w:ascii="Times New Roman"/>
        </w:rPr>
        <w:t>量在重复性条件下独立测定11次。试验数据按GB/T</w:t>
      </w:r>
      <w:r>
        <w:rPr>
          <w:rFonts w:ascii="Times New Roman"/>
        </w:rPr>
        <w:t xml:space="preserve"> </w:t>
      </w:r>
      <w:r>
        <w:rPr>
          <w:rFonts w:hint="eastAsia" w:ascii="Times New Roman"/>
        </w:rPr>
        <w:t>6379.2进行统计分析。</w:t>
      </w:r>
    </w:p>
    <w:p w14:paraId="2859380C">
      <w:pPr>
        <w:snapToGrid w:val="0"/>
        <w:spacing w:before="156" w:beforeLines="50" w:after="156" w:afterLines="50"/>
        <w:rPr>
          <w:rFonts w:ascii="宋体" w:hAnsi="宋体" w:cs="宋体"/>
        </w:rPr>
      </w:pPr>
      <w:r>
        <w:rPr>
          <w:rFonts w:hint="eastAsia" w:ascii="黑体" w:hAnsi="黑体" w:eastAsia="黑体"/>
          <w:color w:val="000000"/>
          <w:szCs w:val="22"/>
        </w:rPr>
        <w:t>4.7</w:t>
      </w:r>
      <w:r>
        <w:rPr>
          <w:rFonts w:ascii="黑体" w:hAnsi="黑体" w:eastAsia="黑体"/>
          <w:color w:val="000000"/>
          <w:szCs w:val="22"/>
        </w:rPr>
        <w:t>.1</w:t>
      </w:r>
      <w:r>
        <w:rPr>
          <w:rFonts w:hint="eastAsia" w:ascii="黑体" w:hAnsi="黑体" w:eastAsia="黑体"/>
          <w:color w:val="000000"/>
          <w:szCs w:val="22"/>
        </w:rPr>
        <w:t xml:space="preserve"> 重复性</w:t>
      </w:r>
    </w:p>
    <w:p w14:paraId="63F8E976">
      <w:pPr>
        <w:snapToGrid w:val="0"/>
        <w:ind w:firstLine="420" w:firstLineChars="200"/>
      </w:pPr>
      <w:r>
        <w:t>在重复性条件下获得的两次独立测试结果的绝对差值不超过重复性限（</w:t>
      </w:r>
      <w:r>
        <w:rPr>
          <w:i/>
          <w:iCs/>
        </w:rPr>
        <w:t>r</w:t>
      </w:r>
      <w:r>
        <w:t>），超过重复性限（</w:t>
      </w:r>
      <w:r>
        <w:rPr>
          <w:i/>
          <w:iCs/>
        </w:rPr>
        <w:t>r</w:t>
      </w:r>
      <w:r>
        <w:t>）的情况不超过5%，重复性限（</w:t>
      </w:r>
      <w:r>
        <w:rPr>
          <w:i/>
          <w:iCs/>
        </w:rPr>
        <w:t>r</w:t>
      </w:r>
      <w:r>
        <w:t>）按</w:t>
      </w:r>
      <w:r>
        <w:rPr>
          <w:rFonts w:hint="eastAsia"/>
        </w:rPr>
        <w:t>表5</w:t>
      </w:r>
      <w:r>
        <w:t>数据采用线性内插法或外延法求得。</w:t>
      </w:r>
    </w:p>
    <w:p w14:paraId="6ADDE9B6">
      <w:pPr>
        <w:jc w:val="center"/>
        <w:rPr>
          <w:rFonts w:hint="default" w:eastAsia="黑体"/>
          <w:color w:val="FF0000"/>
          <w:sz w:val="18"/>
          <w:szCs w:val="18"/>
          <w:lang w:val="en-US" w:eastAsia="zh-CN"/>
        </w:rPr>
      </w:pPr>
      <w:r>
        <w:rPr>
          <w:rFonts w:hint="eastAsia" w:eastAsia="黑体"/>
          <w:sz w:val="18"/>
          <w:szCs w:val="18"/>
        </w:rPr>
        <w:t>表</w:t>
      </w:r>
      <w:r>
        <w:rPr>
          <w:rFonts w:hint="eastAsia" w:ascii="黑体" w:hAnsi="黑体" w:eastAsia="黑体" w:cs="黑体"/>
          <w:sz w:val="18"/>
          <w:szCs w:val="18"/>
          <w:lang w:val="en-US" w:eastAsia="zh-CN"/>
        </w:rPr>
        <w:t>2 重复性限（</w:t>
      </w:r>
      <w:r>
        <w:rPr>
          <w:rFonts w:hint="eastAsia" w:ascii="黑体" w:hAnsi="黑体" w:eastAsia="黑体" w:cs="黑体"/>
          <w:i/>
          <w:iCs/>
          <w:sz w:val="18"/>
          <w:szCs w:val="18"/>
          <w:lang w:val="en-US" w:eastAsia="zh-CN"/>
        </w:rPr>
        <w:t>r</w:t>
      </w:r>
      <w:r>
        <w:rPr>
          <w:rFonts w:hint="eastAsia" w:ascii="黑体" w:hAnsi="黑体" w:eastAsia="黑体" w:cs="黑体"/>
          <w:sz w:val="18"/>
          <w:szCs w:val="18"/>
          <w:lang w:val="en-US" w:eastAsia="zh-CN"/>
        </w:rPr>
        <w:t>）</w:t>
      </w:r>
    </w:p>
    <w:tbl>
      <w:tblPr>
        <w:tblStyle w:val="31"/>
        <w:tblW w:w="505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824"/>
        <w:gridCol w:w="4843"/>
      </w:tblGrid>
      <w:tr w14:paraId="305F2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2495" w:type="pct"/>
            <w:tcBorders>
              <w:bottom w:val="single" w:color="auto" w:sz="12" w:space="0"/>
              <w:right w:val="single" w:color="auto" w:sz="4" w:space="0"/>
            </w:tcBorders>
            <w:vAlign w:val="center"/>
          </w:tcPr>
          <w:p w14:paraId="04B79E5D">
            <w:pPr>
              <w:jc w:val="center"/>
              <w:rPr>
                <w:sz w:val="18"/>
                <w:szCs w:val="18"/>
              </w:rPr>
            </w:pPr>
            <w:r>
              <w:rPr>
                <w:rFonts w:hint="eastAsia"/>
                <w:sz w:val="18"/>
                <w:szCs w:val="18"/>
                <w:lang w:val="en-US" w:eastAsia="zh-CN"/>
              </w:rPr>
              <w:t>五氧化二磷</w:t>
            </w:r>
            <w:r>
              <w:rPr>
                <w:rFonts w:hint="eastAsia"/>
                <w:sz w:val="18"/>
                <w:szCs w:val="18"/>
              </w:rPr>
              <w:t>质量分数</w:t>
            </w:r>
            <w:r>
              <w:rPr>
                <w:sz w:val="18"/>
                <w:szCs w:val="18"/>
              </w:rPr>
              <w:t>/%</w:t>
            </w:r>
          </w:p>
        </w:tc>
        <w:tc>
          <w:tcPr>
            <w:tcW w:w="2505" w:type="pct"/>
            <w:tcBorders>
              <w:left w:val="single" w:color="auto" w:sz="4" w:space="0"/>
              <w:bottom w:val="single" w:color="auto" w:sz="12" w:space="0"/>
            </w:tcBorders>
            <w:vAlign w:val="center"/>
          </w:tcPr>
          <w:p w14:paraId="05ADD812">
            <w:pPr>
              <w:jc w:val="center"/>
              <w:rPr>
                <w:sz w:val="18"/>
                <w:szCs w:val="18"/>
              </w:rPr>
            </w:pPr>
            <w:r>
              <w:rPr>
                <w:rFonts w:hint="eastAsia"/>
                <w:sz w:val="18"/>
                <w:szCs w:val="18"/>
              </w:rPr>
              <w:t>重复</w:t>
            </w:r>
            <w:r>
              <w:rPr>
                <w:sz w:val="18"/>
                <w:szCs w:val="18"/>
              </w:rPr>
              <w:t>性</w:t>
            </w:r>
            <w:r>
              <w:rPr>
                <w:rFonts w:hint="eastAsia"/>
                <w:sz w:val="18"/>
                <w:szCs w:val="18"/>
              </w:rPr>
              <w:t>限</w:t>
            </w:r>
            <w:r>
              <w:rPr>
                <w:sz w:val="18"/>
                <w:szCs w:val="18"/>
              </w:rPr>
              <w:t>(</w:t>
            </w:r>
            <w:r>
              <w:rPr>
                <w:i/>
                <w:sz w:val="18"/>
                <w:szCs w:val="18"/>
              </w:rPr>
              <w:t>r</w:t>
            </w:r>
            <w:r>
              <w:rPr>
                <w:sz w:val="18"/>
                <w:szCs w:val="18"/>
              </w:rPr>
              <w:t>)%</w:t>
            </w:r>
          </w:p>
        </w:tc>
      </w:tr>
      <w:tr w14:paraId="40202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2495" w:type="pct"/>
            <w:tcBorders>
              <w:top w:val="single" w:color="auto" w:sz="12" w:space="0"/>
              <w:bottom w:val="single" w:color="auto" w:sz="4" w:space="0"/>
              <w:right w:val="single" w:color="auto" w:sz="4" w:space="0"/>
            </w:tcBorders>
            <w:shd w:val="clear" w:color="auto" w:fill="auto"/>
            <w:vAlign w:val="center"/>
          </w:tcPr>
          <w:p w14:paraId="4517A223">
            <w:pPr>
              <w:widowControl/>
              <w:jc w:val="center"/>
              <w:textAlignment w:val="center"/>
              <w:rPr>
                <w:color w:val="000000"/>
                <w:kern w:val="0"/>
                <w:sz w:val="18"/>
                <w:szCs w:val="18"/>
                <w:lang w:bidi="ar"/>
              </w:rPr>
            </w:pPr>
            <w:r>
              <w:rPr>
                <w:rFonts w:hint="eastAsia"/>
                <w:color w:val="000000"/>
                <w:kern w:val="0"/>
                <w:sz w:val="18"/>
                <w:szCs w:val="18"/>
                <w:lang w:bidi="ar"/>
              </w:rPr>
              <w:t>0.29</w:t>
            </w:r>
          </w:p>
        </w:tc>
        <w:tc>
          <w:tcPr>
            <w:tcW w:w="2505" w:type="pct"/>
            <w:tcBorders>
              <w:top w:val="single" w:color="auto" w:sz="12" w:space="0"/>
              <w:left w:val="single" w:color="auto" w:sz="4" w:space="0"/>
              <w:bottom w:val="single" w:color="auto" w:sz="4" w:space="0"/>
            </w:tcBorders>
            <w:shd w:val="clear" w:color="auto" w:fill="auto"/>
            <w:vAlign w:val="center"/>
          </w:tcPr>
          <w:p w14:paraId="6BDC15D7">
            <w:pPr>
              <w:widowControl/>
              <w:jc w:val="center"/>
              <w:textAlignment w:val="center"/>
              <w:rPr>
                <w:color w:val="000000"/>
                <w:kern w:val="0"/>
                <w:sz w:val="18"/>
                <w:szCs w:val="18"/>
                <w:lang w:bidi="ar"/>
              </w:rPr>
            </w:pPr>
            <w:r>
              <w:rPr>
                <w:rFonts w:hint="eastAsia"/>
                <w:color w:val="000000"/>
                <w:kern w:val="0"/>
                <w:sz w:val="18"/>
                <w:szCs w:val="18"/>
                <w:lang w:bidi="ar"/>
              </w:rPr>
              <w:t>0.03</w:t>
            </w:r>
          </w:p>
        </w:tc>
      </w:tr>
      <w:tr w14:paraId="2B8C8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2495" w:type="pct"/>
            <w:tcBorders>
              <w:top w:val="single" w:color="auto" w:sz="4" w:space="0"/>
              <w:bottom w:val="single" w:color="auto" w:sz="4" w:space="0"/>
              <w:right w:val="single" w:color="auto" w:sz="4" w:space="0"/>
            </w:tcBorders>
            <w:shd w:val="clear" w:color="auto" w:fill="auto"/>
            <w:vAlign w:val="center"/>
          </w:tcPr>
          <w:p w14:paraId="450169BC">
            <w:pPr>
              <w:widowControl/>
              <w:jc w:val="center"/>
              <w:textAlignment w:val="center"/>
              <w:rPr>
                <w:color w:val="000000"/>
                <w:kern w:val="0"/>
                <w:sz w:val="18"/>
                <w:szCs w:val="18"/>
                <w:lang w:bidi="ar"/>
              </w:rPr>
            </w:pPr>
            <w:r>
              <w:rPr>
                <w:rFonts w:hint="eastAsia"/>
                <w:color w:val="000000"/>
                <w:kern w:val="0"/>
                <w:sz w:val="18"/>
                <w:szCs w:val="18"/>
                <w:lang w:bidi="ar"/>
              </w:rPr>
              <w:t>1.78</w:t>
            </w:r>
          </w:p>
        </w:tc>
        <w:tc>
          <w:tcPr>
            <w:tcW w:w="2505" w:type="pct"/>
            <w:tcBorders>
              <w:top w:val="single" w:color="auto" w:sz="4" w:space="0"/>
              <w:left w:val="single" w:color="auto" w:sz="4" w:space="0"/>
              <w:bottom w:val="single" w:color="auto" w:sz="4" w:space="0"/>
            </w:tcBorders>
            <w:shd w:val="clear" w:color="auto" w:fill="auto"/>
            <w:vAlign w:val="center"/>
          </w:tcPr>
          <w:p w14:paraId="7EC637BA">
            <w:pPr>
              <w:widowControl/>
              <w:jc w:val="center"/>
              <w:textAlignment w:val="center"/>
              <w:rPr>
                <w:color w:val="000000"/>
                <w:kern w:val="0"/>
                <w:sz w:val="18"/>
                <w:szCs w:val="18"/>
                <w:lang w:bidi="ar"/>
              </w:rPr>
            </w:pPr>
            <w:r>
              <w:rPr>
                <w:rFonts w:hint="eastAsia"/>
                <w:color w:val="000000"/>
                <w:kern w:val="0"/>
                <w:sz w:val="18"/>
                <w:szCs w:val="18"/>
                <w:lang w:bidi="ar"/>
              </w:rPr>
              <w:t>0.09</w:t>
            </w:r>
          </w:p>
        </w:tc>
      </w:tr>
      <w:tr w14:paraId="194C8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2495" w:type="pct"/>
            <w:tcBorders>
              <w:top w:val="single" w:color="auto" w:sz="4" w:space="0"/>
              <w:bottom w:val="single" w:color="auto" w:sz="4" w:space="0"/>
              <w:right w:val="single" w:color="auto" w:sz="4" w:space="0"/>
            </w:tcBorders>
            <w:shd w:val="clear" w:color="auto" w:fill="auto"/>
            <w:vAlign w:val="center"/>
          </w:tcPr>
          <w:p w14:paraId="7DF12681">
            <w:pPr>
              <w:widowControl/>
              <w:jc w:val="center"/>
              <w:textAlignment w:val="center"/>
              <w:rPr>
                <w:color w:val="000000"/>
                <w:kern w:val="0"/>
                <w:sz w:val="18"/>
                <w:szCs w:val="18"/>
                <w:lang w:bidi="ar"/>
              </w:rPr>
            </w:pPr>
            <w:r>
              <w:rPr>
                <w:rFonts w:hint="eastAsia"/>
                <w:color w:val="000000"/>
                <w:kern w:val="0"/>
                <w:sz w:val="18"/>
                <w:szCs w:val="18"/>
                <w:lang w:bidi="ar"/>
              </w:rPr>
              <w:t>8.73</w:t>
            </w:r>
          </w:p>
        </w:tc>
        <w:tc>
          <w:tcPr>
            <w:tcW w:w="2505" w:type="pct"/>
            <w:tcBorders>
              <w:top w:val="single" w:color="auto" w:sz="4" w:space="0"/>
              <w:left w:val="single" w:color="auto" w:sz="4" w:space="0"/>
              <w:bottom w:val="single" w:color="auto" w:sz="4" w:space="0"/>
            </w:tcBorders>
            <w:shd w:val="clear" w:color="auto" w:fill="auto"/>
            <w:vAlign w:val="center"/>
          </w:tcPr>
          <w:p w14:paraId="45490801">
            <w:pPr>
              <w:widowControl/>
              <w:jc w:val="center"/>
              <w:textAlignment w:val="center"/>
              <w:rPr>
                <w:color w:val="000000"/>
                <w:kern w:val="0"/>
                <w:sz w:val="18"/>
                <w:szCs w:val="18"/>
                <w:lang w:bidi="ar"/>
              </w:rPr>
            </w:pPr>
            <w:r>
              <w:rPr>
                <w:rFonts w:hint="eastAsia"/>
                <w:color w:val="000000"/>
                <w:kern w:val="0"/>
                <w:sz w:val="18"/>
                <w:szCs w:val="18"/>
                <w:lang w:bidi="ar"/>
              </w:rPr>
              <w:t>0.21</w:t>
            </w:r>
          </w:p>
        </w:tc>
      </w:tr>
      <w:tr w14:paraId="02E49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exact"/>
          <w:jc w:val="center"/>
        </w:trPr>
        <w:tc>
          <w:tcPr>
            <w:tcW w:w="2495" w:type="pct"/>
            <w:tcBorders>
              <w:top w:val="single" w:color="auto" w:sz="4" w:space="0"/>
              <w:bottom w:val="single" w:color="auto" w:sz="4" w:space="0"/>
              <w:right w:val="single" w:color="auto" w:sz="4" w:space="0"/>
            </w:tcBorders>
            <w:shd w:val="clear" w:color="auto" w:fill="auto"/>
            <w:vAlign w:val="center"/>
          </w:tcPr>
          <w:p w14:paraId="49629F10">
            <w:pPr>
              <w:widowControl/>
              <w:jc w:val="center"/>
              <w:textAlignment w:val="center"/>
              <w:rPr>
                <w:color w:val="000000"/>
                <w:kern w:val="0"/>
                <w:sz w:val="18"/>
                <w:szCs w:val="18"/>
                <w:lang w:bidi="ar"/>
              </w:rPr>
            </w:pPr>
            <w:r>
              <w:rPr>
                <w:rFonts w:hint="eastAsia"/>
                <w:color w:val="000000"/>
                <w:kern w:val="0"/>
                <w:sz w:val="18"/>
                <w:szCs w:val="18"/>
                <w:lang w:bidi="ar"/>
              </w:rPr>
              <w:t>13.39</w:t>
            </w:r>
          </w:p>
        </w:tc>
        <w:tc>
          <w:tcPr>
            <w:tcW w:w="2505" w:type="pct"/>
            <w:tcBorders>
              <w:top w:val="single" w:color="auto" w:sz="4" w:space="0"/>
              <w:left w:val="single" w:color="auto" w:sz="4" w:space="0"/>
              <w:bottom w:val="single" w:color="auto" w:sz="4" w:space="0"/>
            </w:tcBorders>
            <w:shd w:val="clear" w:color="auto" w:fill="auto"/>
            <w:vAlign w:val="center"/>
          </w:tcPr>
          <w:p w14:paraId="3D1D5329">
            <w:pPr>
              <w:widowControl/>
              <w:jc w:val="center"/>
              <w:textAlignment w:val="center"/>
              <w:rPr>
                <w:color w:val="000000"/>
                <w:kern w:val="0"/>
                <w:sz w:val="18"/>
                <w:szCs w:val="18"/>
                <w:lang w:bidi="ar"/>
              </w:rPr>
            </w:pPr>
            <w:r>
              <w:rPr>
                <w:rFonts w:hint="eastAsia"/>
                <w:color w:val="000000"/>
                <w:kern w:val="0"/>
                <w:sz w:val="18"/>
                <w:szCs w:val="18"/>
                <w:lang w:bidi="ar"/>
              </w:rPr>
              <w:t>0.25</w:t>
            </w:r>
          </w:p>
        </w:tc>
      </w:tr>
      <w:tr w14:paraId="37986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exact"/>
          <w:jc w:val="center"/>
        </w:trPr>
        <w:tc>
          <w:tcPr>
            <w:tcW w:w="2495" w:type="pct"/>
            <w:tcBorders>
              <w:top w:val="single" w:color="auto" w:sz="4" w:space="0"/>
              <w:bottom w:val="single" w:color="auto" w:sz="4" w:space="0"/>
              <w:right w:val="single" w:color="auto" w:sz="4" w:space="0"/>
            </w:tcBorders>
            <w:shd w:val="clear" w:color="auto" w:fill="auto"/>
            <w:vAlign w:val="center"/>
          </w:tcPr>
          <w:p w14:paraId="3C0FA40D">
            <w:pPr>
              <w:widowControl/>
              <w:jc w:val="center"/>
              <w:textAlignment w:val="center"/>
              <w:rPr>
                <w:color w:val="000000"/>
                <w:kern w:val="0"/>
                <w:sz w:val="18"/>
                <w:szCs w:val="18"/>
                <w:lang w:bidi="ar"/>
              </w:rPr>
            </w:pPr>
            <w:r>
              <w:rPr>
                <w:rFonts w:hint="eastAsia"/>
                <w:color w:val="000000"/>
                <w:kern w:val="0"/>
                <w:sz w:val="18"/>
                <w:szCs w:val="18"/>
                <w:lang w:bidi="ar"/>
              </w:rPr>
              <w:t>22.64</w:t>
            </w:r>
          </w:p>
        </w:tc>
        <w:tc>
          <w:tcPr>
            <w:tcW w:w="2505" w:type="pct"/>
            <w:tcBorders>
              <w:top w:val="single" w:color="auto" w:sz="4" w:space="0"/>
              <w:left w:val="single" w:color="auto" w:sz="4" w:space="0"/>
              <w:bottom w:val="single" w:color="auto" w:sz="4" w:space="0"/>
            </w:tcBorders>
            <w:shd w:val="clear" w:color="auto" w:fill="auto"/>
            <w:vAlign w:val="center"/>
          </w:tcPr>
          <w:p w14:paraId="2B8913B3">
            <w:pPr>
              <w:widowControl/>
              <w:jc w:val="center"/>
              <w:textAlignment w:val="center"/>
              <w:rPr>
                <w:color w:val="000000"/>
                <w:kern w:val="0"/>
                <w:sz w:val="18"/>
                <w:szCs w:val="18"/>
                <w:lang w:bidi="ar"/>
              </w:rPr>
            </w:pPr>
            <w:r>
              <w:rPr>
                <w:rFonts w:hint="eastAsia"/>
                <w:color w:val="000000"/>
                <w:kern w:val="0"/>
                <w:sz w:val="18"/>
                <w:szCs w:val="18"/>
                <w:lang w:bidi="ar"/>
              </w:rPr>
              <w:t>0.20</w:t>
            </w:r>
          </w:p>
        </w:tc>
      </w:tr>
      <w:tr w14:paraId="6B8B2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exact"/>
          <w:jc w:val="center"/>
        </w:trPr>
        <w:tc>
          <w:tcPr>
            <w:tcW w:w="2495" w:type="pct"/>
            <w:tcBorders>
              <w:top w:val="single" w:color="auto" w:sz="4" w:space="0"/>
              <w:bottom w:val="single" w:color="auto" w:sz="4" w:space="0"/>
              <w:right w:val="single" w:color="auto" w:sz="4" w:space="0"/>
            </w:tcBorders>
            <w:shd w:val="clear" w:color="auto" w:fill="auto"/>
            <w:vAlign w:val="center"/>
          </w:tcPr>
          <w:p w14:paraId="1231AF36">
            <w:pPr>
              <w:widowControl/>
              <w:jc w:val="center"/>
              <w:textAlignment w:val="center"/>
              <w:rPr>
                <w:rFonts w:hint="default" w:eastAsia="宋体"/>
                <w:color w:val="000000"/>
                <w:kern w:val="0"/>
                <w:sz w:val="18"/>
                <w:szCs w:val="18"/>
                <w:lang w:val="en-US" w:eastAsia="zh-CN" w:bidi="ar"/>
              </w:rPr>
            </w:pPr>
            <w:r>
              <w:rPr>
                <w:rFonts w:hint="eastAsia"/>
                <w:color w:val="000000"/>
                <w:kern w:val="0"/>
                <w:sz w:val="18"/>
                <w:szCs w:val="18"/>
                <w:lang w:val="en-US" w:eastAsia="zh-CN" w:bidi="ar"/>
              </w:rPr>
              <w:t>30.36</w:t>
            </w:r>
          </w:p>
        </w:tc>
        <w:tc>
          <w:tcPr>
            <w:tcW w:w="2505" w:type="pct"/>
            <w:tcBorders>
              <w:top w:val="single" w:color="auto" w:sz="4" w:space="0"/>
              <w:left w:val="single" w:color="auto" w:sz="4" w:space="0"/>
              <w:bottom w:val="single" w:color="auto" w:sz="4" w:space="0"/>
            </w:tcBorders>
            <w:shd w:val="clear" w:color="auto" w:fill="auto"/>
            <w:vAlign w:val="center"/>
          </w:tcPr>
          <w:p w14:paraId="72BDBDB2">
            <w:pPr>
              <w:widowControl/>
              <w:jc w:val="center"/>
              <w:textAlignment w:val="center"/>
              <w:rPr>
                <w:rFonts w:hint="default" w:eastAsia="宋体"/>
                <w:color w:val="000000"/>
                <w:kern w:val="0"/>
                <w:sz w:val="18"/>
                <w:szCs w:val="18"/>
                <w:lang w:val="en-US" w:eastAsia="zh-CN" w:bidi="ar"/>
              </w:rPr>
            </w:pPr>
            <w:r>
              <w:rPr>
                <w:rFonts w:hint="eastAsia"/>
                <w:color w:val="000000"/>
                <w:kern w:val="0"/>
                <w:sz w:val="18"/>
                <w:szCs w:val="18"/>
                <w:lang w:val="en-US" w:eastAsia="zh-CN" w:bidi="ar"/>
              </w:rPr>
              <w:t>0.53</w:t>
            </w:r>
          </w:p>
        </w:tc>
      </w:tr>
      <w:tr w14:paraId="4B843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 w:hRule="exact"/>
          <w:jc w:val="center"/>
        </w:trPr>
        <w:tc>
          <w:tcPr>
            <w:tcW w:w="5000" w:type="pct"/>
            <w:gridSpan w:val="2"/>
            <w:tcBorders>
              <w:top w:val="single" w:color="auto" w:sz="4" w:space="0"/>
              <w:bottom w:val="single" w:color="auto" w:sz="12" w:space="0"/>
            </w:tcBorders>
            <w:shd w:val="clear" w:color="auto" w:fill="auto"/>
            <w:vAlign w:val="center"/>
          </w:tcPr>
          <w:p w14:paraId="5EB8E385">
            <w:pPr>
              <w:jc w:val="left"/>
              <w:rPr>
                <w:color w:val="000000"/>
                <w:kern w:val="0"/>
                <w:sz w:val="18"/>
                <w:szCs w:val="18"/>
                <w:lang w:bidi="ar"/>
              </w:rPr>
            </w:pPr>
            <w:r>
              <w:rPr>
                <w:rFonts w:hint="eastAsia" w:eastAsia="黑体"/>
                <w:color w:val="000000"/>
                <w:kern w:val="0"/>
                <w:sz w:val="18"/>
                <w:szCs w:val="18"/>
                <w:lang w:bidi="ar"/>
              </w:rPr>
              <w:t>注</w:t>
            </w:r>
            <w:r>
              <w:rPr>
                <w:rFonts w:eastAsia="黑体"/>
                <w:color w:val="000000"/>
                <w:kern w:val="0"/>
                <w:sz w:val="18"/>
                <w:szCs w:val="18"/>
                <w:lang w:bidi="ar"/>
              </w:rPr>
              <w:t>1：</w:t>
            </w:r>
            <w:r>
              <w:rPr>
                <w:rFonts w:hint="eastAsia"/>
                <w:color w:val="000000"/>
                <w:kern w:val="0"/>
                <w:sz w:val="18"/>
                <w:szCs w:val="18"/>
                <w:lang w:bidi="ar"/>
              </w:rPr>
              <w:t>重复性限（</w:t>
            </w:r>
            <w:r>
              <w:rPr>
                <w:color w:val="000000"/>
                <w:kern w:val="0"/>
                <w:sz w:val="18"/>
                <w:szCs w:val="18"/>
                <w:lang w:bidi="ar"/>
              </w:rPr>
              <w:t>r）为2.8×S</w:t>
            </w:r>
            <w:r>
              <w:rPr>
                <w:color w:val="000000"/>
                <w:kern w:val="0"/>
                <w:sz w:val="18"/>
                <w:szCs w:val="18"/>
                <w:vertAlign w:val="subscript"/>
                <w:lang w:bidi="ar"/>
              </w:rPr>
              <w:t>r</w:t>
            </w:r>
            <w:r>
              <w:rPr>
                <w:rFonts w:hint="eastAsia"/>
                <w:color w:val="000000"/>
                <w:kern w:val="0"/>
                <w:sz w:val="18"/>
                <w:szCs w:val="18"/>
                <w:lang w:bidi="ar"/>
              </w:rPr>
              <w:t>，</w:t>
            </w:r>
            <w:r>
              <w:rPr>
                <w:color w:val="000000"/>
                <w:kern w:val="0"/>
                <w:sz w:val="18"/>
                <w:szCs w:val="18"/>
                <w:lang w:bidi="ar"/>
              </w:rPr>
              <w:t>S</w:t>
            </w:r>
            <w:r>
              <w:rPr>
                <w:color w:val="000000"/>
                <w:kern w:val="0"/>
                <w:sz w:val="18"/>
                <w:szCs w:val="18"/>
                <w:vertAlign w:val="subscript"/>
                <w:lang w:bidi="ar"/>
              </w:rPr>
              <w:t>r</w:t>
            </w:r>
            <w:r>
              <w:rPr>
                <w:rFonts w:hint="eastAsia"/>
                <w:color w:val="000000"/>
                <w:kern w:val="0"/>
                <w:sz w:val="18"/>
                <w:szCs w:val="18"/>
                <w:lang w:bidi="ar"/>
              </w:rPr>
              <w:t>为重复性限标准偏差。</w:t>
            </w:r>
          </w:p>
          <w:p w14:paraId="07112390">
            <w:pPr>
              <w:widowControl/>
              <w:jc w:val="center"/>
              <w:textAlignment w:val="center"/>
              <w:rPr>
                <w:color w:val="000000"/>
                <w:kern w:val="0"/>
                <w:sz w:val="18"/>
                <w:szCs w:val="18"/>
                <w:lang w:bidi="ar"/>
              </w:rPr>
            </w:pPr>
          </w:p>
        </w:tc>
      </w:tr>
    </w:tbl>
    <w:p w14:paraId="0BB816CC">
      <w:pPr>
        <w:pStyle w:val="81"/>
        <w:numPr>
          <w:ilvl w:val="0"/>
          <w:numId w:val="0"/>
        </w:numPr>
        <w:snapToGrid w:val="0"/>
        <w:spacing w:before="156" w:beforeLines="50" w:after="156" w:afterLines="50"/>
        <w:rPr>
          <w:rFonts w:ascii="Times New Roman"/>
          <w:kern w:val="2"/>
        </w:rPr>
      </w:pPr>
      <w:r>
        <w:rPr>
          <w:rFonts w:hint="eastAsia" w:hAnsi="黑体"/>
          <w:color w:val="000000"/>
          <w:szCs w:val="22"/>
          <w:lang w:val="en-US" w:eastAsia="zh-CN"/>
        </w:rPr>
        <w:t>4</w:t>
      </w:r>
      <w:r>
        <w:rPr>
          <w:rFonts w:hint="eastAsia" w:hAnsi="黑体"/>
          <w:color w:val="000000"/>
          <w:szCs w:val="22"/>
        </w:rPr>
        <w:t>.7</w:t>
      </w:r>
      <w:r>
        <w:rPr>
          <w:rFonts w:hAnsi="黑体"/>
          <w:color w:val="000000"/>
          <w:szCs w:val="22"/>
        </w:rPr>
        <w:t>.2</w:t>
      </w:r>
      <w:r>
        <w:rPr>
          <w:rFonts w:hint="eastAsia" w:ascii="Times New Roman"/>
        </w:rPr>
        <w:t xml:space="preserve"> </w:t>
      </w:r>
      <w:r>
        <w:rPr>
          <w:rFonts w:hint="eastAsia" w:ascii="Times New Roman"/>
          <w:kern w:val="2"/>
        </w:rPr>
        <w:t>再现性</w:t>
      </w:r>
    </w:p>
    <w:p w14:paraId="7B92F737">
      <w:pPr>
        <w:pStyle w:val="47"/>
        <w:snapToGrid w:val="0"/>
        <w:ind w:firstLine="420"/>
        <w:rPr>
          <w:rFonts w:ascii="Times New Roman"/>
        </w:rPr>
      </w:pPr>
      <w:r>
        <w:rPr>
          <w:rFonts w:ascii="Times New Roman"/>
          <w:color w:val="000000"/>
        </w:rPr>
        <w:t>在再现性条件下获得的两次独立测试结果</w:t>
      </w:r>
      <w:r>
        <w:rPr>
          <w:rFonts w:ascii="Times New Roman"/>
        </w:rPr>
        <w:t>的</w:t>
      </w:r>
      <w:r>
        <w:rPr>
          <w:rFonts w:ascii="Times New Roman"/>
          <w:color w:val="000000"/>
        </w:rPr>
        <w:t>绝对差值不大于再现性限（</w:t>
      </w:r>
      <w:r>
        <w:rPr>
          <w:rFonts w:ascii="Times New Roman"/>
          <w:i/>
          <w:color w:val="000000"/>
        </w:rPr>
        <w:t>R</w:t>
      </w:r>
      <w:r>
        <w:rPr>
          <w:rFonts w:ascii="Times New Roman"/>
          <w:color w:val="000000"/>
        </w:rPr>
        <w:t>），超过再现性限（</w:t>
      </w:r>
      <w:r>
        <w:rPr>
          <w:rFonts w:ascii="Times New Roman"/>
          <w:i/>
          <w:color w:val="000000"/>
        </w:rPr>
        <w:t>R</w:t>
      </w:r>
      <w:r>
        <w:rPr>
          <w:rFonts w:ascii="Times New Roman"/>
          <w:color w:val="000000"/>
        </w:rPr>
        <w:t>）的情况不超过5%，再现性限（</w:t>
      </w:r>
      <w:r>
        <w:rPr>
          <w:rFonts w:ascii="Times New Roman"/>
          <w:i/>
          <w:color w:val="000000"/>
        </w:rPr>
        <w:t>R</w:t>
      </w:r>
      <w:r>
        <w:rPr>
          <w:rFonts w:ascii="Times New Roman"/>
          <w:color w:val="000000"/>
        </w:rPr>
        <w:t>）按</w:t>
      </w:r>
      <w:r>
        <w:rPr>
          <w:rFonts w:hint="eastAsia" w:ascii="Times New Roman"/>
        </w:rPr>
        <w:t>表6</w:t>
      </w:r>
      <w:r>
        <w:rPr>
          <w:rFonts w:ascii="Times New Roman"/>
          <w:color w:val="000000"/>
        </w:rPr>
        <w:t>数据采用线性内插法或外延法求得。</w:t>
      </w:r>
    </w:p>
    <w:p w14:paraId="3FB54522">
      <w:pPr>
        <w:jc w:val="center"/>
        <w:rPr>
          <w:rFonts w:hint="default" w:ascii="黑体" w:hAnsi="黑体" w:eastAsia="黑体" w:cs="黑体"/>
          <w:lang w:val="en-US" w:eastAsia="zh-CN"/>
        </w:rPr>
      </w:pPr>
      <w:r>
        <w:rPr>
          <w:rFonts w:hint="eastAsia" w:ascii="黑体" w:hAnsi="黑体" w:eastAsia="黑体" w:cs="黑体"/>
          <w:sz w:val="18"/>
          <w:szCs w:val="18"/>
        </w:rPr>
        <w:t>表</w:t>
      </w:r>
      <w:r>
        <w:rPr>
          <w:rFonts w:hint="eastAsia" w:ascii="黑体" w:hAnsi="黑体" w:eastAsia="黑体" w:cs="黑体"/>
          <w:sz w:val="18"/>
          <w:szCs w:val="18"/>
          <w:lang w:val="en-US" w:eastAsia="zh-CN"/>
        </w:rPr>
        <w:t>3 再现性限（</w:t>
      </w:r>
      <w:r>
        <w:rPr>
          <w:rFonts w:hint="eastAsia" w:ascii="黑体" w:hAnsi="黑体" w:eastAsia="黑体" w:cs="黑体"/>
          <w:i/>
          <w:iCs/>
          <w:sz w:val="18"/>
          <w:szCs w:val="18"/>
          <w:lang w:val="en-US" w:eastAsia="zh-CN"/>
        </w:rPr>
        <w:t>R</w:t>
      </w:r>
      <w:r>
        <w:rPr>
          <w:rFonts w:hint="eastAsia" w:ascii="黑体" w:hAnsi="黑体" w:eastAsia="黑体" w:cs="黑体"/>
          <w:sz w:val="18"/>
          <w:szCs w:val="18"/>
          <w:lang w:val="en-US" w:eastAsia="zh-CN"/>
        </w:rPr>
        <w:t>）</w:t>
      </w:r>
    </w:p>
    <w:tbl>
      <w:tblPr>
        <w:tblStyle w:val="31"/>
        <w:tblW w:w="511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885"/>
        <w:gridCol w:w="4900"/>
      </w:tblGrid>
      <w:tr w14:paraId="0F036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exact"/>
          <w:jc w:val="center"/>
        </w:trPr>
        <w:tc>
          <w:tcPr>
            <w:tcW w:w="2496" w:type="pct"/>
            <w:tcBorders>
              <w:bottom w:val="single" w:color="auto" w:sz="12" w:space="0"/>
              <w:right w:val="single" w:color="auto" w:sz="4" w:space="0"/>
            </w:tcBorders>
            <w:vAlign w:val="center"/>
          </w:tcPr>
          <w:p w14:paraId="054FB990">
            <w:pPr>
              <w:jc w:val="center"/>
              <w:rPr>
                <w:sz w:val="18"/>
                <w:szCs w:val="18"/>
              </w:rPr>
            </w:pPr>
            <w:r>
              <w:rPr>
                <w:rFonts w:hint="eastAsia"/>
                <w:sz w:val="18"/>
                <w:szCs w:val="18"/>
                <w:lang w:val="en-US" w:eastAsia="zh-CN"/>
              </w:rPr>
              <w:t>五氧化二磷</w:t>
            </w:r>
            <w:r>
              <w:rPr>
                <w:rFonts w:hint="eastAsia"/>
                <w:sz w:val="18"/>
                <w:szCs w:val="18"/>
              </w:rPr>
              <w:t>质量分数</w:t>
            </w:r>
            <w:r>
              <w:rPr>
                <w:sz w:val="18"/>
                <w:szCs w:val="18"/>
              </w:rPr>
              <w:t>/%</w:t>
            </w:r>
          </w:p>
        </w:tc>
        <w:tc>
          <w:tcPr>
            <w:tcW w:w="2503" w:type="pct"/>
            <w:tcBorders>
              <w:left w:val="single" w:color="auto" w:sz="4" w:space="0"/>
              <w:bottom w:val="single" w:color="auto" w:sz="12" w:space="0"/>
            </w:tcBorders>
            <w:vAlign w:val="center"/>
          </w:tcPr>
          <w:p w14:paraId="76403266">
            <w:pPr>
              <w:jc w:val="center"/>
              <w:rPr>
                <w:sz w:val="18"/>
                <w:szCs w:val="18"/>
              </w:rPr>
            </w:pPr>
            <w:r>
              <w:rPr>
                <w:rFonts w:hint="eastAsia"/>
                <w:sz w:val="18"/>
                <w:szCs w:val="18"/>
              </w:rPr>
              <w:t>再现</w:t>
            </w:r>
            <w:r>
              <w:rPr>
                <w:sz w:val="18"/>
                <w:szCs w:val="18"/>
              </w:rPr>
              <w:t>性</w:t>
            </w:r>
            <w:r>
              <w:rPr>
                <w:rFonts w:hint="eastAsia"/>
                <w:sz w:val="18"/>
                <w:szCs w:val="18"/>
              </w:rPr>
              <w:t>限</w:t>
            </w:r>
            <w:r>
              <w:rPr>
                <w:sz w:val="18"/>
                <w:szCs w:val="18"/>
              </w:rPr>
              <w:t>(</w:t>
            </w:r>
            <w:r>
              <w:rPr>
                <w:i/>
                <w:sz w:val="18"/>
                <w:szCs w:val="18"/>
              </w:rPr>
              <w:t>R</w:t>
            </w:r>
            <w:r>
              <w:rPr>
                <w:sz w:val="18"/>
                <w:szCs w:val="18"/>
              </w:rPr>
              <w:t>)%</w:t>
            </w:r>
          </w:p>
        </w:tc>
      </w:tr>
      <w:tr w14:paraId="65026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2496" w:type="pct"/>
            <w:tcBorders>
              <w:top w:val="single" w:color="auto" w:sz="12" w:space="0"/>
              <w:bottom w:val="single" w:color="auto" w:sz="4" w:space="0"/>
              <w:right w:val="single" w:color="auto" w:sz="4" w:space="0"/>
            </w:tcBorders>
            <w:shd w:val="clear" w:color="auto" w:fill="auto"/>
            <w:vAlign w:val="center"/>
          </w:tcPr>
          <w:p w14:paraId="51D71E3C">
            <w:pPr>
              <w:widowControl/>
              <w:jc w:val="center"/>
              <w:textAlignment w:val="center"/>
              <w:rPr>
                <w:color w:val="000000"/>
                <w:kern w:val="0"/>
                <w:sz w:val="18"/>
                <w:szCs w:val="18"/>
                <w:lang w:bidi="ar"/>
              </w:rPr>
            </w:pPr>
            <w:r>
              <w:rPr>
                <w:rFonts w:hint="eastAsia"/>
                <w:color w:val="000000"/>
                <w:kern w:val="0"/>
                <w:sz w:val="18"/>
                <w:szCs w:val="18"/>
                <w:lang w:bidi="ar"/>
              </w:rPr>
              <w:t>0.29</w:t>
            </w:r>
          </w:p>
        </w:tc>
        <w:tc>
          <w:tcPr>
            <w:tcW w:w="2503" w:type="pct"/>
            <w:tcBorders>
              <w:top w:val="single" w:color="auto" w:sz="12" w:space="0"/>
              <w:left w:val="single" w:color="auto" w:sz="4" w:space="0"/>
              <w:bottom w:val="single" w:color="auto" w:sz="4" w:space="0"/>
            </w:tcBorders>
            <w:shd w:val="clear" w:color="auto" w:fill="auto"/>
            <w:vAlign w:val="center"/>
          </w:tcPr>
          <w:p w14:paraId="5E4BDABB">
            <w:pPr>
              <w:widowControl/>
              <w:jc w:val="center"/>
              <w:textAlignment w:val="center"/>
              <w:rPr>
                <w:color w:val="000000"/>
                <w:kern w:val="0"/>
                <w:sz w:val="18"/>
                <w:szCs w:val="18"/>
                <w:lang w:bidi="ar"/>
              </w:rPr>
            </w:pPr>
            <w:r>
              <w:rPr>
                <w:rFonts w:hint="eastAsia"/>
                <w:color w:val="000000"/>
                <w:kern w:val="0"/>
                <w:sz w:val="18"/>
                <w:szCs w:val="18"/>
                <w:lang w:bidi="ar"/>
              </w:rPr>
              <w:t>0.03</w:t>
            </w:r>
          </w:p>
        </w:tc>
      </w:tr>
      <w:tr w14:paraId="36902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2496" w:type="pct"/>
            <w:tcBorders>
              <w:top w:val="single" w:color="auto" w:sz="4" w:space="0"/>
              <w:bottom w:val="single" w:color="auto" w:sz="4" w:space="0"/>
              <w:right w:val="single" w:color="auto" w:sz="4" w:space="0"/>
            </w:tcBorders>
            <w:shd w:val="clear" w:color="auto" w:fill="auto"/>
            <w:vAlign w:val="center"/>
          </w:tcPr>
          <w:p w14:paraId="18F68CCD">
            <w:pPr>
              <w:widowControl/>
              <w:jc w:val="center"/>
              <w:textAlignment w:val="center"/>
              <w:rPr>
                <w:color w:val="000000"/>
                <w:kern w:val="0"/>
                <w:sz w:val="18"/>
                <w:szCs w:val="18"/>
                <w:lang w:bidi="ar"/>
              </w:rPr>
            </w:pPr>
            <w:r>
              <w:rPr>
                <w:rFonts w:hint="eastAsia"/>
                <w:color w:val="000000"/>
                <w:kern w:val="0"/>
                <w:sz w:val="18"/>
                <w:szCs w:val="18"/>
                <w:lang w:bidi="ar"/>
              </w:rPr>
              <w:t>1.78</w:t>
            </w:r>
          </w:p>
        </w:tc>
        <w:tc>
          <w:tcPr>
            <w:tcW w:w="2503" w:type="pct"/>
            <w:tcBorders>
              <w:top w:val="single" w:color="auto" w:sz="4" w:space="0"/>
              <w:left w:val="single" w:color="auto" w:sz="4" w:space="0"/>
              <w:bottom w:val="single" w:color="auto" w:sz="4" w:space="0"/>
            </w:tcBorders>
            <w:shd w:val="clear" w:color="auto" w:fill="auto"/>
            <w:vAlign w:val="center"/>
          </w:tcPr>
          <w:p w14:paraId="2CD18008">
            <w:pPr>
              <w:widowControl/>
              <w:jc w:val="center"/>
              <w:textAlignment w:val="center"/>
              <w:rPr>
                <w:color w:val="000000"/>
                <w:kern w:val="0"/>
                <w:sz w:val="18"/>
                <w:szCs w:val="18"/>
                <w:lang w:bidi="ar"/>
              </w:rPr>
            </w:pPr>
            <w:r>
              <w:rPr>
                <w:rFonts w:hint="eastAsia"/>
                <w:color w:val="000000"/>
                <w:kern w:val="0"/>
                <w:sz w:val="18"/>
                <w:szCs w:val="18"/>
                <w:lang w:bidi="ar"/>
              </w:rPr>
              <w:t>0.09</w:t>
            </w:r>
          </w:p>
        </w:tc>
      </w:tr>
      <w:tr w14:paraId="280C2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2496" w:type="pct"/>
            <w:tcBorders>
              <w:top w:val="single" w:color="auto" w:sz="4" w:space="0"/>
              <w:bottom w:val="single" w:color="auto" w:sz="4" w:space="0"/>
              <w:right w:val="single" w:color="auto" w:sz="4" w:space="0"/>
            </w:tcBorders>
            <w:shd w:val="clear" w:color="auto" w:fill="auto"/>
            <w:vAlign w:val="center"/>
          </w:tcPr>
          <w:p w14:paraId="5B4E5D0C">
            <w:pPr>
              <w:widowControl/>
              <w:jc w:val="center"/>
              <w:textAlignment w:val="center"/>
              <w:rPr>
                <w:color w:val="000000"/>
                <w:kern w:val="0"/>
                <w:sz w:val="18"/>
                <w:szCs w:val="18"/>
                <w:lang w:bidi="ar"/>
              </w:rPr>
            </w:pPr>
            <w:r>
              <w:rPr>
                <w:rFonts w:hint="eastAsia"/>
                <w:color w:val="000000"/>
                <w:kern w:val="0"/>
                <w:sz w:val="18"/>
                <w:szCs w:val="18"/>
                <w:lang w:bidi="ar"/>
              </w:rPr>
              <w:t>8.73</w:t>
            </w:r>
          </w:p>
        </w:tc>
        <w:tc>
          <w:tcPr>
            <w:tcW w:w="2503" w:type="pct"/>
            <w:tcBorders>
              <w:top w:val="single" w:color="auto" w:sz="4" w:space="0"/>
              <w:left w:val="single" w:color="auto" w:sz="4" w:space="0"/>
              <w:bottom w:val="single" w:color="auto" w:sz="4" w:space="0"/>
            </w:tcBorders>
            <w:shd w:val="clear" w:color="auto" w:fill="auto"/>
            <w:vAlign w:val="center"/>
          </w:tcPr>
          <w:p w14:paraId="3A6E070E">
            <w:pPr>
              <w:widowControl/>
              <w:jc w:val="center"/>
              <w:textAlignment w:val="center"/>
              <w:rPr>
                <w:color w:val="000000"/>
                <w:kern w:val="0"/>
                <w:sz w:val="18"/>
                <w:szCs w:val="18"/>
                <w:lang w:bidi="ar"/>
              </w:rPr>
            </w:pPr>
            <w:r>
              <w:rPr>
                <w:rFonts w:hint="eastAsia"/>
                <w:color w:val="000000"/>
                <w:kern w:val="0"/>
                <w:sz w:val="18"/>
                <w:szCs w:val="18"/>
                <w:lang w:bidi="ar"/>
              </w:rPr>
              <w:t>0.23</w:t>
            </w:r>
          </w:p>
        </w:tc>
      </w:tr>
      <w:tr w14:paraId="035ED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exact"/>
          <w:jc w:val="center"/>
        </w:trPr>
        <w:tc>
          <w:tcPr>
            <w:tcW w:w="2496" w:type="pct"/>
            <w:tcBorders>
              <w:top w:val="single" w:color="auto" w:sz="4" w:space="0"/>
              <w:bottom w:val="single" w:color="auto" w:sz="4" w:space="0"/>
              <w:right w:val="single" w:color="auto" w:sz="4" w:space="0"/>
            </w:tcBorders>
            <w:shd w:val="clear" w:color="auto" w:fill="auto"/>
            <w:vAlign w:val="center"/>
          </w:tcPr>
          <w:p w14:paraId="5FD837AE">
            <w:pPr>
              <w:widowControl/>
              <w:jc w:val="center"/>
              <w:textAlignment w:val="center"/>
              <w:rPr>
                <w:color w:val="000000"/>
                <w:kern w:val="0"/>
                <w:sz w:val="18"/>
                <w:szCs w:val="18"/>
                <w:lang w:bidi="ar"/>
              </w:rPr>
            </w:pPr>
            <w:r>
              <w:rPr>
                <w:rFonts w:hint="eastAsia"/>
                <w:color w:val="000000"/>
                <w:kern w:val="0"/>
                <w:sz w:val="18"/>
                <w:szCs w:val="18"/>
                <w:lang w:bidi="ar"/>
              </w:rPr>
              <w:t>13.39</w:t>
            </w:r>
          </w:p>
        </w:tc>
        <w:tc>
          <w:tcPr>
            <w:tcW w:w="2503" w:type="pct"/>
            <w:tcBorders>
              <w:top w:val="single" w:color="auto" w:sz="4" w:space="0"/>
              <w:left w:val="single" w:color="auto" w:sz="4" w:space="0"/>
              <w:bottom w:val="single" w:color="auto" w:sz="4" w:space="0"/>
            </w:tcBorders>
            <w:shd w:val="clear" w:color="auto" w:fill="auto"/>
            <w:vAlign w:val="center"/>
          </w:tcPr>
          <w:p w14:paraId="23D62F36">
            <w:pPr>
              <w:widowControl/>
              <w:jc w:val="center"/>
              <w:textAlignment w:val="center"/>
              <w:rPr>
                <w:color w:val="000000"/>
                <w:kern w:val="0"/>
                <w:sz w:val="18"/>
                <w:szCs w:val="18"/>
                <w:lang w:bidi="ar"/>
              </w:rPr>
            </w:pPr>
            <w:r>
              <w:rPr>
                <w:rFonts w:hint="eastAsia"/>
                <w:color w:val="000000"/>
                <w:kern w:val="0"/>
                <w:sz w:val="18"/>
                <w:szCs w:val="18"/>
                <w:lang w:bidi="ar"/>
              </w:rPr>
              <w:t>0.29</w:t>
            </w:r>
          </w:p>
        </w:tc>
      </w:tr>
      <w:tr w14:paraId="37CDA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exact"/>
          <w:jc w:val="center"/>
        </w:trPr>
        <w:tc>
          <w:tcPr>
            <w:tcW w:w="2496" w:type="pct"/>
            <w:tcBorders>
              <w:top w:val="single" w:color="auto" w:sz="4" w:space="0"/>
              <w:bottom w:val="single" w:color="auto" w:sz="4" w:space="0"/>
              <w:right w:val="single" w:color="auto" w:sz="4" w:space="0"/>
            </w:tcBorders>
            <w:shd w:val="clear" w:color="auto" w:fill="auto"/>
            <w:vAlign w:val="center"/>
          </w:tcPr>
          <w:p w14:paraId="45086D1D">
            <w:pPr>
              <w:widowControl/>
              <w:jc w:val="center"/>
              <w:textAlignment w:val="center"/>
              <w:rPr>
                <w:rFonts w:hint="eastAsia" w:ascii="Times New Roman" w:hAnsi="Times New Roman" w:eastAsia="宋体" w:cs="Times New Roman"/>
                <w:color w:val="000000"/>
                <w:kern w:val="0"/>
                <w:sz w:val="18"/>
                <w:szCs w:val="18"/>
                <w:lang w:val="en-US" w:eastAsia="zh-CN" w:bidi="ar"/>
              </w:rPr>
            </w:pPr>
            <w:r>
              <w:rPr>
                <w:rFonts w:hint="eastAsia"/>
                <w:color w:val="000000"/>
                <w:kern w:val="0"/>
                <w:sz w:val="18"/>
                <w:szCs w:val="18"/>
                <w:lang w:bidi="ar"/>
              </w:rPr>
              <w:t>22.64</w:t>
            </w:r>
          </w:p>
        </w:tc>
        <w:tc>
          <w:tcPr>
            <w:tcW w:w="2503" w:type="pct"/>
            <w:tcBorders>
              <w:top w:val="single" w:color="auto" w:sz="4" w:space="0"/>
              <w:left w:val="single" w:color="auto" w:sz="4" w:space="0"/>
              <w:bottom w:val="single" w:color="auto" w:sz="4" w:space="0"/>
            </w:tcBorders>
            <w:shd w:val="clear" w:color="auto" w:fill="auto"/>
            <w:vAlign w:val="center"/>
          </w:tcPr>
          <w:p w14:paraId="3F9FE929">
            <w:pPr>
              <w:widowControl/>
              <w:jc w:val="center"/>
              <w:textAlignment w:val="center"/>
              <w:rPr>
                <w:rFonts w:hint="eastAsia" w:ascii="Times New Roman" w:hAnsi="Times New Roman" w:eastAsia="宋体" w:cs="Times New Roman"/>
                <w:color w:val="000000"/>
                <w:kern w:val="0"/>
                <w:sz w:val="18"/>
                <w:szCs w:val="18"/>
                <w:lang w:val="en-US" w:eastAsia="zh-CN" w:bidi="ar"/>
              </w:rPr>
            </w:pPr>
            <w:r>
              <w:rPr>
                <w:rFonts w:hint="eastAsia"/>
                <w:color w:val="000000"/>
                <w:kern w:val="0"/>
                <w:sz w:val="18"/>
                <w:szCs w:val="18"/>
                <w:lang w:bidi="ar"/>
              </w:rPr>
              <w:t>0.22</w:t>
            </w:r>
          </w:p>
        </w:tc>
      </w:tr>
      <w:tr w14:paraId="7C800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exact"/>
          <w:jc w:val="center"/>
        </w:trPr>
        <w:tc>
          <w:tcPr>
            <w:tcW w:w="2496" w:type="pct"/>
            <w:tcBorders>
              <w:top w:val="single" w:color="auto" w:sz="4" w:space="0"/>
              <w:bottom w:val="single" w:color="auto" w:sz="4" w:space="0"/>
              <w:right w:val="single" w:color="auto" w:sz="4" w:space="0"/>
            </w:tcBorders>
            <w:shd w:val="clear" w:color="auto" w:fill="auto"/>
            <w:vAlign w:val="center"/>
          </w:tcPr>
          <w:p w14:paraId="48951DE8">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color w:val="000000"/>
                <w:kern w:val="0"/>
                <w:sz w:val="18"/>
                <w:szCs w:val="18"/>
                <w:lang w:val="en-US" w:eastAsia="zh-CN" w:bidi="ar"/>
              </w:rPr>
              <w:t>30.36</w:t>
            </w:r>
          </w:p>
        </w:tc>
        <w:tc>
          <w:tcPr>
            <w:tcW w:w="2503" w:type="pct"/>
            <w:tcBorders>
              <w:top w:val="single" w:color="auto" w:sz="4" w:space="0"/>
              <w:left w:val="single" w:color="auto" w:sz="4" w:space="0"/>
              <w:bottom w:val="single" w:color="auto" w:sz="4" w:space="0"/>
            </w:tcBorders>
            <w:shd w:val="clear" w:color="auto" w:fill="auto"/>
            <w:vAlign w:val="center"/>
          </w:tcPr>
          <w:p w14:paraId="46FE33FE">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color w:val="000000"/>
                <w:kern w:val="0"/>
                <w:sz w:val="18"/>
                <w:szCs w:val="18"/>
                <w:lang w:val="en-US" w:eastAsia="zh-CN" w:bidi="ar"/>
              </w:rPr>
              <w:t>0.55</w:t>
            </w:r>
          </w:p>
        </w:tc>
      </w:tr>
      <w:tr w14:paraId="1EEB3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exact"/>
          <w:jc w:val="center"/>
        </w:trPr>
        <w:tc>
          <w:tcPr>
            <w:tcW w:w="5000" w:type="pct"/>
            <w:gridSpan w:val="2"/>
            <w:tcBorders>
              <w:top w:val="single" w:color="auto" w:sz="4" w:space="0"/>
              <w:bottom w:val="single" w:color="auto" w:sz="12" w:space="0"/>
            </w:tcBorders>
            <w:shd w:val="clear" w:color="auto" w:fill="auto"/>
            <w:vAlign w:val="center"/>
          </w:tcPr>
          <w:p w14:paraId="6496A2A1">
            <w:pPr>
              <w:rPr>
                <w:color w:val="000000"/>
                <w:kern w:val="0"/>
                <w:sz w:val="18"/>
                <w:szCs w:val="18"/>
                <w:lang w:bidi="ar"/>
              </w:rPr>
            </w:pPr>
            <w:r>
              <w:rPr>
                <w:rFonts w:hint="eastAsia" w:ascii="黑体" w:hAnsi="黑体" w:eastAsia="黑体" w:cs="黑体"/>
                <w:color w:val="000000"/>
                <w:kern w:val="0"/>
                <w:sz w:val="18"/>
                <w:szCs w:val="18"/>
                <w:lang w:bidi="ar"/>
              </w:rPr>
              <w:t>注1：</w:t>
            </w:r>
            <w:r>
              <w:rPr>
                <w:color w:val="000000"/>
                <w:kern w:val="0"/>
                <w:sz w:val="18"/>
                <w:szCs w:val="18"/>
                <w:lang w:bidi="ar"/>
              </w:rPr>
              <w:t>再现性限（R）为2.8×S</w:t>
            </w:r>
            <w:r>
              <w:rPr>
                <w:color w:val="000000"/>
                <w:kern w:val="0"/>
                <w:sz w:val="18"/>
                <w:szCs w:val="18"/>
                <w:vertAlign w:val="subscript"/>
                <w:lang w:bidi="ar"/>
              </w:rPr>
              <w:t>R</w:t>
            </w:r>
            <w:r>
              <w:rPr>
                <w:color w:val="000000"/>
                <w:kern w:val="0"/>
                <w:sz w:val="18"/>
                <w:szCs w:val="18"/>
                <w:lang w:bidi="ar"/>
              </w:rPr>
              <w:t>，S</w:t>
            </w:r>
            <w:r>
              <w:rPr>
                <w:color w:val="000000"/>
                <w:kern w:val="0"/>
                <w:sz w:val="18"/>
                <w:szCs w:val="18"/>
                <w:vertAlign w:val="subscript"/>
                <w:lang w:bidi="ar"/>
              </w:rPr>
              <w:t>R</w:t>
            </w:r>
            <w:r>
              <w:rPr>
                <w:color w:val="000000"/>
                <w:kern w:val="0"/>
                <w:sz w:val="18"/>
                <w:szCs w:val="18"/>
                <w:lang w:bidi="ar"/>
              </w:rPr>
              <w:t>为再现性限标准偏差。</w:t>
            </w:r>
          </w:p>
          <w:p w14:paraId="4AF679D2">
            <w:pPr>
              <w:widowControl/>
              <w:jc w:val="center"/>
              <w:textAlignment w:val="center"/>
              <w:rPr>
                <w:rFonts w:ascii="宋体" w:hAnsi="宋体" w:cs="宋体"/>
                <w:color w:val="000000"/>
                <w:kern w:val="0"/>
                <w:sz w:val="18"/>
                <w:szCs w:val="18"/>
                <w:lang w:bidi="ar"/>
              </w:rPr>
            </w:pPr>
          </w:p>
        </w:tc>
      </w:tr>
    </w:tbl>
    <w:p w14:paraId="0DDA62C1">
      <w:pPr>
        <w:pStyle w:val="74"/>
        <w:numPr>
          <w:ilvl w:val="255"/>
          <w:numId w:val="0"/>
        </w:numPr>
        <w:tabs>
          <w:tab w:val="left" w:pos="112"/>
        </w:tabs>
        <w:spacing w:before="312" w:beforeLines="100" w:after="312" w:afterLines="100"/>
        <w:rPr>
          <w:rFonts w:hAnsi="黑体" w:cs="黑体"/>
          <w:szCs w:val="21"/>
        </w:rPr>
      </w:pPr>
      <w:r>
        <w:rPr>
          <w:rFonts w:hint="eastAsia" w:hAnsi="黑体" w:cs="黑体"/>
          <w:szCs w:val="21"/>
        </w:rPr>
        <w:t>5  电感耦合等离子体发射光谱法</w:t>
      </w:r>
    </w:p>
    <w:p w14:paraId="587B0C4C">
      <w:pPr>
        <w:pStyle w:val="74"/>
        <w:numPr>
          <w:ilvl w:val="255"/>
          <w:numId w:val="0"/>
        </w:numPr>
        <w:tabs>
          <w:tab w:val="left" w:pos="112"/>
        </w:tabs>
        <w:spacing w:before="156" w:after="156"/>
        <w:rPr>
          <w:rFonts w:hAnsi="黑体" w:cs="黑体"/>
        </w:rPr>
      </w:pPr>
      <w:r>
        <w:rPr>
          <w:rFonts w:hint="eastAsia" w:hAnsi="黑体" w:cs="黑体"/>
        </w:rPr>
        <w:t>5.1 方法提要</w:t>
      </w:r>
    </w:p>
    <w:p w14:paraId="3BF17CE0">
      <w:pPr>
        <w:pStyle w:val="47"/>
        <w:ind w:firstLine="420"/>
        <w:rPr>
          <w:rFonts w:ascii="Times New Roman"/>
          <w:bCs/>
          <w:kern w:val="2"/>
          <w:szCs w:val="24"/>
        </w:rPr>
      </w:pPr>
      <w:r>
        <w:rPr>
          <w:rFonts w:hint="eastAsia" w:ascii="Times New Roman"/>
          <w:szCs w:val="21"/>
        </w:rPr>
        <w:t>试料经氢氧化钠-过氧化钠熔融分解，以硝酸溶解冷却后的熔块，采用电感耦合等离子体发射光谱仪，在盐酸介质中测定五氧化二磷含量。</w:t>
      </w:r>
    </w:p>
    <w:p w14:paraId="4296B2B1">
      <w:pPr>
        <w:pStyle w:val="74"/>
        <w:numPr>
          <w:ilvl w:val="0"/>
          <w:numId w:val="0"/>
        </w:numPr>
        <w:spacing w:before="156" w:after="156"/>
        <w:rPr>
          <w:rFonts w:ascii="Times New Roman"/>
          <w:color w:val="000000"/>
        </w:rPr>
      </w:pPr>
      <w:r>
        <w:rPr>
          <w:rFonts w:hint="eastAsia" w:hAnsi="黑体" w:cs="黑体"/>
          <w:color w:val="000000"/>
        </w:rPr>
        <w:t>5.2</w:t>
      </w:r>
      <w:r>
        <w:rPr>
          <w:rFonts w:ascii="Times New Roman"/>
          <w:color w:val="FF0000"/>
        </w:rPr>
        <w:t>　</w:t>
      </w:r>
      <w:r>
        <w:rPr>
          <w:rFonts w:ascii="Times New Roman"/>
          <w:color w:val="000000"/>
        </w:rPr>
        <w:t>试剂和材料</w:t>
      </w:r>
    </w:p>
    <w:bookmarkEnd w:id="2"/>
    <w:p w14:paraId="1EE69433">
      <w:pPr>
        <w:pStyle w:val="47"/>
        <w:ind w:firstLine="420"/>
        <w:rPr>
          <w:rFonts w:ascii="Times New Roman"/>
          <w:color w:val="000000"/>
        </w:rPr>
      </w:pPr>
      <w:r>
        <w:rPr>
          <w:rFonts w:ascii="Times New Roman"/>
          <w:bCs/>
          <w:kern w:val="2"/>
          <w:szCs w:val="24"/>
        </w:rPr>
        <w:t>除非另有说明，在分析中仅使用确认为</w:t>
      </w:r>
      <w:r>
        <w:rPr>
          <w:rFonts w:hint="eastAsia" w:ascii="Times New Roman"/>
          <w:bCs/>
          <w:kern w:val="2"/>
          <w:szCs w:val="24"/>
        </w:rPr>
        <w:t>分析</w:t>
      </w:r>
      <w:r>
        <w:rPr>
          <w:rFonts w:ascii="Times New Roman"/>
          <w:bCs/>
          <w:kern w:val="2"/>
          <w:szCs w:val="24"/>
        </w:rPr>
        <w:t>纯及以上试剂和</w:t>
      </w:r>
      <w:r>
        <w:rPr>
          <w:rFonts w:hint="eastAsia" w:ascii="Times New Roman"/>
          <w:bCs/>
          <w:kern w:val="2"/>
          <w:szCs w:val="24"/>
        </w:rPr>
        <w:t>符合实验室GB/T 6682规定的</w:t>
      </w:r>
      <w:r>
        <w:rPr>
          <w:rFonts w:hint="eastAsia" w:ascii="Times New Roman"/>
          <w:bCs/>
          <w:kern w:val="2"/>
          <w:szCs w:val="24"/>
          <w:lang w:val="en-US" w:eastAsia="zh-CN"/>
        </w:rPr>
        <w:t>二</w:t>
      </w:r>
      <w:r>
        <w:rPr>
          <w:rFonts w:hint="eastAsia" w:ascii="Times New Roman"/>
          <w:bCs/>
          <w:kern w:val="2"/>
          <w:szCs w:val="24"/>
        </w:rPr>
        <w:t>级水</w:t>
      </w:r>
      <w:r>
        <w:rPr>
          <w:rFonts w:ascii="Times New Roman"/>
          <w:bCs/>
          <w:kern w:val="2"/>
          <w:szCs w:val="24"/>
        </w:rPr>
        <w:t>。</w:t>
      </w:r>
      <w:r>
        <w:rPr>
          <w:rFonts w:hint="eastAsia" w:ascii="Times New Roman"/>
          <w:bCs/>
          <w:kern w:val="2"/>
          <w:szCs w:val="24"/>
        </w:rPr>
        <w:t>优先使用有证标准溶液。</w:t>
      </w:r>
    </w:p>
    <w:p w14:paraId="7422D847">
      <w:pPr>
        <w:rPr>
          <w:rFonts w:asciiTheme="minorEastAsia" w:hAnsiTheme="minorEastAsia" w:eastAsiaTheme="minorEastAsia"/>
          <w:color w:val="000000"/>
        </w:rPr>
      </w:pPr>
      <w:r>
        <w:rPr>
          <w:rFonts w:hint="eastAsia" w:ascii="黑体" w:hAnsi="黑体" w:eastAsia="黑体"/>
          <w:color w:val="000000"/>
        </w:rPr>
        <w:t>5.2.1</w:t>
      </w:r>
      <w:r>
        <w:rPr>
          <w:rFonts w:asciiTheme="minorEastAsia" w:hAnsiTheme="minorEastAsia" w:eastAsiaTheme="minorEastAsia"/>
          <w:color w:val="FF0000"/>
        </w:rPr>
        <w:t>　</w:t>
      </w:r>
      <w:r>
        <w:rPr>
          <w:rFonts w:hint="eastAsia"/>
          <w:szCs w:val="21"/>
        </w:rPr>
        <w:t>氢氧化钠。</w:t>
      </w:r>
    </w:p>
    <w:p w14:paraId="5D4C8A68">
      <w:pPr>
        <w:rPr>
          <w:rFonts w:asciiTheme="minorEastAsia" w:hAnsiTheme="minorEastAsia" w:eastAsiaTheme="minorEastAsia"/>
        </w:rPr>
      </w:pPr>
      <w:r>
        <w:rPr>
          <w:rFonts w:hint="eastAsia" w:ascii="黑体" w:hAnsi="黑体" w:eastAsia="黑体"/>
          <w:color w:val="000000"/>
        </w:rPr>
        <w:t>5.2.2</w:t>
      </w:r>
      <w:r>
        <w:rPr>
          <w:rFonts w:asciiTheme="minorEastAsia" w:hAnsiTheme="minorEastAsia" w:eastAsiaTheme="minorEastAsia"/>
          <w:color w:val="FF0000"/>
        </w:rPr>
        <w:t>　</w:t>
      </w:r>
      <w:r>
        <w:rPr>
          <w:rFonts w:hint="eastAsia"/>
          <w:szCs w:val="21"/>
        </w:rPr>
        <w:t>过氧化钠。</w:t>
      </w:r>
    </w:p>
    <w:p w14:paraId="5E873CD3">
      <w:pPr>
        <w:rPr>
          <w:rFonts w:eastAsiaTheme="minorEastAsia"/>
        </w:rPr>
      </w:pPr>
      <w:r>
        <w:rPr>
          <w:rFonts w:hint="eastAsia" w:ascii="黑体" w:hAnsi="黑体" w:eastAsia="黑体"/>
          <w:color w:val="000000"/>
        </w:rPr>
        <w:t>5.2</w:t>
      </w:r>
      <w:r>
        <w:rPr>
          <w:rFonts w:ascii="黑体" w:hAnsi="黑体" w:eastAsia="黑体"/>
          <w:color w:val="000000"/>
        </w:rPr>
        <w:t>.</w:t>
      </w:r>
      <w:r>
        <w:rPr>
          <w:rFonts w:hint="eastAsia" w:ascii="黑体" w:hAnsi="黑体" w:eastAsia="黑体"/>
          <w:color w:val="000000"/>
        </w:rPr>
        <w:t>3</w:t>
      </w:r>
      <w:r>
        <w:rPr>
          <w:rFonts w:asciiTheme="minorEastAsia" w:hAnsiTheme="minorEastAsia" w:eastAsiaTheme="minorEastAsia"/>
          <w:color w:val="FF0000"/>
        </w:rPr>
        <w:t>　</w:t>
      </w:r>
      <w:r>
        <w:rPr>
          <w:rFonts w:hint="eastAsia"/>
          <w:szCs w:val="21"/>
        </w:rPr>
        <w:t>硝酸</w:t>
      </w:r>
      <w:r>
        <w:rPr>
          <w:rFonts w:hint="eastAsia"/>
          <w:szCs w:val="21"/>
          <w:lang w:eastAsia="zh-CN"/>
        </w:rPr>
        <w:t>（</w:t>
      </w:r>
      <w:r>
        <w:rPr>
          <w:i/>
          <w:iCs/>
          <w:szCs w:val="21"/>
        </w:rPr>
        <w:t>ρ</w:t>
      </w:r>
      <w:r>
        <w:rPr>
          <w:rFonts w:hint="eastAsia"/>
          <w:i/>
          <w:iCs/>
          <w:szCs w:val="21"/>
          <w:lang w:val="en-US" w:eastAsia="zh-CN"/>
        </w:rPr>
        <w:t>=</w:t>
      </w:r>
      <w:r>
        <w:rPr>
          <w:rFonts w:hint="eastAsia"/>
          <w:szCs w:val="21"/>
        </w:rPr>
        <w:t>1.42 g/mL</w:t>
      </w:r>
      <w:r>
        <w:rPr>
          <w:rFonts w:hint="eastAsia"/>
          <w:szCs w:val="21"/>
          <w:lang w:eastAsia="zh-CN"/>
        </w:rPr>
        <w:t>）</w:t>
      </w:r>
      <w:r>
        <w:rPr>
          <w:rFonts w:hint="eastAsia"/>
          <w:szCs w:val="21"/>
        </w:rPr>
        <w:t>。</w:t>
      </w:r>
    </w:p>
    <w:p w14:paraId="3F6A44A6">
      <w:pPr>
        <w:rPr>
          <w:rFonts w:asciiTheme="minorEastAsia" w:hAnsiTheme="minorEastAsia" w:eastAsiaTheme="minorEastAsia"/>
        </w:rPr>
      </w:pPr>
      <w:r>
        <w:rPr>
          <w:rFonts w:hint="eastAsia" w:ascii="黑体" w:hAnsi="黑体" w:eastAsia="黑体"/>
          <w:color w:val="000000"/>
        </w:rPr>
        <w:t>5.2</w:t>
      </w:r>
      <w:r>
        <w:rPr>
          <w:rFonts w:hint="eastAsia" w:ascii="黑体" w:hAnsi="黑体" w:eastAsia="黑体"/>
        </w:rPr>
        <w:t>.4</w:t>
      </w:r>
      <w:r>
        <w:rPr>
          <w:rFonts w:hint="eastAsia" w:asciiTheme="minorEastAsia" w:hAnsiTheme="minorEastAsia" w:eastAsiaTheme="minorEastAsia"/>
        </w:rPr>
        <w:t xml:space="preserve">  硝酸（1+1）。</w:t>
      </w:r>
    </w:p>
    <w:p w14:paraId="0E1EED92">
      <w:pPr>
        <w:rPr>
          <w:rFonts w:asciiTheme="minorEastAsia" w:hAnsiTheme="minorEastAsia" w:eastAsiaTheme="minorEastAsia"/>
        </w:rPr>
      </w:pPr>
      <w:r>
        <w:rPr>
          <w:rFonts w:hint="eastAsia" w:ascii="黑体" w:hAnsi="黑体" w:eastAsia="黑体"/>
          <w:color w:val="000000"/>
        </w:rPr>
        <w:t>5.2</w:t>
      </w:r>
      <w:r>
        <w:rPr>
          <w:rFonts w:ascii="黑体" w:hAnsi="黑体" w:eastAsia="黑体"/>
        </w:rPr>
        <w:t>.</w:t>
      </w:r>
      <w:r>
        <w:rPr>
          <w:rFonts w:hint="eastAsia" w:ascii="黑体" w:hAnsi="黑体" w:eastAsia="黑体"/>
        </w:rPr>
        <w:t>5</w:t>
      </w:r>
      <w:r>
        <w:rPr>
          <w:rFonts w:ascii="黑体" w:hAnsi="黑体" w:eastAsia="黑体"/>
        </w:rPr>
        <w:t>　</w:t>
      </w:r>
      <w:r>
        <w:rPr>
          <w:rFonts w:hint="eastAsia"/>
          <w:szCs w:val="21"/>
        </w:rPr>
        <w:t>过氧化氢（30%）。</w:t>
      </w:r>
    </w:p>
    <w:p w14:paraId="5090A365">
      <w:pPr>
        <w:rPr>
          <w:rFonts w:eastAsiaTheme="minorEastAsia"/>
          <w:szCs w:val="21"/>
        </w:rPr>
      </w:pPr>
      <w:r>
        <w:rPr>
          <w:rFonts w:hint="eastAsia" w:ascii="黑体" w:hAnsi="黑体" w:eastAsia="黑体"/>
          <w:color w:val="000000"/>
        </w:rPr>
        <w:t>5.2</w:t>
      </w:r>
      <w:r>
        <w:rPr>
          <w:rFonts w:ascii="黑体" w:hAnsi="黑体" w:eastAsia="黑体"/>
        </w:rPr>
        <w:t>.</w:t>
      </w:r>
      <w:r>
        <w:rPr>
          <w:rFonts w:hint="eastAsia" w:ascii="黑体" w:hAnsi="黑体" w:eastAsia="黑体"/>
        </w:rPr>
        <w:t>6</w:t>
      </w:r>
      <w:r>
        <w:rPr>
          <w:rFonts w:ascii="黑体" w:hAnsi="黑体" w:eastAsia="黑体"/>
        </w:rPr>
        <w:t>　</w:t>
      </w:r>
      <w:r>
        <w:rPr>
          <w:rFonts w:hint="eastAsia"/>
          <w:szCs w:val="21"/>
        </w:rPr>
        <w:t>五氧化二磷标准贮存溶液：称取1.9170g（预先经105℃～110℃烘干1h）的优级纯磷酸二氢钾于250mL烧杯中，加水溶解，移入1000mL容量瓶中，用水稀释至刻度，混匀。此溶液1mL含1mg五氧化二磷。</w:t>
      </w:r>
    </w:p>
    <w:p w14:paraId="7B325D06">
      <w:pPr>
        <w:rPr>
          <w:rFonts w:eastAsiaTheme="minorEastAsia"/>
        </w:rPr>
      </w:pPr>
      <w:r>
        <w:rPr>
          <w:rFonts w:hint="eastAsia" w:ascii="黑体" w:hAnsi="黑体" w:eastAsia="黑体"/>
          <w:color w:val="000000"/>
        </w:rPr>
        <w:t>5.2</w:t>
      </w:r>
      <w:r>
        <w:rPr>
          <w:rFonts w:ascii="黑体" w:hAnsi="黑体" w:eastAsia="黑体"/>
        </w:rPr>
        <w:t>.</w:t>
      </w:r>
      <w:r>
        <w:rPr>
          <w:rFonts w:hint="eastAsia" w:ascii="黑体" w:hAnsi="黑体" w:eastAsia="黑体"/>
        </w:rPr>
        <w:t>7</w:t>
      </w:r>
      <w:r>
        <w:rPr>
          <w:rFonts w:asciiTheme="minorEastAsia" w:hAnsiTheme="minorEastAsia" w:eastAsiaTheme="minorEastAsia"/>
          <w:color w:val="FF0000"/>
        </w:rPr>
        <w:t>　</w:t>
      </w:r>
      <w:r>
        <w:rPr>
          <w:rFonts w:hint="eastAsia"/>
          <w:szCs w:val="21"/>
        </w:rPr>
        <w:t>五氧化二磷标准溶液：移取10.00mL五氧化二磷标准贮存溶液（</w:t>
      </w:r>
      <w:r>
        <w:rPr>
          <w:rFonts w:hint="eastAsia"/>
          <w:szCs w:val="21"/>
          <w:lang w:val="en-US" w:eastAsia="zh-CN"/>
        </w:rPr>
        <w:t>5.2.6</w:t>
      </w:r>
      <w:r>
        <w:rPr>
          <w:rFonts w:hint="eastAsia"/>
          <w:szCs w:val="21"/>
        </w:rPr>
        <w:t>）于100mL容量瓶中，用水稀释至刻度，混匀。此溶液1mL含100μg五氧化二磷。</w:t>
      </w:r>
    </w:p>
    <w:p w14:paraId="4AEED71D">
      <w:pPr>
        <w:rPr>
          <w:szCs w:val="21"/>
        </w:rPr>
      </w:pPr>
      <w:r>
        <w:rPr>
          <w:rFonts w:hint="eastAsia" w:ascii="黑体" w:hAnsi="黑体" w:eastAsia="黑体"/>
          <w:color w:val="000000"/>
        </w:rPr>
        <w:t>5.2</w:t>
      </w:r>
      <w:r>
        <w:rPr>
          <w:rFonts w:ascii="黑体" w:hAnsi="黑体" w:eastAsia="黑体"/>
        </w:rPr>
        <w:t>.</w:t>
      </w:r>
      <w:r>
        <w:rPr>
          <w:rFonts w:hint="eastAsia" w:ascii="黑体" w:hAnsi="黑体" w:eastAsia="黑体"/>
        </w:rPr>
        <w:t>8</w:t>
      </w:r>
      <w:r>
        <w:rPr>
          <w:rFonts w:asciiTheme="minorEastAsia" w:hAnsiTheme="minorEastAsia" w:eastAsiaTheme="minorEastAsia"/>
          <w:color w:val="FF0000"/>
        </w:rPr>
        <w:t>　</w:t>
      </w:r>
      <w:r>
        <w:rPr>
          <w:rFonts w:hint="eastAsia"/>
          <w:szCs w:val="21"/>
        </w:rPr>
        <w:t>氩气[w(Ar)&gt;99.99%]。</w:t>
      </w:r>
    </w:p>
    <w:p w14:paraId="038DF82D">
      <w:pPr>
        <w:pStyle w:val="74"/>
        <w:numPr>
          <w:ilvl w:val="0"/>
          <w:numId w:val="0"/>
        </w:numPr>
        <w:spacing w:before="156" w:after="156"/>
        <w:rPr>
          <w:rFonts w:ascii="Times New Roman"/>
          <w:color w:val="000000"/>
        </w:rPr>
      </w:pPr>
      <w:r>
        <w:rPr>
          <w:rFonts w:hint="eastAsia" w:hAnsi="黑体" w:cs="黑体"/>
          <w:color w:val="000000"/>
        </w:rPr>
        <w:t>5.3</w:t>
      </w:r>
      <w:r>
        <w:rPr>
          <w:rFonts w:ascii="Times New Roman"/>
          <w:color w:val="000000"/>
        </w:rPr>
        <w:t>　仪器</w:t>
      </w:r>
      <w:r>
        <w:rPr>
          <w:rFonts w:hint="eastAsia" w:ascii="Times New Roman"/>
          <w:color w:val="000000"/>
        </w:rPr>
        <w:t>设备</w:t>
      </w:r>
    </w:p>
    <w:p w14:paraId="041DF381">
      <w:pPr>
        <w:ind w:firstLine="420" w:firstLineChars="200"/>
        <w:rPr>
          <w:rFonts w:hint="eastAsia"/>
          <w:szCs w:val="21"/>
          <w:lang w:eastAsia="zh-CN"/>
        </w:rPr>
      </w:pPr>
      <w:r>
        <w:rPr>
          <w:rFonts w:hint="eastAsia"/>
          <w:szCs w:val="21"/>
        </w:rPr>
        <w:t>电感耦合等离子体发射光谱仪</w:t>
      </w:r>
      <w:r>
        <w:rPr>
          <w:rFonts w:hint="eastAsia"/>
          <w:szCs w:val="21"/>
          <w:lang w:eastAsia="zh-CN"/>
        </w:rPr>
        <w:t>。</w:t>
      </w:r>
    </w:p>
    <w:p w14:paraId="2CCC6B55">
      <w:pPr>
        <w:ind w:firstLine="420" w:firstLineChars="200"/>
        <w:rPr>
          <w:rFonts w:hint="eastAsia"/>
          <w:szCs w:val="21"/>
          <w:lang w:val="en-US" w:eastAsia="zh-CN"/>
        </w:rPr>
      </w:pPr>
      <w:r>
        <w:rPr>
          <w:rFonts w:hint="eastAsia"/>
          <w:szCs w:val="21"/>
          <w:lang w:val="en-US" w:eastAsia="zh-CN"/>
        </w:rPr>
        <w:t>在仪器最佳工作条件下，凡能达到下列指标者均可使用：</w:t>
      </w:r>
    </w:p>
    <w:p w14:paraId="50E77C3A">
      <w:pPr>
        <w:ind w:firstLine="420" w:firstLineChars="200"/>
        <w:rPr>
          <w:rFonts w:hint="eastAsia"/>
          <w:szCs w:val="21"/>
          <w:lang w:val="en-US" w:eastAsia="zh-CN"/>
        </w:rPr>
      </w:pPr>
      <w:r>
        <w:rPr>
          <w:rFonts w:hint="eastAsia"/>
          <w:szCs w:val="21"/>
          <w:lang w:val="en-US" w:eastAsia="zh-CN"/>
        </w:rPr>
        <w:t>——分辨率0.006nm（160nm~450nm），波长范围（160nm~500nm）；</w:t>
      </w:r>
    </w:p>
    <w:p w14:paraId="3DEB5610">
      <w:pPr>
        <w:ind w:firstLine="420" w:firstLineChars="200"/>
        <w:rPr>
          <w:rFonts w:hint="eastAsia"/>
          <w:szCs w:val="21"/>
          <w:lang w:val="en-US" w:eastAsia="zh-CN"/>
        </w:rPr>
      </w:pPr>
      <w:r>
        <w:rPr>
          <w:rFonts w:hint="eastAsia"/>
          <w:szCs w:val="21"/>
          <w:lang w:val="en-US" w:eastAsia="zh-CN"/>
        </w:rPr>
        <w:t>——应符合JJG 768中要求的发射光谱仪检定规程和技术指标；</w:t>
      </w:r>
    </w:p>
    <w:p w14:paraId="7B989721">
      <w:pPr>
        <w:ind w:firstLine="420" w:firstLineChars="200"/>
        <w:rPr>
          <w:rFonts w:hint="default"/>
          <w:szCs w:val="21"/>
          <w:lang w:val="en-US" w:eastAsia="zh-CN"/>
        </w:rPr>
      </w:pPr>
      <w:r>
        <w:rPr>
          <w:rFonts w:hint="eastAsia"/>
          <w:szCs w:val="21"/>
          <w:lang w:val="en-US" w:eastAsia="zh-CN"/>
        </w:rPr>
        <w:t>——各元素分析谱线的选择见表5。</w:t>
      </w:r>
    </w:p>
    <w:p w14:paraId="2583CDE7">
      <w:pPr>
        <w:pStyle w:val="74"/>
        <w:numPr>
          <w:ilvl w:val="0"/>
          <w:numId w:val="0"/>
        </w:numPr>
        <w:spacing w:before="156" w:after="156"/>
        <w:rPr>
          <w:rFonts w:hint="eastAsia" w:ascii="Times New Roman" w:eastAsia="黑体"/>
          <w:color w:val="000000"/>
          <w:lang w:eastAsia="zh-CN"/>
        </w:rPr>
      </w:pPr>
      <w:r>
        <w:rPr>
          <w:rFonts w:hint="eastAsia" w:hAnsi="黑体" w:cs="黑体"/>
          <w:color w:val="000000"/>
        </w:rPr>
        <w:t xml:space="preserve">5.4 </w:t>
      </w:r>
      <w:r>
        <w:rPr>
          <w:rFonts w:hint="eastAsia" w:ascii="Times New Roman"/>
          <w:color w:val="000000"/>
          <w:lang w:val="en-US" w:eastAsia="zh-CN"/>
        </w:rPr>
        <w:t>样品</w:t>
      </w:r>
    </w:p>
    <w:p w14:paraId="78FF2C6F">
      <w:pPr>
        <w:rPr>
          <w:rFonts w:hint="eastAsia" w:eastAsia="宋体"/>
          <w:lang w:eastAsia="zh-CN"/>
        </w:rPr>
      </w:pPr>
      <w:r>
        <w:rPr>
          <w:rFonts w:hint="eastAsia" w:ascii="黑体" w:hAnsi="黑体" w:eastAsia="黑体" w:cs="黑体"/>
        </w:rPr>
        <w:t xml:space="preserve">5.4.1 </w:t>
      </w:r>
      <w:r>
        <w:rPr>
          <w:rFonts w:hint="default" w:ascii="Times New Roman" w:hAnsi="Times New Roman" w:cs="Times New Roman"/>
          <w:szCs w:val="21"/>
        </w:rPr>
        <w:t>试样的粒度应</w:t>
      </w:r>
      <w:r>
        <w:rPr>
          <w:rFonts w:hint="eastAsia" w:cs="Times New Roman"/>
          <w:szCs w:val="21"/>
          <w:lang w:val="en-US" w:eastAsia="zh-CN"/>
        </w:rPr>
        <w:t>不大于0.074mm</w:t>
      </w:r>
      <w:r>
        <w:rPr>
          <w:rFonts w:hint="eastAsia" w:ascii="宋体" w:hAnsi="宋体" w:cs="宋体"/>
          <w:szCs w:val="21"/>
          <w:lang w:eastAsia="zh-CN"/>
        </w:rPr>
        <w:t>。</w:t>
      </w:r>
    </w:p>
    <w:p w14:paraId="16EB14D3">
      <w:pPr>
        <w:rPr>
          <w:rFonts w:asciiTheme="minorEastAsia" w:hAnsiTheme="minorEastAsia" w:eastAsiaTheme="minorEastAsia"/>
        </w:rPr>
      </w:pPr>
      <w:r>
        <w:rPr>
          <w:rFonts w:hint="eastAsia" w:ascii="黑体" w:hAnsi="黑体" w:eastAsia="黑体" w:cs="黑体"/>
        </w:rPr>
        <w:t xml:space="preserve">5.4.2 </w:t>
      </w:r>
      <w:r>
        <w:t>试样经105 ℃~110 ℃干燥2 h，</w:t>
      </w:r>
      <w:r>
        <w:rPr>
          <w:rFonts w:hint="eastAsia" w:ascii="宋体" w:hAnsi="宋体" w:cs="宋体"/>
          <w:szCs w:val="21"/>
        </w:rPr>
        <w:t>置于干燥器中，冷却至室温</w:t>
      </w:r>
      <w:r>
        <w:t>。</w:t>
      </w:r>
    </w:p>
    <w:p w14:paraId="738E87AD">
      <w:pPr>
        <w:spacing w:before="156" w:beforeLines="50" w:after="156" w:afterLines="50"/>
        <w:rPr>
          <w:rFonts w:hAnsi="黑体" w:cs="黑体"/>
          <w:color w:val="000000"/>
        </w:rPr>
      </w:pPr>
      <w:r>
        <w:rPr>
          <w:rFonts w:hint="eastAsia" w:ascii="黑体" w:hAnsi="黑体" w:eastAsia="黑体" w:cs="黑体"/>
          <w:color w:val="000000"/>
          <w:kern w:val="0"/>
          <w:szCs w:val="20"/>
        </w:rPr>
        <w:t>5.5 试验步骤</w:t>
      </w:r>
    </w:p>
    <w:p w14:paraId="239B3197">
      <w:pPr>
        <w:pStyle w:val="81"/>
        <w:numPr>
          <w:ilvl w:val="0"/>
          <w:numId w:val="0"/>
        </w:numPr>
        <w:spacing w:before="156" w:beforeLines="50" w:after="156" w:afterLines="50"/>
        <w:rPr>
          <w:rFonts w:ascii="Times New Roman"/>
          <w:kern w:val="2"/>
        </w:rPr>
      </w:pPr>
      <w:r>
        <w:rPr>
          <w:rFonts w:hint="eastAsia" w:hAnsi="黑体"/>
          <w:kern w:val="2"/>
        </w:rPr>
        <w:t>5.5</w:t>
      </w:r>
      <w:r>
        <w:rPr>
          <w:rFonts w:hAnsi="黑体"/>
          <w:kern w:val="2"/>
        </w:rPr>
        <w:t>.1</w:t>
      </w:r>
      <w:r>
        <w:rPr>
          <w:rFonts w:ascii="Times New Roman"/>
          <w:kern w:val="2"/>
        </w:rPr>
        <w:t>试料</w:t>
      </w:r>
    </w:p>
    <w:p w14:paraId="3060BD89">
      <w:pPr>
        <w:ind w:firstLine="420" w:firstLineChars="200"/>
        <w:rPr>
          <w:rFonts w:hint="eastAsia" w:ascii="黑体" w:hAnsi="黑体" w:eastAsia="宋体" w:cs="黑体"/>
          <w:sz w:val="18"/>
          <w:szCs w:val="18"/>
          <w:lang w:eastAsia="zh-CN"/>
        </w:rPr>
      </w:pPr>
      <w:r>
        <w:rPr>
          <w:szCs w:val="21"/>
        </w:rPr>
        <w:t>样品按表</w:t>
      </w:r>
      <w:r>
        <w:rPr>
          <w:rFonts w:hint="eastAsia"/>
          <w:szCs w:val="21"/>
        </w:rPr>
        <w:t>4</w:t>
      </w:r>
      <w:r>
        <w:rPr>
          <w:szCs w:val="21"/>
        </w:rPr>
        <w:t>称取</w:t>
      </w:r>
      <w:r>
        <w:rPr>
          <w:rFonts w:hint="eastAsia"/>
          <w:szCs w:val="21"/>
        </w:rPr>
        <w:t>试样</w:t>
      </w:r>
      <w:r>
        <w:rPr>
          <w:rFonts w:hint="eastAsia"/>
          <w:szCs w:val="21"/>
          <w:lang w:eastAsia="zh-CN"/>
        </w:rPr>
        <w:t>（</w:t>
      </w:r>
      <w:r>
        <w:rPr>
          <w:rFonts w:hint="eastAsia"/>
          <w:szCs w:val="21"/>
          <w:lang w:val="en-US" w:eastAsia="zh-CN"/>
        </w:rPr>
        <w:t>5.4</w:t>
      </w:r>
      <w:r>
        <w:rPr>
          <w:rFonts w:hint="eastAsia"/>
          <w:szCs w:val="21"/>
          <w:lang w:eastAsia="zh-CN"/>
        </w:rPr>
        <w:t>）</w:t>
      </w:r>
      <w:r>
        <w:rPr>
          <w:szCs w:val="21"/>
        </w:rPr>
        <w:t>，精确至0. 0001 g</w:t>
      </w:r>
      <w:r>
        <w:rPr>
          <w:rFonts w:hint="eastAsia"/>
          <w:szCs w:val="21"/>
          <w:lang w:eastAsia="zh-CN"/>
        </w:rPr>
        <w:t>。</w:t>
      </w:r>
    </w:p>
    <w:p w14:paraId="397559DF">
      <w:pPr>
        <w:jc w:val="center"/>
        <w:rPr>
          <w:rFonts w:hint="eastAsia" w:eastAsia="黑体"/>
          <w:color w:val="FF0000"/>
          <w:highlight w:val="yellow"/>
          <w:lang w:val="en-US" w:eastAsia="zh-CN"/>
        </w:rPr>
      </w:pPr>
      <w:r>
        <w:rPr>
          <w:rFonts w:hint="eastAsia" w:ascii="黑体" w:hAnsi="黑体" w:eastAsia="黑体" w:cs="黑体"/>
          <w:sz w:val="18"/>
          <w:szCs w:val="18"/>
        </w:rPr>
        <w:t>表4</w:t>
      </w:r>
      <w:r>
        <w:rPr>
          <w:rFonts w:hint="eastAsia" w:ascii="黑体" w:hAnsi="黑体" w:eastAsia="黑体" w:cs="黑体"/>
          <w:sz w:val="18"/>
          <w:szCs w:val="18"/>
          <w:lang w:val="en-US" w:eastAsia="zh-CN"/>
        </w:rPr>
        <w:t xml:space="preserve"> 试料称取量/移取量</w:t>
      </w:r>
    </w:p>
    <w:tbl>
      <w:tblPr>
        <w:tblStyle w:val="3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22"/>
        <w:gridCol w:w="1712"/>
        <w:gridCol w:w="1712"/>
        <w:gridCol w:w="1712"/>
        <w:gridCol w:w="1713"/>
      </w:tblGrid>
      <w:tr w14:paraId="79AA0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2" w:type="dxa"/>
            <w:tcBorders>
              <w:top w:val="single" w:color="000000" w:sz="12" w:space="0"/>
              <w:left w:val="single" w:color="000000" w:sz="12" w:space="0"/>
              <w:bottom w:val="single" w:color="000000" w:sz="12" w:space="0"/>
              <w:right w:val="single" w:color="000000" w:sz="4" w:space="0"/>
            </w:tcBorders>
          </w:tcPr>
          <w:p w14:paraId="51EFB10C">
            <w:pPr>
              <w:jc w:val="center"/>
              <w:rPr>
                <w:sz w:val="18"/>
                <w:szCs w:val="18"/>
              </w:rPr>
            </w:pPr>
            <w:r>
              <w:rPr>
                <w:sz w:val="18"/>
                <w:szCs w:val="18"/>
              </w:rPr>
              <w:t>质量分数</w:t>
            </w:r>
          </w:p>
          <w:p w14:paraId="228C3FE3">
            <w:pPr>
              <w:jc w:val="center"/>
              <w:rPr>
                <w:color w:val="000000" w:themeColor="text1"/>
                <w14:textFill>
                  <w14:solidFill>
                    <w14:schemeClr w14:val="tx1"/>
                  </w14:solidFill>
                </w14:textFill>
              </w:rPr>
            </w:pPr>
            <w:r>
              <w:rPr>
                <w:sz w:val="18"/>
                <w:szCs w:val="18"/>
              </w:rPr>
              <w:t>%</w:t>
            </w:r>
          </w:p>
        </w:tc>
        <w:tc>
          <w:tcPr>
            <w:tcW w:w="1712" w:type="dxa"/>
            <w:tcBorders>
              <w:top w:val="single" w:color="000000" w:sz="12" w:space="0"/>
              <w:left w:val="single" w:color="000000" w:sz="4" w:space="0"/>
              <w:bottom w:val="single" w:color="000000" w:sz="12" w:space="0"/>
              <w:right w:val="single" w:color="000000" w:sz="4" w:space="0"/>
            </w:tcBorders>
            <w:vAlign w:val="center"/>
          </w:tcPr>
          <w:p w14:paraId="53A7B181">
            <w:pPr>
              <w:jc w:val="center"/>
              <w:rPr>
                <w:sz w:val="18"/>
                <w:szCs w:val="18"/>
              </w:rPr>
            </w:pPr>
            <w:r>
              <w:rPr>
                <w:sz w:val="18"/>
                <w:szCs w:val="18"/>
              </w:rPr>
              <w:t>试料</w:t>
            </w:r>
          </w:p>
          <w:p w14:paraId="4FC3117B">
            <w:pPr>
              <w:jc w:val="center"/>
              <w:rPr>
                <w:color w:val="000000" w:themeColor="text1"/>
                <w:sz w:val="18"/>
                <w:szCs w:val="18"/>
                <w14:textFill>
                  <w14:solidFill>
                    <w14:schemeClr w14:val="tx1"/>
                  </w14:solidFill>
                </w14:textFill>
              </w:rPr>
            </w:pPr>
            <w:r>
              <w:rPr>
                <w:sz w:val="18"/>
                <w:szCs w:val="18"/>
              </w:rPr>
              <w:t>g</w:t>
            </w:r>
          </w:p>
        </w:tc>
        <w:tc>
          <w:tcPr>
            <w:tcW w:w="1712" w:type="dxa"/>
            <w:tcBorders>
              <w:top w:val="single" w:color="000000" w:sz="12" w:space="0"/>
              <w:left w:val="single" w:color="000000" w:sz="4" w:space="0"/>
              <w:bottom w:val="single" w:color="000000" w:sz="12" w:space="0"/>
              <w:right w:val="single" w:color="000000" w:sz="4" w:space="0"/>
            </w:tcBorders>
            <w:vAlign w:val="center"/>
          </w:tcPr>
          <w:p w14:paraId="7763B9A4">
            <w:pPr>
              <w:jc w:val="center"/>
              <w:rPr>
                <w:sz w:val="18"/>
                <w:szCs w:val="18"/>
              </w:rPr>
            </w:pPr>
            <w:r>
              <w:rPr>
                <w:sz w:val="18"/>
                <w:szCs w:val="18"/>
              </w:rPr>
              <w:t>试液总体积</w:t>
            </w:r>
          </w:p>
          <w:p w14:paraId="504D03FC">
            <w:pPr>
              <w:jc w:val="center"/>
              <w:rPr>
                <w:color w:val="000000" w:themeColor="text1"/>
                <w:sz w:val="18"/>
                <w:szCs w:val="18"/>
                <w14:textFill>
                  <w14:solidFill>
                    <w14:schemeClr w14:val="tx1"/>
                  </w14:solidFill>
                </w14:textFill>
              </w:rPr>
            </w:pPr>
            <w:r>
              <w:rPr>
                <w:sz w:val="18"/>
                <w:szCs w:val="18"/>
              </w:rPr>
              <w:t>mL</w:t>
            </w:r>
          </w:p>
        </w:tc>
        <w:tc>
          <w:tcPr>
            <w:tcW w:w="1712" w:type="dxa"/>
            <w:tcBorders>
              <w:top w:val="single" w:color="000000" w:sz="12" w:space="0"/>
              <w:left w:val="single" w:color="000000" w:sz="4" w:space="0"/>
              <w:bottom w:val="single" w:color="000000" w:sz="12" w:space="0"/>
              <w:right w:val="single" w:color="000000" w:sz="4" w:space="0"/>
            </w:tcBorders>
            <w:vAlign w:val="center"/>
          </w:tcPr>
          <w:p w14:paraId="68902B8D">
            <w:pPr>
              <w:jc w:val="center"/>
              <w:rPr>
                <w:sz w:val="18"/>
                <w:szCs w:val="18"/>
              </w:rPr>
            </w:pPr>
            <w:r>
              <w:rPr>
                <w:sz w:val="18"/>
                <w:szCs w:val="18"/>
              </w:rPr>
              <w:t>移取试液体积</w:t>
            </w:r>
          </w:p>
          <w:p w14:paraId="4261045D">
            <w:pPr>
              <w:jc w:val="center"/>
              <w:rPr>
                <w:color w:val="000000" w:themeColor="text1"/>
                <w:sz w:val="18"/>
                <w:szCs w:val="18"/>
                <w14:textFill>
                  <w14:solidFill>
                    <w14:schemeClr w14:val="tx1"/>
                  </w14:solidFill>
                </w14:textFill>
              </w:rPr>
            </w:pPr>
            <w:r>
              <w:rPr>
                <w:sz w:val="18"/>
                <w:szCs w:val="18"/>
              </w:rPr>
              <w:t>mL</w:t>
            </w:r>
          </w:p>
        </w:tc>
        <w:tc>
          <w:tcPr>
            <w:tcW w:w="1713" w:type="dxa"/>
            <w:tcBorders>
              <w:top w:val="single" w:color="000000" w:sz="12" w:space="0"/>
              <w:left w:val="single" w:color="000000" w:sz="4" w:space="0"/>
              <w:bottom w:val="single" w:color="000000" w:sz="12" w:space="0"/>
              <w:right w:val="single" w:color="000000" w:sz="12" w:space="0"/>
            </w:tcBorders>
            <w:vAlign w:val="center"/>
          </w:tcPr>
          <w:p w14:paraId="0DC8B81D">
            <w:pPr>
              <w:jc w:val="center"/>
              <w:rPr>
                <w:sz w:val="18"/>
                <w:szCs w:val="18"/>
              </w:rPr>
            </w:pPr>
            <w:r>
              <w:rPr>
                <w:sz w:val="18"/>
                <w:szCs w:val="18"/>
              </w:rPr>
              <w:t>定容体积</w:t>
            </w:r>
          </w:p>
          <w:p w14:paraId="1EF7CD5C">
            <w:pPr>
              <w:jc w:val="center"/>
              <w:rPr>
                <w:color w:val="000000" w:themeColor="text1"/>
                <w:sz w:val="18"/>
                <w:szCs w:val="18"/>
                <w14:textFill>
                  <w14:solidFill>
                    <w14:schemeClr w14:val="tx1"/>
                  </w14:solidFill>
                </w14:textFill>
              </w:rPr>
            </w:pPr>
            <w:r>
              <w:rPr>
                <w:sz w:val="18"/>
                <w:szCs w:val="18"/>
              </w:rPr>
              <w:t>mL</w:t>
            </w:r>
          </w:p>
        </w:tc>
      </w:tr>
      <w:tr w14:paraId="3D304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2" w:type="dxa"/>
            <w:tcBorders>
              <w:top w:val="single" w:color="000000" w:sz="12" w:space="0"/>
              <w:left w:val="single" w:color="000000" w:sz="12" w:space="0"/>
              <w:bottom w:val="single" w:color="000000" w:sz="4" w:space="0"/>
              <w:right w:val="single" w:color="000000" w:sz="4" w:space="0"/>
            </w:tcBorders>
            <w:vAlign w:val="center"/>
          </w:tcPr>
          <w:p w14:paraId="56D5C95C">
            <w:pPr>
              <w:pStyle w:val="47"/>
              <w:widowControl w:val="0"/>
              <w:spacing w:line="240" w:lineRule="auto"/>
              <w:ind w:firstLine="0" w:firstLineChars="0"/>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auto"/>
                <w:sz w:val="18"/>
                <w:szCs w:val="18"/>
              </w:rPr>
              <w:t>0.</w:t>
            </w:r>
            <w:r>
              <w:rPr>
                <w:rFonts w:hint="default" w:ascii="Times New Roman" w:hAnsi="Times New Roman" w:eastAsia="宋体" w:cs="Times New Roman"/>
                <w:color w:val="auto"/>
                <w:sz w:val="18"/>
                <w:szCs w:val="18"/>
                <w:lang w:val="en-US" w:eastAsia="zh-CN"/>
              </w:rPr>
              <w:t>10</w:t>
            </w:r>
            <w:r>
              <w:rPr>
                <w:rFonts w:hint="default" w:ascii="Times New Roman" w:hAnsi="Times New Roman" w:eastAsia="宋体" w:cs="Times New Roman"/>
                <w:color w:val="auto"/>
                <w:sz w:val="18"/>
                <w:szCs w:val="18"/>
              </w:rPr>
              <w:t>～1.00</w:t>
            </w:r>
          </w:p>
        </w:tc>
        <w:tc>
          <w:tcPr>
            <w:tcW w:w="1712" w:type="dxa"/>
            <w:tcBorders>
              <w:top w:val="single" w:color="000000" w:sz="12" w:space="0"/>
              <w:left w:val="single" w:color="000000" w:sz="4" w:space="0"/>
              <w:bottom w:val="single" w:color="000000" w:sz="4" w:space="0"/>
              <w:right w:val="single" w:color="000000" w:sz="4" w:space="0"/>
            </w:tcBorders>
            <w:vAlign w:val="center"/>
          </w:tcPr>
          <w:p w14:paraId="43CBFE6E">
            <w:pPr>
              <w:spacing w:line="240" w:lineRule="auto"/>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auto"/>
                <w:sz w:val="18"/>
                <w:szCs w:val="18"/>
              </w:rPr>
              <w:t>0.4</w:t>
            </w:r>
          </w:p>
        </w:tc>
        <w:tc>
          <w:tcPr>
            <w:tcW w:w="1712" w:type="dxa"/>
            <w:tcBorders>
              <w:top w:val="single" w:color="000000" w:sz="12" w:space="0"/>
              <w:left w:val="single" w:color="000000" w:sz="4" w:space="0"/>
              <w:bottom w:val="single" w:color="000000" w:sz="4" w:space="0"/>
              <w:right w:val="single" w:color="000000" w:sz="4" w:space="0"/>
            </w:tcBorders>
            <w:vAlign w:val="center"/>
          </w:tcPr>
          <w:p w14:paraId="30EF17A1">
            <w:pPr>
              <w:spacing w:line="240" w:lineRule="auto"/>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auto"/>
                <w:sz w:val="18"/>
                <w:szCs w:val="18"/>
                <w:lang w:val="en-US" w:eastAsia="zh-CN"/>
              </w:rPr>
              <w:t>250</w:t>
            </w:r>
          </w:p>
        </w:tc>
        <w:tc>
          <w:tcPr>
            <w:tcW w:w="1712" w:type="dxa"/>
            <w:tcBorders>
              <w:top w:val="single" w:color="000000" w:sz="12" w:space="0"/>
              <w:left w:val="single" w:color="000000" w:sz="4" w:space="0"/>
              <w:bottom w:val="single" w:color="000000" w:sz="4" w:space="0"/>
              <w:right w:val="single" w:color="000000" w:sz="4" w:space="0"/>
            </w:tcBorders>
            <w:vAlign w:val="center"/>
          </w:tcPr>
          <w:p w14:paraId="3A5F19E7">
            <w:pPr>
              <w:spacing w:line="240" w:lineRule="auto"/>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auto"/>
                <w:sz w:val="18"/>
                <w:szCs w:val="18"/>
              </w:rPr>
              <w:t>5.00</w:t>
            </w:r>
          </w:p>
        </w:tc>
        <w:tc>
          <w:tcPr>
            <w:tcW w:w="1713" w:type="dxa"/>
            <w:tcBorders>
              <w:top w:val="single" w:color="000000" w:sz="12" w:space="0"/>
              <w:left w:val="single" w:color="000000" w:sz="4" w:space="0"/>
              <w:bottom w:val="single" w:color="000000" w:sz="4" w:space="0"/>
              <w:right w:val="single" w:color="000000" w:sz="12" w:space="0"/>
            </w:tcBorders>
            <w:vAlign w:val="center"/>
          </w:tcPr>
          <w:p w14:paraId="141AE157">
            <w:pPr>
              <w:spacing w:line="240" w:lineRule="auto"/>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auto"/>
                <w:sz w:val="18"/>
                <w:szCs w:val="18"/>
              </w:rPr>
              <w:t>25</w:t>
            </w:r>
          </w:p>
        </w:tc>
      </w:tr>
      <w:tr w14:paraId="37D68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2" w:type="dxa"/>
            <w:tcBorders>
              <w:top w:val="single" w:color="000000" w:sz="4" w:space="0"/>
              <w:left w:val="single" w:color="000000" w:sz="12" w:space="0"/>
              <w:bottom w:val="single" w:color="000000" w:sz="12" w:space="0"/>
              <w:right w:val="single" w:color="000000" w:sz="4" w:space="0"/>
            </w:tcBorders>
            <w:vAlign w:val="center"/>
          </w:tcPr>
          <w:p w14:paraId="1547DD04">
            <w:pPr>
              <w:pStyle w:val="47"/>
              <w:widowControl w:val="0"/>
              <w:spacing w:line="240" w:lineRule="auto"/>
              <w:ind w:firstLine="0" w:firstLineChars="0"/>
              <w:jc w:val="center"/>
              <w:rPr>
                <w:rFonts w:hint="default" w:ascii="Times New Roman" w:hAnsi="Times New Roman" w:cs="Times New Roman"/>
                <w:sz w:val="18"/>
                <w:szCs w:val="18"/>
              </w:rPr>
            </w:pPr>
            <w:r>
              <w:rPr>
                <w:rFonts w:hint="eastAsia" w:ascii="Times New Roman" w:hAnsi="Times New Roman" w:cs="Times New Roman"/>
                <w:color w:val="auto"/>
                <w:sz w:val="18"/>
                <w:szCs w:val="18"/>
                <w:lang w:val="en-US" w:eastAsia="zh-CN"/>
              </w:rPr>
              <w:t>&gt;</w:t>
            </w:r>
            <w:r>
              <w:rPr>
                <w:rFonts w:hint="eastAsia" w:ascii="Times New Roman" w:cs="Times New Roman"/>
                <w:color w:val="auto"/>
                <w:sz w:val="18"/>
                <w:szCs w:val="18"/>
                <w:lang w:val="en-US" w:eastAsia="zh-CN"/>
              </w:rPr>
              <w:t>1</w:t>
            </w:r>
            <w:r>
              <w:rPr>
                <w:rFonts w:hint="default" w:ascii="Times New Roman" w:hAnsi="Times New Roman" w:eastAsia="宋体" w:cs="Times New Roman"/>
                <w:color w:val="auto"/>
                <w:sz w:val="18"/>
                <w:szCs w:val="18"/>
              </w:rPr>
              <w:t>.00～30.00</w:t>
            </w:r>
          </w:p>
        </w:tc>
        <w:tc>
          <w:tcPr>
            <w:tcW w:w="1712" w:type="dxa"/>
            <w:tcBorders>
              <w:top w:val="single" w:color="000000" w:sz="4" w:space="0"/>
              <w:left w:val="single" w:color="000000" w:sz="4" w:space="0"/>
              <w:bottom w:val="single" w:color="000000" w:sz="12" w:space="0"/>
              <w:right w:val="single" w:color="000000" w:sz="4" w:space="0"/>
            </w:tcBorders>
            <w:vAlign w:val="center"/>
          </w:tcPr>
          <w:p w14:paraId="3B1A0151">
            <w:pPr>
              <w:spacing w:line="240" w:lineRule="auto"/>
              <w:jc w:val="center"/>
              <w:rPr>
                <w:rFonts w:hint="default" w:ascii="Times New Roman" w:hAnsi="Times New Roman" w:cs="Times New Roman"/>
                <w:sz w:val="18"/>
                <w:szCs w:val="18"/>
              </w:rPr>
            </w:pPr>
            <w:r>
              <w:rPr>
                <w:rFonts w:hint="default" w:ascii="Times New Roman" w:hAnsi="Times New Roman" w:eastAsia="宋体" w:cs="Times New Roman"/>
                <w:color w:val="auto"/>
                <w:sz w:val="18"/>
                <w:szCs w:val="18"/>
              </w:rPr>
              <w:t>0.1</w:t>
            </w:r>
          </w:p>
        </w:tc>
        <w:tc>
          <w:tcPr>
            <w:tcW w:w="1712" w:type="dxa"/>
            <w:tcBorders>
              <w:top w:val="single" w:color="000000" w:sz="4" w:space="0"/>
              <w:left w:val="single" w:color="000000" w:sz="4" w:space="0"/>
              <w:bottom w:val="single" w:color="000000" w:sz="12" w:space="0"/>
              <w:right w:val="single" w:color="000000" w:sz="4" w:space="0"/>
            </w:tcBorders>
            <w:vAlign w:val="center"/>
          </w:tcPr>
          <w:p w14:paraId="06EF5ADB">
            <w:pPr>
              <w:spacing w:line="240" w:lineRule="auto"/>
              <w:jc w:val="center"/>
              <w:rPr>
                <w:rFonts w:hint="default" w:ascii="Times New Roman" w:hAnsi="Times New Roman" w:cs="Times New Roman"/>
                <w:sz w:val="18"/>
                <w:szCs w:val="18"/>
              </w:rPr>
            </w:pPr>
            <w:r>
              <w:rPr>
                <w:rFonts w:hint="default" w:ascii="Times New Roman" w:hAnsi="Times New Roman" w:eastAsia="宋体" w:cs="Times New Roman"/>
                <w:color w:val="auto"/>
                <w:sz w:val="18"/>
                <w:szCs w:val="18"/>
                <w:lang w:val="en-US" w:eastAsia="zh-CN"/>
              </w:rPr>
              <w:t>250</w:t>
            </w:r>
          </w:p>
        </w:tc>
        <w:tc>
          <w:tcPr>
            <w:tcW w:w="1712" w:type="dxa"/>
            <w:tcBorders>
              <w:top w:val="single" w:color="000000" w:sz="4" w:space="0"/>
              <w:left w:val="single" w:color="000000" w:sz="4" w:space="0"/>
              <w:bottom w:val="single" w:color="000000" w:sz="12" w:space="0"/>
              <w:right w:val="single" w:color="000000" w:sz="4" w:space="0"/>
            </w:tcBorders>
            <w:vAlign w:val="center"/>
          </w:tcPr>
          <w:p w14:paraId="303940EC">
            <w:pPr>
              <w:spacing w:line="240" w:lineRule="auto"/>
              <w:jc w:val="center"/>
              <w:rPr>
                <w:rFonts w:hint="default" w:ascii="Times New Roman" w:hAnsi="Times New Roman" w:cs="Times New Roman"/>
                <w:sz w:val="18"/>
                <w:szCs w:val="18"/>
              </w:rPr>
            </w:pPr>
            <w:r>
              <w:rPr>
                <w:rFonts w:hint="default" w:ascii="Times New Roman" w:hAnsi="Times New Roman" w:eastAsia="宋体" w:cs="Times New Roman"/>
                <w:color w:val="auto"/>
                <w:sz w:val="18"/>
                <w:szCs w:val="18"/>
              </w:rPr>
              <w:t>5.0</w:t>
            </w:r>
            <w:r>
              <w:rPr>
                <w:rFonts w:hint="default" w:ascii="Times New Roman" w:hAnsi="Times New Roman" w:eastAsia="宋体" w:cs="Times New Roman"/>
                <w:color w:val="auto"/>
                <w:sz w:val="18"/>
                <w:szCs w:val="18"/>
                <w:lang w:val="en-US" w:eastAsia="zh-CN"/>
              </w:rPr>
              <w:t>0</w:t>
            </w:r>
          </w:p>
        </w:tc>
        <w:tc>
          <w:tcPr>
            <w:tcW w:w="1713" w:type="dxa"/>
            <w:tcBorders>
              <w:top w:val="single" w:color="000000" w:sz="4" w:space="0"/>
              <w:left w:val="single" w:color="000000" w:sz="4" w:space="0"/>
              <w:bottom w:val="single" w:color="000000" w:sz="12" w:space="0"/>
              <w:right w:val="single" w:color="000000" w:sz="12" w:space="0"/>
            </w:tcBorders>
            <w:vAlign w:val="center"/>
          </w:tcPr>
          <w:p w14:paraId="09FE8A12">
            <w:pPr>
              <w:spacing w:line="240" w:lineRule="auto"/>
              <w:jc w:val="center"/>
              <w:rPr>
                <w:rFonts w:hint="default" w:ascii="Times New Roman" w:hAnsi="Times New Roman" w:cs="Times New Roman"/>
                <w:sz w:val="18"/>
                <w:szCs w:val="18"/>
              </w:rPr>
            </w:pPr>
            <w:r>
              <w:rPr>
                <w:rFonts w:hint="default" w:ascii="Times New Roman" w:hAnsi="Times New Roman" w:eastAsia="宋体" w:cs="Times New Roman"/>
                <w:color w:val="auto"/>
                <w:sz w:val="18"/>
                <w:szCs w:val="18"/>
                <w:lang w:val="en-US" w:eastAsia="zh-CN"/>
              </w:rPr>
              <w:t>50</w:t>
            </w:r>
          </w:p>
        </w:tc>
      </w:tr>
    </w:tbl>
    <w:p w14:paraId="456BD79A">
      <w:pPr>
        <w:pStyle w:val="81"/>
        <w:numPr>
          <w:ilvl w:val="0"/>
          <w:numId w:val="0"/>
        </w:numPr>
        <w:spacing w:before="156" w:beforeLines="50" w:after="156" w:afterLines="50"/>
        <w:rPr>
          <w:rFonts w:hint="eastAsia" w:hAnsi="黑体" w:eastAsia="黑体"/>
          <w:lang w:eastAsia="zh-CN"/>
        </w:rPr>
      </w:pPr>
      <w:r>
        <w:rPr>
          <w:rFonts w:hint="eastAsia" w:hAnsi="黑体"/>
          <w:kern w:val="2"/>
        </w:rPr>
        <w:t>5</w:t>
      </w:r>
      <w:r>
        <w:rPr>
          <w:rFonts w:hAnsi="黑体"/>
          <w:kern w:val="2"/>
        </w:rPr>
        <w:t xml:space="preserve">.5.2 </w:t>
      </w:r>
      <w:r>
        <w:rPr>
          <w:rFonts w:hint="eastAsia" w:hAnsi="黑体"/>
          <w:kern w:val="2"/>
          <w:lang w:val="en-US" w:eastAsia="zh-CN"/>
        </w:rPr>
        <w:t>测定次数</w:t>
      </w:r>
    </w:p>
    <w:p w14:paraId="2FBF1557">
      <w:pPr>
        <w:pStyle w:val="21"/>
        <w:adjustRightInd w:val="0"/>
        <w:snapToGrid w:val="0"/>
        <w:ind w:firstLine="420" w:firstLineChars="200"/>
        <w:rPr>
          <w:rFonts w:ascii="Times New Roman" w:hAnsi="Times New Roman"/>
          <w:szCs w:val="22"/>
        </w:rPr>
      </w:pPr>
      <w:r>
        <w:rPr>
          <w:rFonts w:hint="eastAsia" w:ascii="Times New Roman" w:hAnsi="Times New Roman"/>
          <w:szCs w:val="22"/>
        </w:rPr>
        <w:t>独立进行两次测定。</w:t>
      </w:r>
    </w:p>
    <w:p w14:paraId="63DB9F69">
      <w:pPr>
        <w:pStyle w:val="81"/>
        <w:numPr>
          <w:ilvl w:val="0"/>
          <w:numId w:val="0"/>
        </w:numPr>
        <w:spacing w:before="156" w:beforeLines="50" w:after="156" w:afterLines="50"/>
        <w:rPr>
          <w:rFonts w:ascii="Times New Roman"/>
          <w:color w:val="000000"/>
          <w:kern w:val="2"/>
        </w:rPr>
      </w:pPr>
      <w:r>
        <w:rPr>
          <w:rFonts w:hint="eastAsia" w:hAnsi="黑体"/>
          <w:color w:val="000000"/>
          <w:kern w:val="2"/>
        </w:rPr>
        <w:t>5.5</w:t>
      </w:r>
      <w:r>
        <w:rPr>
          <w:rFonts w:hAnsi="黑体"/>
          <w:color w:val="000000"/>
          <w:kern w:val="2"/>
        </w:rPr>
        <w:t>.</w:t>
      </w:r>
      <w:r>
        <w:rPr>
          <w:rFonts w:hint="eastAsia" w:hAnsi="黑体"/>
          <w:color w:val="000000"/>
          <w:kern w:val="2"/>
        </w:rPr>
        <w:t>3</w:t>
      </w:r>
      <w:r>
        <w:rPr>
          <w:rFonts w:hAnsi="黑体"/>
          <w:color w:val="000000"/>
          <w:kern w:val="2"/>
        </w:rPr>
        <w:t xml:space="preserve"> </w:t>
      </w:r>
      <w:r>
        <w:rPr>
          <w:rFonts w:hint="eastAsia" w:ascii="Times New Roman"/>
          <w:color w:val="000000"/>
          <w:kern w:val="2"/>
        </w:rPr>
        <w:t>空白试验</w:t>
      </w:r>
    </w:p>
    <w:p w14:paraId="679E0D59">
      <w:pPr>
        <w:pStyle w:val="21"/>
        <w:adjustRightInd w:val="0"/>
        <w:snapToGrid w:val="0"/>
        <w:ind w:firstLine="420" w:firstLineChars="200"/>
        <w:rPr>
          <w:rFonts w:ascii="Times New Roman" w:hAnsi="Times New Roman"/>
          <w:szCs w:val="22"/>
        </w:rPr>
      </w:pPr>
      <w:r>
        <w:rPr>
          <w:rFonts w:ascii="Times New Roman" w:hAnsi="Times New Roman"/>
          <w:szCs w:val="22"/>
        </w:rPr>
        <w:t>随同试料做空白试验。</w:t>
      </w:r>
    </w:p>
    <w:p w14:paraId="1C2BCC9F">
      <w:pPr>
        <w:pStyle w:val="81"/>
        <w:numPr>
          <w:ilvl w:val="0"/>
          <w:numId w:val="0"/>
        </w:numPr>
        <w:spacing w:before="156" w:beforeLines="50" w:after="156" w:afterLines="50"/>
        <w:rPr>
          <w:rFonts w:ascii="Times New Roman"/>
          <w:color w:val="000000"/>
          <w:kern w:val="2"/>
        </w:rPr>
      </w:pPr>
      <w:r>
        <w:rPr>
          <w:rFonts w:hint="eastAsia" w:hAnsi="黑体"/>
          <w:color w:val="000000"/>
          <w:kern w:val="2"/>
        </w:rPr>
        <w:t>5.5</w:t>
      </w:r>
      <w:r>
        <w:rPr>
          <w:rFonts w:hAnsi="黑体"/>
          <w:color w:val="000000"/>
          <w:kern w:val="2"/>
        </w:rPr>
        <w:t xml:space="preserve">.4 </w:t>
      </w:r>
      <w:r>
        <w:rPr>
          <w:rFonts w:hint="eastAsia" w:ascii="Times New Roman"/>
          <w:color w:val="000000"/>
          <w:kern w:val="2"/>
        </w:rPr>
        <w:t>分析试液的制备</w:t>
      </w:r>
    </w:p>
    <w:p w14:paraId="020F6484">
      <w:pPr>
        <w:pStyle w:val="47"/>
        <w:ind w:firstLine="420"/>
        <w:rPr>
          <w:rFonts w:ascii="Times New Roman"/>
          <w:szCs w:val="21"/>
        </w:rPr>
      </w:pPr>
      <w:r>
        <w:rPr>
          <w:rFonts w:hint="default" w:ascii="Times New Roman" w:hAnsi="Times New Roman" w:cs="Times New Roman"/>
          <w:szCs w:val="21"/>
        </w:rPr>
        <w:t>将试料（</w:t>
      </w:r>
      <w:r>
        <w:rPr>
          <w:rFonts w:hint="default" w:ascii="Times New Roman" w:hAnsi="Times New Roman" w:cs="Times New Roman"/>
          <w:szCs w:val="21"/>
          <w:lang w:val="en-US" w:eastAsia="zh-CN"/>
        </w:rPr>
        <w:t>5</w:t>
      </w:r>
      <w:r>
        <w:rPr>
          <w:rFonts w:hint="default" w:ascii="Times New Roman" w:hAnsi="Times New Roman" w:cs="Times New Roman"/>
          <w:szCs w:val="21"/>
        </w:rPr>
        <w:t>.</w:t>
      </w:r>
      <w:r>
        <w:rPr>
          <w:rFonts w:hint="default" w:ascii="Times New Roman" w:hAnsi="Times New Roman" w:cs="Times New Roman"/>
          <w:szCs w:val="21"/>
          <w:lang w:val="en-US" w:eastAsia="zh-CN"/>
        </w:rPr>
        <w:t>5</w:t>
      </w:r>
      <w:r>
        <w:rPr>
          <w:rFonts w:hint="default" w:ascii="Times New Roman" w:hAnsi="Times New Roman" w:cs="Times New Roman"/>
          <w:szCs w:val="21"/>
        </w:rPr>
        <w:t>.1）置于盛有3</w:t>
      </w:r>
      <w:r>
        <w:rPr>
          <w:rFonts w:hint="eastAsia" w:ascii="Times New Roman" w:cs="Times New Roman"/>
          <w:szCs w:val="21"/>
          <w:lang w:val="en-US" w:eastAsia="zh-CN"/>
        </w:rPr>
        <w:t>.0</w:t>
      </w:r>
      <w:r>
        <w:rPr>
          <w:rFonts w:hint="default" w:ascii="Times New Roman" w:hAnsi="Times New Roman" w:cs="Times New Roman"/>
          <w:szCs w:val="21"/>
        </w:rPr>
        <w:t xml:space="preserve"> g预先烘去水分的氢氧化钠（</w:t>
      </w:r>
      <w:r>
        <w:rPr>
          <w:rFonts w:hint="default" w:ascii="Times New Roman" w:hAnsi="Times New Roman" w:cs="Times New Roman"/>
          <w:szCs w:val="21"/>
          <w:lang w:val="en-US" w:eastAsia="zh-CN"/>
        </w:rPr>
        <w:t>5</w:t>
      </w:r>
      <w:r>
        <w:rPr>
          <w:rFonts w:hint="default" w:ascii="Times New Roman" w:hAnsi="Times New Roman" w:cs="Times New Roman"/>
          <w:szCs w:val="21"/>
        </w:rPr>
        <w:t>.2.</w:t>
      </w:r>
      <w:r>
        <w:rPr>
          <w:rFonts w:hint="default" w:ascii="Times New Roman" w:hAnsi="Times New Roman" w:cs="Times New Roman"/>
          <w:szCs w:val="21"/>
          <w:lang w:val="en-US" w:eastAsia="zh-CN"/>
        </w:rPr>
        <w:t>1</w:t>
      </w:r>
      <w:r>
        <w:rPr>
          <w:rFonts w:hint="default" w:ascii="Times New Roman" w:hAnsi="Times New Roman" w:cs="Times New Roman"/>
          <w:szCs w:val="21"/>
        </w:rPr>
        <w:t>）的刚玉坩埚中，覆盖1.5g过氧化钠（5.2.2），</w:t>
      </w:r>
      <w:r>
        <w:rPr>
          <w:rFonts w:hint="eastAsia" w:ascii="Times New Roman" w:cs="Times New Roman"/>
          <w:szCs w:val="21"/>
          <w:lang w:val="en-US" w:eastAsia="zh-CN"/>
        </w:rPr>
        <w:t>于电炉上</w:t>
      </w:r>
      <w:r>
        <w:rPr>
          <w:rFonts w:hint="default" w:ascii="Times New Roman" w:hAnsi="Times New Roman" w:cs="Times New Roman"/>
          <w:szCs w:val="21"/>
        </w:rPr>
        <w:t>加热</w:t>
      </w:r>
      <w:r>
        <w:rPr>
          <w:rFonts w:hint="eastAsia" w:ascii="Times New Roman" w:cs="Times New Roman"/>
          <w:szCs w:val="21"/>
          <w:lang w:val="en-US" w:eastAsia="zh-CN"/>
        </w:rPr>
        <w:t>烘</w:t>
      </w:r>
      <w:r>
        <w:rPr>
          <w:rFonts w:hint="default" w:ascii="Times New Roman" w:hAnsi="Times New Roman" w:cs="Times New Roman"/>
          <w:szCs w:val="21"/>
        </w:rPr>
        <w:t>去水分，摇动坩埚使试样散开，盖好坩埚盖，置于750℃马弗炉中</w:t>
      </w:r>
      <w:r>
        <w:rPr>
          <w:rFonts w:ascii="Times New Roman"/>
          <w:szCs w:val="21"/>
        </w:rPr>
        <w:t>熔融至缨红并保持10min（中间取出摇动一次），取出</w:t>
      </w:r>
      <w:r>
        <w:rPr>
          <w:rFonts w:hint="eastAsia" w:ascii="Times New Roman"/>
          <w:szCs w:val="21"/>
          <w:lang w:val="en-US" w:eastAsia="zh-CN"/>
        </w:rPr>
        <w:t>冷却</w:t>
      </w:r>
      <w:r>
        <w:rPr>
          <w:rFonts w:ascii="Times New Roman"/>
          <w:szCs w:val="21"/>
        </w:rPr>
        <w:t>。</w:t>
      </w:r>
    </w:p>
    <w:p w14:paraId="7B9E4DF2">
      <w:pPr>
        <w:pStyle w:val="47"/>
        <w:ind w:firstLine="420"/>
        <w:rPr>
          <w:rFonts w:ascii="Times New Roman"/>
          <w:szCs w:val="21"/>
        </w:rPr>
      </w:pPr>
      <w:r>
        <w:rPr>
          <w:rFonts w:ascii="Times New Roman"/>
          <w:szCs w:val="21"/>
        </w:rPr>
        <w:t>将坩埚置于盛有1</w:t>
      </w:r>
      <w:r>
        <w:rPr>
          <w:rFonts w:hint="eastAsia" w:ascii="Times New Roman"/>
          <w:szCs w:val="21"/>
          <w:lang w:val="en-US" w:eastAsia="zh-CN"/>
        </w:rPr>
        <w:t>0</w:t>
      </w:r>
      <w:r>
        <w:rPr>
          <w:rFonts w:ascii="Times New Roman"/>
          <w:szCs w:val="21"/>
        </w:rPr>
        <w:t>0mL热水的烧杯中浸取。待剧烈</w:t>
      </w:r>
      <w:r>
        <w:rPr>
          <w:rFonts w:hint="eastAsia" w:ascii="Times New Roman"/>
          <w:szCs w:val="21"/>
          <w:lang w:val="en-US" w:eastAsia="zh-CN"/>
        </w:rPr>
        <w:t>反应</w:t>
      </w:r>
      <w:r>
        <w:rPr>
          <w:rFonts w:ascii="Times New Roman"/>
          <w:szCs w:val="21"/>
        </w:rPr>
        <w:t>停止后，用水冲洗坩埚及外壁，加入2mL硝酸（</w:t>
      </w:r>
      <w:r>
        <w:rPr>
          <w:rFonts w:hint="eastAsia" w:ascii="Times New Roman"/>
          <w:szCs w:val="21"/>
        </w:rPr>
        <w:t>5.2</w:t>
      </w:r>
      <w:r>
        <w:rPr>
          <w:rFonts w:ascii="Times New Roman"/>
          <w:szCs w:val="21"/>
        </w:rPr>
        <w:t>.4）洗涤坩埚，用水洗净取出坩埚及坩埚盖，控制体积约150mL。加入30mL硝酸（</w:t>
      </w:r>
      <w:r>
        <w:rPr>
          <w:rFonts w:hint="eastAsia" w:ascii="Times New Roman"/>
          <w:szCs w:val="21"/>
        </w:rPr>
        <w:t>5.2</w:t>
      </w:r>
      <w:r>
        <w:rPr>
          <w:rFonts w:ascii="Times New Roman"/>
          <w:szCs w:val="21"/>
        </w:rPr>
        <w:t>.3），</w:t>
      </w:r>
      <w:r>
        <w:rPr>
          <w:rFonts w:hint="eastAsia" w:ascii="Times New Roman"/>
          <w:szCs w:val="21"/>
          <w:lang w:val="en-US" w:eastAsia="zh-CN"/>
        </w:rPr>
        <w:t>1</w:t>
      </w:r>
      <w:r>
        <w:rPr>
          <w:rFonts w:ascii="Times New Roman"/>
          <w:szCs w:val="21"/>
        </w:rPr>
        <w:t>mL过氧化氢（</w:t>
      </w:r>
      <w:r>
        <w:rPr>
          <w:rFonts w:hint="eastAsia" w:ascii="Times New Roman"/>
          <w:szCs w:val="21"/>
        </w:rPr>
        <w:t>5.2</w:t>
      </w:r>
      <w:r>
        <w:rPr>
          <w:rFonts w:ascii="Times New Roman"/>
          <w:szCs w:val="21"/>
        </w:rPr>
        <w:t>.5），</w:t>
      </w:r>
      <w:r>
        <w:rPr>
          <w:szCs w:val="21"/>
        </w:rPr>
        <w:t>加热煮沸使溶液清亮</w:t>
      </w:r>
      <w:r>
        <w:rPr>
          <w:rFonts w:ascii="Times New Roman"/>
          <w:szCs w:val="21"/>
        </w:rPr>
        <w:t>，稍冷后将溶液移入2</w:t>
      </w:r>
      <w:r>
        <w:rPr>
          <w:rFonts w:hint="eastAsia" w:ascii="Times New Roman"/>
          <w:szCs w:val="21"/>
          <w:lang w:val="en-US" w:eastAsia="zh-CN"/>
        </w:rPr>
        <w:t>5</w:t>
      </w:r>
      <w:r>
        <w:rPr>
          <w:rFonts w:ascii="Times New Roman"/>
          <w:szCs w:val="21"/>
        </w:rPr>
        <w:t>0mL容量瓶中，用水稀释至刻度，混匀。根据含量按表1分取试液。</w:t>
      </w:r>
    </w:p>
    <w:p w14:paraId="31A03556">
      <w:pPr>
        <w:pStyle w:val="47"/>
        <w:autoSpaceDE/>
        <w:autoSpaceDN/>
        <w:spacing w:before="156" w:beforeLines="50" w:after="156" w:afterLines="50"/>
        <w:ind w:firstLine="0" w:firstLineChars="0"/>
        <w:rPr>
          <w:rFonts w:ascii="Times New Roman"/>
          <w:szCs w:val="21"/>
        </w:rPr>
      </w:pPr>
      <w:r>
        <w:rPr>
          <w:rFonts w:hint="eastAsia" w:ascii="黑体" w:hAnsi="黑体" w:eastAsia="黑体" w:cs="黑体"/>
          <w:szCs w:val="21"/>
        </w:rPr>
        <w:t>5.5.5 系列标准溶液的配制</w:t>
      </w:r>
    </w:p>
    <w:p w14:paraId="678EA968">
      <w:pPr>
        <w:pStyle w:val="47"/>
        <w:ind w:firstLine="420"/>
        <w:rPr>
          <w:rFonts w:ascii="Times New Roman"/>
          <w:szCs w:val="21"/>
        </w:rPr>
      </w:pPr>
      <w:r>
        <w:rPr>
          <w:rFonts w:hint="eastAsia" w:ascii="Times New Roman"/>
          <w:szCs w:val="21"/>
        </w:rPr>
        <w:t>分别移取五氧化二磷标准溶液（5.2.7）0.25mL、0.50mL、1.00mL、2.50mL、5.00mL、10.00mL于50mL容量瓶中，配制成五氧化二磷浓度分别为0.50µg/mL、1.00µg/mL、2.00µg/mL、5.00µg/mL、10.00µg/mL、20.00µg/mL的系列标准溶液。</w:t>
      </w:r>
    </w:p>
    <w:p w14:paraId="79917DCE">
      <w:pPr>
        <w:pStyle w:val="47"/>
        <w:autoSpaceDE/>
        <w:autoSpaceDN/>
        <w:spacing w:before="156" w:beforeLines="50" w:after="156" w:afterLines="50"/>
        <w:ind w:firstLine="0" w:firstLineChars="0"/>
        <w:rPr>
          <w:rFonts w:ascii="Times New Roman"/>
          <w:szCs w:val="21"/>
        </w:rPr>
      </w:pPr>
      <w:r>
        <w:rPr>
          <w:rFonts w:hint="eastAsia" w:ascii="黑体" w:hAnsi="黑体" w:eastAsia="黑体" w:cs="黑体"/>
          <w:szCs w:val="21"/>
        </w:rPr>
        <w:t>5.5.6 测定</w:t>
      </w:r>
    </w:p>
    <w:p w14:paraId="54773385">
      <w:pPr>
        <w:pStyle w:val="47"/>
        <w:ind w:firstLine="0" w:firstLineChars="0"/>
        <w:rPr>
          <w:rFonts w:ascii="Times New Roman"/>
          <w:szCs w:val="21"/>
        </w:rPr>
      </w:pPr>
      <w:r>
        <w:rPr>
          <w:rFonts w:hint="eastAsia" w:ascii="黑体" w:hAnsi="黑体" w:eastAsia="黑体" w:cs="黑体"/>
          <w:szCs w:val="21"/>
        </w:rPr>
        <w:t xml:space="preserve">5.5.6.1 </w:t>
      </w:r>
      <w:r>
        <w:rPr>
          <w:rFonts w:hint="eastAsia" w:ascii="Times New Roman"/>
          <w:szCs w:val="21"/>
        </w:rPr>
        <w:t>推荐分析线波长见表5。</w:t>
      </w:r>
    </w:p>
    <w:p w14:paraId="5EEE34D5">
      <w:pPr>
        <w:jc w:val="center"/>
        <w:rPr>
          <w:rFonts w:hint="default" w:eastAsia="黑体"/>
          <w:color w:val="FF0000"/>
          <w:highlight w:val="yellow"/>
          <w:lang w:val="en-US" w:eastAsia="zh-CN"/>
        </w:rPr>
      </w:pPr>
      <w:r>
        <w:rPr>
          <w:rFonts w:hint="eastAsia" w:ascii="黑体" w:hAnsi="黑体" w:eastAsia="黑体" w:cs="黑体"/>
          <w:sz w:val="18"/>
          <w:szCs w:val="18"/>
        </w:rPr>
        <w:t>表5</w:t>
      </w:r>
      <w:r>
        <w:rPr>
          <w:rFonts w:hint="eastAsia" w:ascii="黑体" w:hAnsi="黑体" w:eastAsia="黑体" w:cs="黑体"/>
          <w:sz w:val="18"/>
          <w:szCs w:val="18"/>
          <w:lang w:val="en-US" w:eastAsia="zh-CN"/>
        </w:rPr>
        <w:t xml:space="preserve"> 推荐分析线</w:t>
      </w:r>
    </w:p>
    <w:tbl>
      <w:tblPr>
        <w:tblStyle w:val="3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14"/>
        <w:gridCol w:w="6053"/>
      </w:tblGrid>
      <w:tr w14:paraId="74435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36" w:type="pct"/>
            <w:tcBorders>
              <w:top w:val="single" w:color="000000" w:sz="12" w:space="0"/>
              <w:left w:val="single" w:color="000000" w:sz="12" w:space="0"/>
              <w:bottom w:val="single" w:color="000000" w:sz="12" w:space="0"/>
              <w:right w:val="single" w:color="000000" w:sz="4" w:space="0"/>
            </w:tcBorders>
            <w:vAlign w:val="center"/>
          </w:tcPr>
          <w:p w14:paraId="18E78D9C">
            <w:pPr>
              <w:jc w:val="center"/>
              <w:rPr>
                <w:color w:val="000000" w:themeColor="text1"/>
                <w14:textFill>
                  <w14:solidFill>
                    <w14:schemeClr w14:val="tx1"/>
                  </w14:solidFill>
                </w14:textFill>
              </w:rPr>
            </w:pPr>
            <w:r>
              <w:rPr>
                <w:sz w:val="18"/>
                <w:szCs w:val="18"/>
              </w:rPr>
              <w:t>元素</w:t>
            </w:r>
          </w:p>
        </w:tc>
        <w:tc>
          <w:tcPr>
            <w:tcW w:w="3163" w:type="pct"/>
            <w:tcBorders>
              <w:top w:val="single" w:color="000000" w:sz="12" w:space="0"/>
              <w:left w:val="single" w:color="000000" w:sz="4" w:space="0"/>
              <w:bottom w:val="single" w:color="000000" w:sz="12" w:space="0"/>
              <w:right w:val="single" w:color="000000" w:sz="12" w:space="0"/>
            </w:tcBorders>
            <w:vAlign w:val="center"/>
          </w:tcPr>
          <w:p w14:paraId="4FEF9386">
            <w:pPr>
              <w:jc w:val="center"/>
              <w:rPr>
                <w:color w:val="000000" w:themeColor="text1"/>
                <w:sz w:val="18"/>
                <w:szCs w:val="18"/>
                <w14:textFill>
                  <w14:solidFill>
                    <w14:schemeClr w14:val="tx1"/>
                  </w14:solidFill>
                </w14:textFill>
              </w:rPr>
            </w:pPr>
            <w:r>
              <w:rPr>
                <w:sz w:val="18"/>
                <w:szCs w:val="18"/>
              </w:rPr>
              <w:t>推荐谱线（nm）</w:t>
            </w:r>
          </w:p>
        </w:tc>
      </w:tr>
      <w:tr w14:paraId="15626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36" w:type="pct"/>
            <w:tcBorders>
              <w:top w:val="single" w:color="000000" w:sz="12" w:space="0"/>
              <w:left w:val="single" w:color="000000" w:sz="12" w:space="0"/>
              <w:bottom w:val="single" w:color="000000" w:sz="12" w:space="0"/>
              <w:right w:val="single" w:color="000000" w:sz="4" w:space="0"/>
            </w:tcBorders>
            <w:vAlign w:val="center"/>
          </w:tcPr>
          <w:p w14:paraId="4D00EA23">
            <w:pPr>
              <w:jc w:val="center"/>
              <w:rPr>
                <w:color w:val="000000" w:themeColor="text1"/>
                <w:sz w:val="18"/>
                <w:szCs w:val="18"/>
                <w14:textFill>
                  <w14:solidFill>
                    <w14:schemeClr w14:val="tx1"/>
                  </w14:solidFill>
                </w14:textFill>
              </w:rPr>
            </w:pPr>
            <w:r>
              <w:rPr>
                <w:sz w:val="18"/>
                <w:szCs w:val="18"/>
              </w:rPr>
              <w:t>P</w:t>
            </w:r>
          </w:p>
        </w:tc>
        <w:tc>
          <w:tcPr>
            <w:tcW w:w="3163" w:type="pct"/>
            <w:tcBorders>
              <w:top w:val="single" w:color="000000" w:sz="12" w:space="0"/>
              <w:left w:val="single" w:color="000000" w:sz="4" w:space="0"/>
              <w:bottom w:val="single" w:color="000000" w:sz="12" w:space="0"/>
              <w:right w:val="single" w:color="000000" w:sz="12" w:space="0"/>
            </w:tcBorders>
            <w:vAlign w:val="center"/>
          </w:tcPr>
          <w:p w14:paraId="33E42D67">
            <w:pPr>
              <w:jc w:val="center"/>
              <w:rPr>
                <w:color w:val="000000" w:themeColor="text1"/>
                <w:sz w:val="18"/>
                <w:szCs w:val="18"/>
                <w14:textFill>
                  <w14:solidFill>
                    <w14:schemeClr w14:val="tx1"/>
                  </w14:solidFill>
                </w14:textFill>
              </w:rPr>
            </w:pPr>
            <w:r>
              <w:t>178.222，185.827，214.914，213.618</w:t>
            </w:r>
          </w:p>
        </w:tc>
      </w:tr>
    </w:tbl>
    <w:p w14:paraId="77814A5E">
      <w:pPr>
        <w:pStyle w:val="47"/>
        <w:ind w:firstLine="0" w:firstLineChars="0"/>
        <w:rPr>
          <w:rFonts w:ascii="黑体" w:hAnsi="黑体" w:eastAsia="黑体" w:cs="黑体"/>
          <w:szCs w:val="21"/>
        </w:rPr>
      </w:pPr>
    </w:p>
    <w:p w14:paraId="7BD22EF1">
      <w:pPr>
        <w:pStyle w:val="47"/>
        <w:ind w:firstLine="0" w:firstLineChars="0"/>
        <w:rPr>
          <w:rFonts w:ascii="Times New Roman"/>
          <w:kern w:val="2"/>
          <w:szCs w:val="21"/>
        </w:rPr>
      </w:pPr>
      <w:r>
        <w:rPr>
          <w:rFonts w:hint="eastAsia" w:ascii="黑体" w:hAnsi="黑体" w:eastAsia="黑体" w:cs="黑体"/>
          <w:szCs w:val="21"/>
        </w:rPr>
        <w:t xml:space="preserve">5.5.6.1 </w:t>
      </w:r>
      <w:r>
        <w:rPr>
          <w:rFonts w:hint="eastAsia" w:ascii="Times New Roman"/>
          <w:szCs w:val="21"/>
        </w:rPr>
        <w:t>将分析试液（5.5.4）、空白试液（5.5.3）与系列标准溶液（5.5.5）同时进行氩等离子体光谱测定。</w:t>
      </w:r>
    </w:p>
    <w:p w14:paraId="32C46E2F">
      <w:pPr>
        <w:pStyle w:val="74"/>
        <w:numPr>
          <w:ilvl w:val="0"/>
          <w:numId w:val="0"/>
        </w:numPr>
        <w:spacing w:before="156" w:after="156"/>
        <w:rPr>
          <w:rFonts w:ascii="Times New Roman"/>
          <w:color w:val="000000"/>
        </w:rPr>
      </w:pPr>
      <w:r>
        <w:rPr>
          <w:rFonts w:hint="eastAsia" w:hAnsi="黑体" w:cs="黑体"/>
          <w:color w:val="000000"/>
        </w:rPr>
        <w:t>5.6</w:t>
      </w:r>
      <w:r>
        <w:rPr>
          <w:rFonts w:ascii="Times New Roman"/>
          <w:color w:val="000000"/>
        </w:rPr>
        <w:t>　试验数据处理</w:t>
      </w:r>
    </w:p>
    <w:p w14:paraId="084FDBD2">
      <w:pPr>
        <w:pStyle w:val="47"/>
        <w:ind w:firstLine="420"/>
        <w:jc w:val="left"/>
        <w:rPr>
          <w:rFonts w:ascii="Times New Roman" w:hAnsi="宋体"/>
          <w:kern w:val="2"/>
          <w:szCs w:val="21"/>
        </w:rPr>
      </w:pPr>
      <w:r>
        <w:rPr>
          <w:rFonts w:hint="eastAsia" w:ascii="Times New Roman"/>
          <w:lang w:val="en-US" w:eastAsia="zh-CN"/>
        </w:rPr>
        <w:t>五氧化二磷</w:t>
      </w:r>
      <w:r>
        <w:rPr>
          <w:rFonts w:hint="eastAsia" w:ascii="Times New Roman"/>
        </w:rPr>
        <w:t>含量以质量分数</w:t>
      </w:r>
      <w:r>
        <w:rPr>
          <w:rFonts w:hint="eastAsia" w:hAnsi="宋体"/>
          <w:i/>
        </w:rPr>
        <w:t>w</w:t>
      </w:r>
      <w:r>
        <w:rPr>
          <w:rFonts w:hint="eastAsia" w:hAnsi="宋体"/>
        </w:rPr>
        <w:t>计，</w:t>
      </w:r>
      <w:r>
        <w:rPr>
          <w:rFonts w:hint="eastAsia" w:ascii="Times New Roman" w:hAnsi="宋体"/>
          <w:kern w:val="2"/>
          <w:szCs w:val="21"/>
        </w:rPr>
        <w:t>按公式（2）</w:t>
      </w:r>
      <w:r>
        <w:rPr>
          <w:rFonts w:ascii="Times New Roman" w:hAnsi="宋体"/>
          <w:kern w:val="2"/>
          <w:szCs w:val="21"/>
        </w:rPr>
        <w:t>计算：</w:t>
      </w:r>
    </w:p>
    <w:p w14:paraId="79D933D8">
      <w:pPr>
        <w:pStyle w:val="47"/>
        <w:ind w:firstLine="480"/>
        <w:jc w:val="center"/>
        <w:rPr>
          <w:rFonts w:ascii="Times New Roman"/>
          <w:highlight w:val="yellow"/>
        </w:rPr>
      </w:pPr>
      <w:r>
        <w:rPr>
          <w:rFonts w:ascii="Times New Roman"/>
          <w:position w:val="-30"/>
          <w:sz w:val="24"/>
          <w:szCs w:val="24"/>
        </w:rPr>
        <w:object>
          <v:shape id="_x0000_i1026" o:spt="75" type="#_x0000_t75" style="height:30.75pt;width:157.75pt;" o:ole="t" filled="f" o:preferrelative="t" stroked="f" coordsize="21600,21600">
            <v:path/>
            <v:fill on="f" focussize="0,0"/>
            <v:stroke on="f"/>
            <v:imagedata r:id="rId17" o:title=""/>
            <o:lock v:ext="edit" aspectratio="t"/>
            <w10:wrap type="none"/>
            <w10:anchorlock/>
          </v:shape>
          <o:OLEObject Type="Embed" ProgID="Equation.3" ShapeID="_x0000_i1026" DrawAspect="Content" ObjectID="_1468075726" r:id="rId16">
            <o:LockedField>false</o:LockedField>
          </o:OLEObject>
        </w:object>
      </w:r>
      <w:r>
        <w:rPr>
          <w:rFonts w:ascii="Times New Roman"/>
        </w:rPr>
        <w:t>…………………（</w:t>
      </w:r>
      <w:r>
        <w:rPr>
          <w:rFonts w:hint="eastAsia" w:ascii="Times New Roman"/>
        </w:rPr>
        <w:t>2</w:t>
      </w:r>
      <w:r>
        <w:rPr>
          <w:rFonts w:ascii="Times New Roman"/>
        </w:rPr>
        <w:t>）</w:t>
      </w:r>
    </w:p>
    <w:p w14:paraId="34B3FEA1">
      <w:pPr>
        <w:pStyle w:val="47"/>
        <w:ind w:firstLine="420"/>
        <w:rPr>
          <w:rFonts w:ascii="Times New Roman"/>
        </w:rPr>
      </w:pPr>
      <w:r>
        <w:rPr>
          <w:rFonts w:ascii="Times New Roman"/>
        </w:rPr>
        <w:t>式中：</w:t>
      </w:r>
    </w:p>
    <w:p w14:paraId="2F1DFD8E">
      <w:pPr>
        <w:adjustRightInd w:val="0"/>
        <w:snapToGrid w:val="0"/>
        <w:ind w:firstLine="444" w:firstLineChars="200"/>
        <w:rPr>
          <w:spacing w:val="6"/>
          <w:szCs w:val="21"/>
        </w:rPr>
      </w:pPr>
      <w:r>
        <w:rPr>
          <w:i/>
          <w:spacing w:val="6"/>
          <w:szCs w:val="21"/>
        </w:rPr>
        <w:t>ρ</w:t>
      </w:r>
      <w:r>
        <w:rPr>
          <w:spacing w:val="6"/>
          <w:szCs w:val="21"/>
          <w:vertAlign w:val="subscript"/>
        </w:rPr>
        <w:t>1</w:t>
      </w:r>
      <w:r>
        <w:rPr>
          <w:i/>
          <w:spacing w:val="6"/>
          <w:szCs w:val="21"/>
          <w:vertAlign w:val="subscript"/>
        </w:rPr>
        <w:t xml:space="preserve"> </w:t>
      </w:r>
      <w:r>
        <w:rPr>
          <w:spacing w:val="6"/>
          <w:szCs w:val="21"/>
        </w:rPr>
        <w:t>——样品溶液中五氧化二磷的质量浓度，单位为微克每毫升（μg/mL）；</w:t>
      </w:r>
    </w:p>
    <w:p w14:paraId="2498C2AD">
      <w:pPr>
        <w:adjustRightInd w:val="0"/>
        <w:snapToGrid w:val="0"/>
        <w:ind w:firstLine="444" w:firstLineChars="200"/>
        <w:rPr>
          <w:spacing w:val="6"/>
          <w:szCs w:val="21"/>
        </w:rPr>
      </w:pPr>
      <w:r>
        <w:rPr>
          <w:i/>
          <w:spacing w:val="6"/>
          <w:szCs w:val="21"/>
        </w:rPr>
        <w:t>ρ</w:t>
      </w:r>
      <w:r>
        <w:rPr>
          <w:spacing w:val="6"/>
          <w:szCs w:val="21"/>
          <w:vertAlign w:val="subscript"/>
        </w:rPr>
        <w:t xml:space="preserve">2 </w:t>
      </w:r>
      <w:r>
        <w:rPr>
          <w:spacing w:val="6"/>
          <w:szCs w:val="21"/>
        </w:rPr>
        <w:t>——空白溶液中五氧化二磷的质量浓度，单位为微克每毫升（μg/mL）；</w:t>
      </w:r>
    </w:p>
    <w:p w14:paraId="4D0BB687">
      <w:pPr>
        <w:adjustRightInd w:val="0"/>
        <w:snapToGrid w:val="0"/>
        <w:ind w:firstLine="420"/>
        <w:rPr>
          <w:spacing w:val="6"/>
          <w:szCs w:val="21"/>
        </w:rPr>
      </w:pPr>
      <w:r>
        <w:rPr>
          <w:i/>
          <w:spacing w:val="6"/>
          <w:szCs w:val="21"/>
        </w:rPr>
        <w:t>V</w:t>
      </w:r>
      <w:r>
        <w:rPr>
          <w:rFonts w:hint="eastAsia"/>
          <w:spacing w:val="6"/>
          <w:szCs w:val="21"/>
          <w:vertAlign w:val="subscript"/>
          <w:lang w:val="en-US" w:eastAsia="zh-CN"/>
        </w:rPr>
        <w:t>2</w:t>
      </w:r>
      <w:r>
        <w:rPr>
          <w:spacing w:val="6"/>
          <w:szCs w:val="21"/>
          <w:vertAlign w:val="subscript"/>
        </w:rPr>
        <w:t xml:space="preserve"> </w:t>
      </w:r>
      <w:r>
        <w:rPr>
          <w:spacing w:val="6"/>
          <w:szCs w:val="21"/>
        </w:rPr>
        <w:t>——试液总体积，单位为毫升（mL）；</w:t>
      </w:r>
    </w:p>
    <w:p w14:paraId="5DC3913C">
      <w:pPr>
        <w:adjustRightInd w:val="0"/>
        <w:snapToGrid w:val="0"/>
        <w:ind w:firstLine="420"/>
        <w:rPr>
          <w:spacing w:val="6"/>
          <w:szCs w:val="21"/>
        </w:rPr>
      </w:pPr>
      <w:r>
        <w:rPr>
          <w:i/>
          <w:spacing w:val="6"/>
          <w:szCs w:val="21"/>
        </w:rPr>
        <w:t>V</w:t>
      </w:r>
      <w:r>
        <w:rPr>
          <w:rFonts w:hint="eastAsia"/>
          <w:spacing w:val="6"/>
          <w:szCs w:val="21"/>
          <w:vertAlign w:val="subscript"/>
          <w:lang w:val="en-US" w:eastAsia="zh-CN"/>
        </w:rPr>
        <w:t>3</w:t>
      </w:r>
      <w:r>
        <w:rPr>
          <w:spacing w:val="6"/>
          <w:szCs w:val="21"/>
          <w:vertAlign w:val="subscript"/>
        </w:rPr>
        <w:t xml:space="preserve"> </w:t>
      </w:r>
      <w:r>
        <w:rPr>
          <w:spacing w:val="6"/>
          <w:szCs w:val="21"/>
        </w:rPr>
        <w:t>——分析试液体积，单位为毫升（mL）；</w:t>
      </w:r>
    </w:p>
    <w:p w14:paraId="5E31B885">
      <w:pPr>
        <w:adjustRightInd w:val="0"/>
        <w:snapToGrid w:val="0"/>
        <w:ind w:firstLine="444" w:firstLineChars="200"/>
        <w:rPr>
          <w:spacing w:val="6"/>
          <w:szCs w:val="21"/>
        </w:rPr>
      </w:pPr>
      <w:r>
        <w:rPr>
          <w:rFonts w:hint="eastAsia"/>
          <w:i/>
          <w:spacing w:val="6"/>
          <w:szCs w:val="21"/>
          <w:vertAlign w:val="baseline"/>
          <w:lang w:val="en-US" w:eastAsia="zh-CN"/>
        </w:rPr>
        <w:t>m</w:t>
      </w:r>
      <w:r>
        <w:rPr>
          <w:rFonts w:hint="eastAsia"/>
          <w:i w:val="0"/>
          <w:iCs/>
          <w:spacing w:val="6"/>
          <w:szCs w:val="21"/>
          <w:vertAlign w:val="subscript"/>
          <w:lang w:val="en-US" w:eastAsia="zh-CN"/>
        </w:rPr>
        <w:t>2</w:t>
      </w:r>
      <w:r>
        <w:rPr>
          <w:i/>
          <w:spacing w:val="6"/>
          <w:szCs w:val="21"/>
        </w:rPr>
        <w:t xml:space="preserve"> </w:t>
      </w:r>
      <w:r>
        <w:rPr>
          <w:spacing w:val="6"/>
          <w:szCs w:val="21"/>
        </w:rPr>
        <w:t>——样品的质量，单位为克（g）。</w:t>
      </w:r>
    </w:p>
    <w:p w14:paraId="00DBC0C1">
      <w:pPr>
        <w:pStyle w:val="47"/>
        <w:ind w:firstLine="444"/>
        <w:rPr>
          <w:rFonts w:ascii="Times New Roman"/>
          <w:kern w:val="2"/>
          <w:szCs w:val="21"/>
        </w:rPr>
      </w:pPr>
      <w:r>
        <w:rPr>
          <w:rFonts w:ascii="Times New Roman"/>
          <w:i/>
          <w:spacing w:val="6"/>
          <w:szCs w:val="21"/>
        </w:rPr>
        <w:t>V</w:t>
      </w:r>
      <w:r>
        <w:rPr>
          <w:rFonts w:hint="eastAsia" w:ascii="Times New Roman"/>
          <w:spacing w:val="6"/>
          <w:szCs w:val="21"/>
          <w:vertAlign w:val="subscript"/>
          <w:lang w:val="en-US" w:eastAsia="zh-CN"/>
        </w:rPr>
        <w:t>4</w:t>
      </w:r>
      <w:r>
        <w:rPr>
          <w:rFonts w:ascii="Times New Roman"/>
          <w:spacing w:val="6"/>
          <w:szCs w:val="21"/>
          <w:vertAlign w:val="subscript"/>
        </w:rPr>
        <w:t xml:space="preserve"> </w:t>
      </w:r>
      <w:r>
        <w:rPr>
          <w:rFonts w:ascii="Times New Roman"/>
          <w:spacing w:val="6"/>
          <w:szCs w:val="21"/>
        </w:rPr>
        <w:t>——移取试液体积，单位为毫升（mL）；</w:t>
      </w:r>
    </w:p>
    <w:p w14:paraId="2C728143">
      <w:pPr>
        <w:adjustRightInd w:val="0"/>
        <w:snapToGrid w:val="0"/>
        <w:ind w:firstLine="420" w:firstLineChars="200"/>
        <w:rPr>
          <w:spacing w:val="6"/>
          <w:szCs w:val="21"/>
        </w:rPr>
      </w:pPr>
      <w:r>
        <w:rPr>
          <w:rFonts w:hint="eastAsia"/>
          <w:szCs w:val="21"/>
        </w:rPr>
        <w:t>两次平行测定结果的绝对差值不大于表</w:t>
      </w:r>
      <w:r>
        <w:rPr>
          <w:rFonts w:hint="eastAsia"/>
          <w:szCs w:val="21"/>
          <w:lang w:val="en-US" w:eastAsia="zh-CN"/>
        </w:rPr>
        <w:t>6</w:t>
      </w:r>
      <w:r>
        <w:rPr>
          <w:rFonts w:hint="eastAsia"/>
          <w:szCs w:val="21"/>
        </w:rPr>
        <w:t>中相应重复性限时，取其平均值作为测定结果。保留至小数点后两位，数值修约按</w:t>
      </w:r>
      <w:r>
        <w:rPr>
          <w:spacing w:val="6"/>
        </w:rPr>
        <w:t>GB/T 8170</w:t>
      </w:r>
      <w:r>
        <w:rPr>
          <w:rFonts w:hint="eastAsia"/>
          <w:szCs w:val="21"/>
        </w:rPr>
        <w:t>的规定执行。</w:t>
      </w:r>
    </w:p>
    <w:p w14:paraId="21A5100F">
      <w:pPr>
        <w:pStyle w:val="74"/>
        <w:numPr>
          <w:ilvl w:val="0"/>
          <w:numId w:val="0"/>
        </w:numPr>
        <w:spacing w:before="156" w:after="156"/>
      </w:pPr>
      <w:r>
        <w:rPr>
          <w:rFonts w:hint="eastAsia" w:hAnsi="黑体" w:cs="黑体"/>
          <w:color w:val="000000"/>
          <w:lang w:val="en-US" w:eastAsia="zh-CN"/>
        </w:rPr>
        <w:t>5</w:t>
      </w:r>
      <w:r>
        <w:rPr>
          <w:rFonts w:hint="eastAsia" w:hAnsi="黑体" w:cs="黑体"/>
          <w:color w:val="000000"/>
        </w:rPr>
        <w:t>.7</w:t>
      </w:r>
      <w:r>
        <w:rPr>
          <w:rFonts w:ascii="Times New Roman"/>
          <w:color w:val="000000"/>
        </w:rPr>
        <w:t>　精密度</w:t>
      </w:r>
    </w:p>
    <w:p w14:paraId="0AF3B772">
      <w:pPr>
        <w:pStyle w:val="47"/>
        <w:ind w:firstLine="420"/>
      </w:pPr>
      <w:r>
        <w:rPr>
          <w:rFonts w:ascii="Times New Roman"/>
        </w:rPr>
        <w:t>精密度结果根据2024年，</w:t>
      </w:r>
      <w:r>
        <w:rPr>
          <w:rFonts w:hint="eastAsia" w:ascii="Times New Roman"/>
          <w:lang w:val="en-US" w:eastAsia="zh-CN"/>
        </w:rPr>
        <w:t>7</w:t>
      </w:r>
      <w:r>
        <w:rPr>
          <w:rFonts w:ascii="Times New Roman"/>
        </w:rPr>
        <w:t>家实验室对稀土精矿</w:t>
      </w:r>
      <w:r>
        <w:rPr>
          <w:rFonts w:hint="eastAsia" w:ascii="Times New Roman"/>
          <w:lang w:val="en-US" w:eastAsia="zh-CN"/>
        </w:rPr>
        <w:t>6</w:t>
      </w:r>
      <w:r>
        <w:rPr>
          <w:rFonts w:ascii="Times New Roman"/>
        </w:rPr>
        <w:t>个不同水平样品协同试验确定。每个实验室对每个水平样</w:t>
      </w:r>
      <w:r>
        <w:rPr>
          <w:rFonts w:hint="eastAsia" w:ascii="Times New Roman"/>
        </w:rPr>
        <w:t>品的</w:t>
      </w:r>
      <w:r>
        <w:rPr>
          <w:rFonts w:hint="eastAsia" w:ascii="Times New Roman"/>
          <w:lang w:val="en-US" w:eastAsia="zh-CN"/>
        </w:rPr>
        <w:t>五氧化二磷</w:t>
      </w:r>
      <w:r>
        <w:rPr>
          <w:rFonts w:hint="eastAsia" w:ascii="Times New Roman"/>
        </w:rPr>
        <w:t>量</w:t>
      </w:r>
      <w:r>
        <w:rPr>
          <w:rFonts w:ascii="Times New Roman"/>
        </w:rPr>
        <w:t>在重复性条件下独立测定11次。试验数据按GB/T 6379.2进行统计分析。</w:t>
      </w:r>
    </w:p>
    <w:p w14:paraId="6A923D1C">
      <w:pPr>
        <w:snapToGrid w:val="0"/>
        <w:spacing w:before="156" w:beforeLines="50" w:after="156" w:afterLines="50"/>
        <w:rPr>
          <w:rFonts w:ascii="宋体" w:hAnsi="宋体" w:cs="宋体"/>
        </w:rPr>
      </w:pPr>
      <w:r>
        <w:rPr>
          <w:rFonts w:hint="eastAsia" w:ascii="黑体" w:hAnsi="黑体" w:eastAsia="黑体"/>
          <w:color w:val="000000"/>
          <w:szCs w:val="22"/>
          <w:lang w:val="en-US" w:eastAsia="zh-CN"/>
        </w:rPr>
        <w:t>5</w:t>
      </w:r>
      <w:r>
        <w:rPr>
          <w:rFonts w:hint="eastAsia" w:ascii="黑体" w:hAnsi="黑体" w:eastAsia="黑体"/>
          <w:color w:val="000000"/>
          <w:szCs w:val="22"/>
        </w:rPr>
        <w:t>.7</w:t>
      </w:r>
      <w:r>
        <w:rPr>
          <w:rFonts w:ascii="黑体" w:hAnsi="黑体" w:eastAsia="黑体"/>
          <w:color w:val="000000"/>
          <w:szCs w:val="22"/>
        </w:rPr>
        <w:t>.1　</w:t>
      </w:r>
      <w:r>
        <w:rPr>
          <w:rFonts w:hint="eastAsia" w:ascii="黑体" w:hAnsi="黑体" w:eastAsia="黑体"/>
          <w:color w:val="000000"/>
          <w:szCs w:val="22"/>
        </w:rPr>
        <w:t>重复性</w:t>
      </w:r>
    </w:p>
    <w:p w14:paraId="6CE7BFA3">
      <w:pPr>
        <w:snapToGrid w:val="0"/>
        <w:ind w:firstLine="420" w:firstLineChars="200"/>
      </w:pPr>
      <w:r>
        <w:t>在重复性条件下获得的两次独立测试结果的绝对差值不超过重复性限（</w:t>
      </w:r>
      <w:r>
        <w:rPr>
          <w:i/>
          <w:iCs/>
        </w:rPr>
        <w:t>r</w:t>
      </w:r>
      <w:r>
        <w:t>），超过重复性限（</w:t>
      </w:r>
      <w:r>
        <w:rPr>
          <w:i/>
          <w:iCs/>
        </w:rPr>
        <w:t>r</w:t>
      </w:r>
      <w:r>
        <w:t>）的情况不超过5%，重复性限（</w:t>
      </w:r>
      <w:r>
        <w:rPr>
          <w:i/>
          <w:iCs/>
        </w:rPr>
        <w:t>r</w:t>
      </w:r>
      <w:r>
        <w:t>）按表</w:t>
      </w:r>
      <w:r>
        <w:rPr>
          <w:rFonts w:hint="eastAsia"/>
        </w:rPr>
        <w:t>8</w:t>
      </w:r>
      <w:r>
        <w:t>数据采用线性内插法或外延法求得。</w:t>
      </w:r>
    </w:p>
    <w:p w14:paraId="308CD730">
      <w:pPr>
        <w:jc w:val="center"/>
        <w:rPr>
          <w:rFonts w:hint="eastAsia" w:eastAsia="黑体"/>
          <w:lang w:val="en-US" w:eastAsia="zh-CN"/>
        </w:rPr>
      </w:pPr>
      <w:r>
        <w:rPr>
          <w:rFonts w:eastAsia="黑体"/>
          <w:sz w:val="18"/>
          <w:szCs w:val="18"/>
        </w:rPr>
        <w:t>表</w:t>
      </w:r>
      <w:r>
        <w:rPr>
          <w:rFonts w:hint="eastAsia" w:ascii="黑体" w:hAnsi="黑体" w:eastAsia="黑体" w:cs="黑体"/>
          <w:sz w:val="18"/>
          <w:szCs w:val="18"/>
        </w:rPr>
        <w:t>6</w:t>
      </w:r>
      <w:r>
        <w:rPr>
          <w:rFonts w:hint="eastAsia" w:ascii="黑体" w:hAnsi="黑体" w:eastAsia="黑体" w:cs="黑体"/>
          <w:sz w:val="18"/>
          <w:szCs w:val="18"/>
          <w:lang w:val="en-US" w:eastAsia="zh-CN"/>
        </w:rPr>
        <w:t xml:space="preserve"> 重复性限（</w:t>
      </w:r>
      <w:r>
        <w:rPr>
          <w:rFonts w:hint="eastAsia" w:ascii="黑体" w:hAnsi="黑体" w:eastAsia="黑体" w:cs="黑体"/>
          <w:i/>
          <w:iCs/>
          <w:sz w:val="18"/>
          <w:szCs w:val="18"/>
          <w:lang w:val="en-US" w:eastAsia="zh-CN"/>
        </w:rPr>
        <w:t>r</w:t>
      </w:r>
      <w:r>
        <w:rPr>
          <w:rFonts w:hint="eastAsia" w:ascii="黑体" w:hAnsi="黑体" w:eastAsia="黑体" w:cs="黑体"/>
          <w:sz w:val="18"/>
          <w:szCs w:val="18"/>
          <w:lang w:val="en-US" w:eastAsia="zh-CN"/>
        </w:rPr>
        <w:t xml:space="preserve">） </w:t>
      </w:r>
    </w:p>
    <w:tbl>
      <w:tblPr>
        <w:tblStyle w:val="31"/>
        <w:tblW w:w="492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00"/>
        <w:gridCol w:w="4718"/>
      </w:tblGrid>
      <w:tr w14:paraId="7728D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2495" w:type="pct"/>
            <w:tcBorders>
              <w:bottom w:val="single" w:color="auto" w:sz="12" w:space="0"/>
              <w:right w:val="single" w:color="auto" w:sz="4" w:space="0"/>
            </w:tcBorders>
            <w:vAlign w:val="center"/>
          </w:tcPr>
          <w:p w14:paraId="3F44A7BC">
            <w:pPr>
              <w:jc w:val="center"/>
              <w:rPr>
                <w:sz w:val="18"/>
                <w:szCs w:val="18"/>
              </w:rPr>
            </w:pPr>
            <w:r>
              <w:rPr>
                <w:rFonts w:hint="eastAsia"/>
                <w:sz w:val="18"/>
                <w:szCs w:val="18"/>
                <w:lang w:val="en-US" w:eastAsia="zh-CN"/>
              </w:rPr>
              <w:t>五氧化二磷</w:t>
            </w:r>
            <w:r>
              <w:rPr>
                <w:sz w:val="18"/>
                <w:szCs w:val="18"/>
              </w:rPr>
              <w:t>质量分数/%</w:t>
            </w:r>
          </w:p>
        </w:tc>
        <w:tc>
          <w:tcPr>
            <w:tcW w:w="2504" w:type="pct"/>
            <w:tcBorders>
              <w:left w:val="single" w:color="auto" w:sz="4" w:space="0"/>
              <w:bottom w:val="single" w:color="auto" w:sz="12" w:space="0"/>
            </w:tcBorders>
            <w:vAlign w:val="center"/>
          </w:tcPr>
          <w:p w14:paraId="2E89AD0B">
            <w:pPr>
              <w:jc w:val="center"/>
              <w:rPr>
                <w:sz w:val="18"/>
                <w:szCs w:val="18"/>
              </w:rPr>
            </w:pPr>
            <w:r>
              <w:rPr>
                <w:sz w:val="18"/>
                <w:szCs w:val="18"/>
              </w:rPr>
              <w:t>重复性限(</w:t>
            </w:r>
            <w:r>
              <w:rPr>
                <w:i/>
                <w:sz w:val="18"/>
                <w:szCs w:val="18"/>
              </w:rPr>
              <w:t>r</w:t>
            </w:r>
            <w:r>
              <w:rPr>
                <w:sz w:val="18"/>
                <w:szCs w:val="18"/>
              </w:rPr>
              <w:t>)%</w:t>
            </w:r>
          </w:p>
        </w:tc>
      </w:tr>
      <w:tr w14:paraId="0E5D8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2495" w:type="pct"/>
            <w:tcBorders>
              <w:top w:val="single" w:color="auto" w:sz="12" w:space="0"/>
              <w:bottom w:val="single" w:color="auto" w:sz="4" w:space="0"/>
              <w:right w:val="single" w:color="auto" w:sz="4" w:space="0"/>
            </w:tcBorders>
            <w:shd w:val="clear" w:color="auto" w:fill="auto"/>
            <w:vAlign w:val="center"/>
          </w:tcPr>
          <w:p w14:paraId="6CCD9878">
            <w:pPr>
              <w:widowControl/>
              <w:jc w:val="center"/>
              <w:textAlignment w:val="center"/>
              <w:rPr>
                <w:color w:val="000000"/>
                <w:kern w:val="0"/>
                <w:sz w:val="18"/>
                <w:szCs w:val="18"/>
                <w:lang w:bidi="ar"/>
              </w:rPr>
            </w:pPr>
            <w:r>
              <w:rPr>
                <w:rFonts w:hint="eastAsia"/>
                <w:color w:val="000000"/>
                <w:kern w:val="0"/>
                <w:sz w:val="18"/>
                <w:szCs w:val="18"/>
                <w:lang w:bidi="ar"/>
              </w:rPr>
              <w:t>0.29</w:t>
            </w:r>
          </w:p>
        </w:tc>
        <w:tc>
          <w:tcPr>
            <w:tcW w:w="2504" w:type="pct"/>
            <w:tcBorders>
              <w:top w:val="single" w:color="auto" w:sz="12" w:space="0"/>
              <w:left w:val="single" w:color="auto" w:sz="4" w:space="0"/>
              <w:bottom w:val="single" w:color="auto" w:sz="4" w:space="0"/>
            </w:tcBorders>
            <w:shd w:val="clear" w:color="auto" w:fill="auto"/>
            <w:vAlign w:val="center"/>
          </w:tcPr>
          <w:p w14:paraId="5493D650">
            <w:pPr>
              <w:jc w:val="center"/>
              <w:textAlignment w:val="center"/>
              <w:rPr>
                <w:color w:val="000000"/>
                <w:kern w:val="0"/>
                <w:sz w:val="18"/>
                <w:szCs w:val="18"/>
                <w:lang w:bidi="ar"/>
              </w:rPr>
            </w:pPr>
            <w:r>
              <w:rPr>
                <w:rFonts w:hint="eastAsia"/>
                <w:color w:val="000000"/>
                <w:kern w:val="0"/>
                <w:sz w:val="18"/>
                <w:szCs w:val="18"/>
                <w:lang w:bidi="ar"/>
              </w:rPr>
              <w:t>0.02</w:t>
            </w:r>
          </w:p>
        </w:tc>
      </w:tr>
      <w:tr w14:paraId="2685C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2495" w:type="pct"/>
            <w:tcBorders>
              <w:top w:val="single" w:color="auto" w:sz="4" w:space="0"/>
              <w:bottom w:val="single" w:color="auto" w:sz="4" w:space="0"/>
              <w:right w:val="single" w:color="auto" w:sz="4" w:space="0"/>
            </w:tcBorders>
            <w:shd w:val="clear" w:color="auto" w:fill="auto"/>
            <w:vAlign w:val="center"/>
          </w:tcPr>
          <w:p w14:paraId="73D015CE">
            <w:pPr>
              <w:widowControl/>
              <w:jc w:val="center"/>
              <w:textAlignment w:val="center"/>
              <w:rPr>
                <w:color w:val="000000"/>
                <w:kern w:val="0"/>
                <w:sz w:val="18"/>
                <w:szCs w:val="18"/>
                <w:lang w:bidi="ar"/>
              </w:rPr>
            </w:pPr>
            <w:r>
              <w:rPr>
                <w:rFonts w:hint="eastAsia"/>
                <w:color w:val="000000"/>
                <w:kern w:val="0"/>
                <w:sz w:val="18"/>
                <w:szCs w:val="18"/>
                <w:lang w:bidi="ar"/>
              </w:rPr>
              <w:t>1.75</w:t>
            </w:r>
          </w:p>
        </w:tc>
        <w:tc>
          <w:tcPr>
            <w:tcW w:w="2504" w:type="pct"/>
            <w:tcBorders>
              <w:top w:val="single" w:color="auto" w:sz="4" w:space="0"/>
              <w:left w:val="single" w:color="auto" w:sz="4" w:space="0"/>
              <w:bottom w:val="single" w:color="auto" w:sz="4" w:space="0"/>
            </w:tcBorders>
            <w:shd w:val="clear" w:color="auto" w:fill="auto"/>
            <w:vAlign w:val="center"/>
          </w:tcPr>
          <w:p w14:paraId="1095BD9E">
            <w:pPr>
              <w:widowControl/>
              <w:jc w:val="center"/>
              <w:textAlignment w:val="center"/>
              <w:rPr>
                <w:color w:val="000000"/>
                <w:kern w:val="0"/>
                <w:sz w:val="18"/>
                <w:szCs w:val="18"/>
                <w:lang w:bidi="ar"/>
              </w:rPr>
            </w:pPr>
            <w:r>
              <w:rPr>
                <w:rFonts w:hint="eastAsia"/>
                <w:color w:val="000000"/>
                <w:kern w:val="0"/>
                <w:sz w:val="18"/>
                <w:szCs w:val="18"/>
                <w:lang w:bidi="ar"/>
              </w:rPr>
              <w:t>0.07</w:t>
            </w:r>
          </w:p>
        </w:tc>
      </w:tr>
      <w:tr w14:paraId="1F802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2495" w:type="pct"/>
            <w:tcBorders>
              <w:top w:val="single" w:color="auto" w:sz="4" w:space="0"/>
              <w:bottom w:val="single" w:color="auto" w:sz="4" w:space="0"/>
              <w:right w:val="single" w:color="auto" w:sz="4" w:space="0"/>
            </w:tcBorders>
            <w:shd w:val="clear" w:color="auto" w:fill="auto"/>
            <w:vAlign w:val="center"/>
          </w:tcPr>
          <w:p w14:paraId="55A13B01">
            <w:pPr>
              <w:widowControl/>
              <w:jc w:val="center"/>
              <w:textAlignment w:val="center"/>
              <w:rPr>
                <w:color w:val="000000"/>
                <w:kern w:val="0"/>
                <w:sz w:val="18"/>
                <w:szCs w:val="18"/>
                <w:lang w:bidi="ar"/>
              </w:rPr>
            </w:pPr>
            <w:r>
              <w:rPr>
                <w:rFonts w:hint="eastAsia"/>
                <w:color w:val="000000"/>
                <w:kern w:val="0"/>
                <w:sz w:val="18"/>
                <w:szCs w:val="18"/>
                <w:lang w:bidi="ar"/>
              </w:rPr>
              <w:t>8.71</w:t>
            </w:r>
          </w:p>
        </w:tc>
        <w:tc>
          <w:tcPr>
            <w:tcW w:w="2504" w:type="pct"/>
            <w:tcBorders>
              <w:top w:val="single" w:color="auto" w:sz="4" w:space="0"/>
              <w:left w:val="single" w:color="auto" w:sz="4" w:space="0"/>
              <w:bottom w:val="single" w:color="auto" w:sz="4" w:space="0"/>
            </w:tcBorders>
            <w:shd w:val="clear" w:color="auto" w:fill="auto"/>
            <w:vAlign w:val="center"/>
          </w:tcPr>
          <w:p w14:paraId="38809718">
            <w:pPr>
              <w:widowControl/>
              <w:jc w:val="center"/>
              <w:textAlignment w:val="center"/>
              <w:rPr>
                <w:color w:val="000000"/>
                <w:kern w:val="0"/>
                <w:sz w:val="18"/>
                <w:szCs w:val="18"/>
                <w:lang w:bidi="ar"/>
              </w:rPr>
            </w:pPr>
            <w:r>
              <w:rPr>
                <w:rFonts w:hint="eastAsia"/>
                <w:color w:val="000000"/>
                <w:kern w:val="0"/>
                <w:sz w:val="18"/>
                <w:szCs w:val="18"/>
                <w:lang w:bidi="ar"/>
              </w:rPr>
              <w:t>0.25</w:t>
            </w:r>
          </w:p>
        </w:tc>
      </w:tr>
      <w:tr w14:paraId="1DDD7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exact"/>
          <w:jc w:val="center"/>
        </w:trPr>
        <w:tc>
          <w:tcPr>
            <w:tcW w:w="2495" w:type="pct"/>
            <w:tcBorders>
              <w:top w:val="single" w:color="auto" w:sz="4" w:space="0"/>
              <w:bottom w:val="single" w:color="auto" w:sz="4" w:space="0"/>
              <w:right w:val="single" w:color="auto" w:sz="4" w:space="0"/>
            </w:tcBorders>
            <w:shd w:val="clear" w:color="auto" w:fill="auto"/>
            <w:vAlign w:val="center"/>
          </w:tcPr>
          <w:p w14:paraId="192625DC">
            <w:pPr>
              <w:widowControl/>
              <w:jc w:val="center"/>
              <w:textAlignment w:val="center"/>
              <w:rPr>
                <w:color w:val="000000"/>
                <w:kern w:val="0"/>
                <w:sz w:val="18"/>
                <w:szCs w:val="18"/>
                <w:lang w:bidi="ar"/>
              </w:rPr>
            </w:pPr>
            <w:r>
              <w:rPr>
                <w:rFonts w:hint="eastAsia"/>
                <w:color w:val="000000"/>
                <w:kern w:val="0"/>
                <w:sz w:val="18"/>
                <w:szCs w:val="18"/>
                <w:lang w:bidi="ar"/>
              </w:rPr>
              <w:t>13.48</w:t>
            </w:r>
          </w:p>
        </w:tc>
        <w:tc>
          <w:tcPr>
            <w:tcW w:w="2504" w:type="pct"/>
            <w:tcBorders>
              <w:top w:val="single" w:color="auto" w:sz="4" w:space="0"/>
              <w:left w:val="single" w:color="auto" w:sz="4" w:space="0"/>
              <w:bottom w:val="single" w:color="auto" w:sz="4" w:space="0"/>
            </w:tcBorders>
            <w:shd w:val="clear" w:color="auto" w:fill="auto"/>
            <w:vAlign w:val="center"/>
          </w:tcPr>
          <w:p w14:paraId="23876BB0">
            <w:pPr>
              <w:widowControl/>
              <w:jc w:val="center"/>
              <w:textAlignment w:val="center"/>
              <w:rPr>
                <w:color w:val="000000"/>
                <w:kern w:val="0"/>
                <w:sz w:val="18"/>
                <w:szCs w:val="18"/>
                <w:lang w:bidi="ar"/>
              </w:rPr>
            </w:pPr>
            <w:r>
              <w:rPr>
                <w:rFonts w:hint="eastAsia"/>
                <w:color w:val="000000"/>
                <w:kern w:val="0"/>
                <w:sz w:val="18"/>
                <w:szCs w:val="18"/>
                <w:lang w:bidi="ar"/>
              </w:rPr>
              <w:t>0.28</w:t>
            </w:r>
          </w:p>
        </w:tc>
      </w:tr>
      <w:tr w14:paraId="7DB0B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exact"/>
          <w:jc w:val="center"/>
        </w:trPr>
        <w:tc>
          <w:tcPr>
            <w:tcW w:w="2495" w:type="pct"/>
            <w:tcBorders>
              <w:top w:val="single" w:color="auto" w:sz="4" w:space="0"/>
              <w:bottom w:val="single" w:color="auto" w:sz="4" w:space="0"/>
              <w:right w:val="single" w:color="auto" w:sz="4" w:space="0"/>
            </w:tcBorders>
            <w:shd w:val="clear" w:color="auto" w:fill="auto"/>
            <w:vAlign w:val="center"/>
          </w:tcPr>
          <w:p w14:paraId="0583B46F">
            <w:pPr>
              <w:widowControl/>
              <w:jc w:val="center"/>
              <w:textAlignment w:val="center"/>
              <w:rPr>
                <w:rFonts w:hint="eastAsia" w:ascii="Times New Roman" w:hAnsi="Times New Roman" w:eastAsia="宋体" w:cs="Times New Roman"/>
                <w:color w:val="000000"/>
                <w:kern w:val="0"/>
                <w:sz w:val="18"/>
                <w:szCs w:val="18"/>
                <w:lang w:val="en-US" w:eastAsia="zh-CN" w:bidi="ar"/>
              </w:rPr>
            </w:pPr>
            <w:r>
              <w:rPr>
                <w:rFonts w:hint="eastAsia"/>
                <w:color w:val="000000"/>
                <w:kern w:val="0"/>
                <w:sz w:val="18"/>
                <w:szCs w:val="18"/>
                <w:lang w:bidi="ar"/>
              </w:rPr>
              <w:t>22.67</w:t>
            </w:r>
          </w:p>
        </w:tc>
        <w:tc>
          <w:tcPr>
            <w:tcW w:w="2504" w:type="pct"/>
            <w:tcBorders>
              <w:top w:val="single" w:color="auto" w:sz="4" w:space="0"/>
              <w:left w:val="single" w:color="auto" w:sz="4" w:space="0"/>
              <w:bottom w:val="single" w:color="auto" w:sz="4" w:space="0"/>
            </w:tcBorders>
            <w:shd w:val="clear" w:color="auto" w:fill="auto"/>
            <w:vAlign w:val="center"/>
          </w:tcPr>
          <w:p w14:paraId="5F2B96C4">
            <w:pPr>
              <w:widowControl/>
              <w:jc w:val="center"/>
              <w:textAlignment w:val="center"/>
              <w:rPr>
                <w:rFonts w:hint="eastAsia" w:ascii="Times New Roman" w:hAnsi="Times New Roman" w:eastAsia="宋体" w:cs="Times New Roman"/>
                <w:color w:val="000000"/>
                <w:kern w:val="0"/>
                <w:sz w:val="18"/>
                <w:szCs w:val="18"/>
                <w:lang w:val="en-US" w:eastAsia="zh-CN" w:bidi="ar"/>
              </w:rPr>
            </w:pPr>
            <w:r>
              <w:rPr>
                <w:rFonts w:hint="eastAsia"/>
                <w:color w:val="000000"/>
                <w:kern w:val="0"/>
                <w:sz w:val="18"/>
                <w:szCs w:val="18"/>
                <w:lang w:bidi="ar"/>
              </w:rPr>
              <w:t>0.26</w:t>
            </w:r>
          </w:p>
        </w:tc>
      </w:tr>
      <w:tr w14:paraId="50EC3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exact"/>
          <w:jc w:val="center"/>
        </w:trPr>
        <w:tc>
          <w:tcPr>
            <w:tcW w:w="2495" w:type="pct"/>
            <w:tcBorders>
              <w:top w:val="single" w:color="auto" w:sz="4" w:space="0"/>
              <w:bottom w:val="single" w:color="auto" w:sz="4" w:space="0"/>
              <w:right w:val="single" w:color="auto" w:sz="4" w:space="0"/>
            </w:tcBorders>
            <w:shd w:val="clear" w:color="auto" w:fill="auto"/>
            <w:vAlign w:val="center"/>
          </w:tcPr>
          <w:p w14:paraId="1B5279D6">
            <w:pPr>
              <w:widowControl/>
              <w:jc w:val="center"/>
              <w:textAlignment w:val="center"/>
              <w:rPr>
                <w:rFonts w:hint="default" w:eastAsia="宋体"/>
                <w:color w:val="000000"/>
                <w:kern w:val="0"/>
                <w:sz w:val="18"/>
                <w:szCs w:val="18"/>
                <w:lang w:val="en-US" w:eastAsia="zh-CN" w:bidi="ar"/>
              </w:rPr>
            </w:pPr>
            <w:r>
              <w:rPr>
                <w:rFonts w:hint="eastAsia"/>
                <w:color w:val="000000"/>
                <w:kern w:val="0"/>
                <w:sz w:val="18"/>
                <w:szCs w:val="18"/>
                <w:lang w:val="en-US" w:eastAsia="zh-CN" w:bidi="ar"/>
              </w:rPr>
              <w:t>30.38</w:t>
            </w:r>
          </w:p>
        </w:tc>
        <w:tc>
          <w:tcPr>
            <w:tcW w:w="2504" w:type="pct"/>
            <w:tcBorders>
              <w:top w:val="single" w:color="auto" w:sz="4" w:space="0"/>
              <w:left w:val="single" w:color="auto" w:sz="4" w:space="0"/>
              <w:bottom w:val="single" w:color="auto" w:sz="4" w:space="0"/>
            </w:tcBorders>
            <w:shd w:val="clear" w:color="auto" w:fill="auto"/>
            <w:vAlign w:val="center"/>
          </w:tcPr>
          <w:p w14:paraId="478C5A3C">
            <w:pPr>
              <w:widowControl/>
              <w:jc w:val="center"/>
              <w:textAlignment w:val="center"/>
              <w:rPr>
                <w:rFonts w:hint="default" w:eastAsia="宋体"/>
                <w:color w:val="000000"/>
                <w:kern w:val="0"/>
                <w:sz w:val="18"/>
                <w:szCs w:val="18"/>
                <w:lang w:val="en-US" w:eastAsia="zh-CN" w:bidi="ar"/>
              </w:rPr>
            </w:pPr>
            <w:r>
              <w:rPr>
                <w:rFonts w:hint="eastAsia"/>
                <w:color w:val="000000"/>
                <w:kern w:val="0"/>
                <w:sz w:val="18"/>
                <w:szCs w:val="18"/>
                <w:lang w:val="en-US" w:eastAsia="zh-CN" w:bidi="ar"/>
              </w:rPr>
              <w:t>0.43</w:t>
            </w:r>
          </w:p>
        </w:tc>
      </w:tr>
      <w:tr w14:paraId="2FDEA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 w:hRule="exact"/>
          <w:jc w:val="center"/>
        </w:trPr>
        <w:tc>
          <w:tcPr>
            <w:tcW w:w="5000" w:type="pct"/>
            <w:gridSpan w:val="2"/>
            <w:tcBorders>
              <w:top w:val="single" w:color="auto" w:sz="4" w:space="0"/>
              <w:bottom w:val="single" w:color="auto" w:sz="12" w:space="0"/>
            </w:tcBorders>
            <w:shd w:val="clear" w:color="auto" w:fill="auto"/>
            <w:vAlign w:val="center"/>
          </w:tcPr>
          <w:p w14:paraId="063FF42D">
            <w:pPr>
              <w:jc w:val="left"/>
              <w:rPr>
                <w:color w:val="000000"/>
                <w:kern w:val="0"/>
                <w:sz w:val="18"/>
                <w:szCs w:val="18"/>
                <w:lang w:bidi="ar"/>
              </w:rPr>
            </w:pPr>
            <w:r>
              <w:rPr>
                <w:rFonts w:eastAsia="黑体"/>
                <w:color w:val="000000"/>
                <w:kern w:val="0"/>
                <w:sz w:val="18"/>
                <w:szCs w:val="18"/>
                <w:lang w:bidi="ar"/>
              </w:rPr>
              <w:t>注1：</w:t>
            </w:r>
            <w:r>
              <w:rPr>
                <w:color w:val="000000"/>
                <w:kern w:val="0"/>
                <w:sz w:val="18"/>
                <w:szCs w:val="18"/>
                <w:lang w:bidi="ar"/>
              </w:rPr>
              <w:t>重复性限（r）为2.8×S</w:t>
            </w:r>
            <w:r>
              <w:rPr>
                <w:color w:val="000000"/>
                <w:kern w:val="0"/>
                <w:sz w:val="18"/>
                <w:szCs w:val="18"/>
                <w:vertAlign w:val="subscript"/>
                <w:lang w:bidi="ar"/>
              </w:rPr>
              <w:t>r</w:t>
            </w:r>
            <w:r>
              <w:rPr>
                <w:color w:val="000000"/>
                <w:kern w:val="0"/>
                <w:sz w:val="18"/>
                <w:szCs w:val="18"/>
                <w:lang w:bidi="ar"/>
              </w:rPr>
              <w:t>，S</w:t>
            </w:r>
            <w:r>
              <w:rPr>
                <w:color w:val="000000"/>
                <w:kern w:val="0"/>
                <w:sz w:val="18"/>
                <w:szCs w:val="18"/>
                <w:vertAlign w:val="subscript"/>
                <w:lang w:bidi="ar"/>
              </w:rPr>
              <w:t>r</w:t>
            </w:r>
            <w:r>
              <w:rPr>
                <w:color w:val="000000"/>
                <w:kern w:val="0"/>
                <w:sz w:val="18"/>
                <w:szCs w:val="18"/>
                <w:lang w:bidi="ar"/>
              </w:rPr>
              <w:t>为重复性限标准偏差。</w:t>
            </w:r>
          </w:p>
          <w:p w14:paraId="3A2B80C6">
            <w:pPr>
              <w:widowControl/>
              <w:jc w:val="center"/>
              <w:textAlignment w:val="center"/>
              <w:rPr>
                <w:color w:val="000000"/>
                <w:kern w:val="0"/>
                <w:sz w:val="18"/>
                <w:szCs w:val="18"/>
                <w:lang w:bidi="ar"/>
              </w:rPr>
            </w:pPr>
          </w:p>
        </w:tc>
      </w:tr>
    </w:tbl>
    <w:p w14:paraId="5C329568">
      <w:pPr>
        <w:pStyle w:val="81"/>
        <w:numPr>
          <w:ilvl w:val="0"/>
          <w:numId w:val="0"/>
        </w:numPr>
        <w:snapToGrid w:val="0"/>
        <w:spacing w:before="156" w:beforeLines="50" w:after="156" w:afterLines="50"/>
        <w:rPr>
          <w:rFonts w:ascii="Times New Roman"/>
          <w:kern w:val="2"/>
        </w:rPr>
      </w:pPr>
      <w:r>
        <w:rPr>
          <w:rFonts w:hint="eastAsia" w:hAnsi="黑体"/>
          <w:color w:val="000000"/>
          <w:szCs w:val="22"/>
          <w:lang w:val="en-US" w:eastAsia="zh-CN"/>
        </w:rPr>
        <w:t>5</w:t>
      </w:r>
      <w:r>
        <w:rPr>
          <w:rFonts w:hint="eastAsia" w:hAnsi="黑体"/>
          <w:color w:val="000000"/>
          <w:szCs w:val="22"/>
        </w:rPr>
        <w:t>.7</w:t>
      </w:r>
      <w:r>
        <w:rPr>
          <w:rFonts w:hAnsi="黑体"/>
          <w:color w:val="000000"/>
          <w:szCs w:val="22"/>
        </w:rPr>
        <w:t>.2</w:t>
      </w:r>
      <w:r>
        <w:rPr>
          <w:rFonts w:ascii="Times New Roman"/>
        </w:rPr>
        <w:t>　</w:t>
      </w:r>
      <w:r>
        <w:rPr>
          <w:rFonts w:hint="eastAsia" w:ascii="Times New Roman"/>
          <w:kern w:val="2"/>
        </w:rPr>
        <w:t>再现性</w:t>
      </w:r>
    </w:p>
    <w:p w14:paraId="0120F4DB">
      <w:pPr>
        <w:pStyle w:val="47"/>
        <w:snapToGrid w:val="0"/>
        <w:ind w:firstLine="420"/>
        <w:rPr>
          <w:rFonts w:ascii="Times New Roman"/>
        </w:rPr>
      </w:pPr>
      <w:r>
        <w:rPr>
          <w:rFonts w:ascii="Times New Roman"/>
          <w:color w:val="000000"/>
        </w:rPr>
        <w:t>在再现性条件下获得的两次独立测试结果</w:t>
      </w:r>
      <w:r>
        <w:rPr>
          <w:rFonts w:ascii="Times New Roman"/>
        </w:rPr>
        <w:t>的</w:t>
      </w:r>
      <w:r>
        <w:rPr>
          <w:rFonts w:ascii="Times New Roman"/>
          <w:color w:val="000000"/>
        </w:rPr>
        <w:t>绝对差值不大于再现性限（</w:t>
      </w:r>
      <w:r>
        <w:rPr>
          <w:rFonts w:ascii="Times New Roman"/>
          <w:i/>
          <w:color w:val="000000"/>
        </w:rPr>
        <w:t>R</w:t>
      </w:r>
      <w:r>
        <w:rPr>
          <w:rFonts w:ascii="Times New Roman"/>
          <w:color w:val="000000"/>
        </w:rPr>
        <w:t>），超过再现性限（</w:t>
      </w:r>
      <w:r>
        <w:rPr>
          <w:rFonts w:ascii="Times New Roman"/>
          <w:i/>
          <w:color w:val="000000"/>
        </w:rPr>
        <w:t>R</w:t>
      </w:r>
      <w:r>
        <w:rPr>
          <w:rFonts w:ascii="Times New Roman"/>
          <w:color w:val="000000"/>
        </w:rPr>
        <w:t>）的情况不超过5%，再现性限（</w:t>
      </w:r>
      <w:r>
        <w:rPr>
          <w:rFonts w:ascii="Times New Roman"/>
          <w:i/>
          <w:color w:val="000000"/>
        </w:rPr>
        <w:t>R</w:t>
      </w:r>
      <w:r>
        <w:rPr>
          <w:rFonts w:ascii="Times New Roman"/>
          <w:color w:val="000000"/>
        </w:rPr>
        <w:t>）按</w:t>
      </w:r>
      <w:r>
        <w:rPr>
          <w:rFonts w:ascii="Times New Roman"/>
        </w:rPr>
        <w:t>表</w:t>
      </w:r>
      <w:r>
        <w:rPr>
          <w:rFonts w:hint="eastAsia" w:ascii="Times New Roman"/>
        </w:rPr>
        <w:t>9</w:t>
      </w:r>
      <w:r>
        <w:rPr>
          <w:rFonts w:ascii="Times New Roman"/>
          <w:color w:val="000000"/>
        </w:rPr>
        <w:t>数据采用线性内插法或外延法求得。</w:t>
      </w:r>
    </w:p>
    <w:p w14:paraId="3C3093E2">
      <w:pPr>
        <w:jc w:val="center"/>
        <w:rPr>
          <w:rFonts w:hint="eastAsia" w:ascii="黑体" w:hAnsi="黑体" w:eastAsia="黑体" w:cs="黑体"/>
          <w:color w:val="FF0000"/>
          <w:sz w:val="18"/>
          <w:szCs w:val="18"/>
          <w:highlight w:val="yellow"/>
          <w:lang w:val="en-US" w:eastAsia="zh-CN"/>
        </w:rPr>
      </w:pPr>
      <w:r>
        <w:rPr>
          <w:rFonts w:hint="eastAsia" w:ascii="黑体" w:hAnsi="黑体" w:eastAsia="黑体" w:cs="黑体"/>
          <w:sz w:val="18"/>
          <w:szCs w:val="18"/>
        </w:rPr>
        <w:t>表7</w:t>
      </w:r>
      <w:r>
        <w:rPr>
          <w:rFonts w:hint="eastAsia" w:ascii="黑体" w:hAnsi="黑体" w:eastAsia="黑体" w:cs="黑体"/>
          <w:sz w:val="18"/>
          <w:szCs w:val="18"/>
          <w:lang w:val="en-US" w:eastAsia="zh-CN"/>
        </w:rPr>
        <w:t xml:space="preserve"> 再现性限（</w:t>
      </w:r>
      <w:r>
        <w:rPr>
          <w:rFonts w:hint="eastAsia" w:ascii="黑体" w:hAnsi="黑体" w:eastAsia="黑体" w:cs="黑体"/>
          <w:i/>
          <w:iCs/>
          <w:sz w:val="18"/>
          <w:szCs w:val="18"/>
          <w:lang w:val="en-US" w:eastAsia="zh-CN"/>
        </w:rPr>
        <w:t>R</w:t>
      </w:r>
      <w:r>
        <w:rPr>
          <w:rFonts w:hint="eastAsia" w:ascii="黑体" w:hAnsi="黑体" w:eastAsia="黑体" w:cs="黑体"/>
          <w:sz w:val="18"/>
          <w:szCs w:val="18"/>
          <w:lang w:val="en-US" w:eastAsia="zh-CN"/>
        </w:rPr>
        <w:t>）</w:t>
      </w:r>
    </w:p>
    <w:tbl>
      <w:tblPr>
        <w:tblStyle w:val="31"/>
        <w:tblW w:w="498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59"/>
        <w:gridCol w:w="4778"/>
      </w:tblGrid>
      <w:tr w14:paraId="21078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exact"/>
          <w:jc w:val="center"/>
        </w:trPr>
        <w:tc>
          <w:tcPr>
            <w:tcW w:w="2495" w:type="pct"/>
            <w:tcBorders>
              <w:bottom w:val="single" w:color="auto" w:sz="12" w:space="0"/>
              <w:right w:val="single" w:color="auto" w:sz="4" w:space="0"/>
            </w:tcBorders>
            <w:vAlign w:val="center"/>
          </w:tcPr>
          <w:p w14:paraId="44640A07">
            <w:pPr>
              <w:jc w:val="center"/>
              <w:rPr>
                <w:sz w:val="18"/>
                <w:szCs w:val="18"/>
              </w:rPr>
            </w:pPr>
            <w:r>
              <w:rPr>
                <w:rFonts w:hint="eastAsia"/>
                <w:sz w:val="18"/>
                <w:szCs w:val="18"/>
                <w:lang w:val="en-US" w:eastAsia="zh-CN"/>
              </w:rPr>
              <w:t>五氧化二磷</w:t>
            </w:r>
            <w:r>
              <w:rPr>
                <w:sz w:val="18"/>
                <w:szCs w:val="18"/>
              </w:rPr>
              <w:t>质量分数/%</w:t>
            </w:r>
          </w:p>
        </w:tc>
        <w:tc>
          <w:tcPr>
            <w:tcW w:w="2504" w:type="pct"/>
            <w:tcBorders>
              <w:left w:val="single" w:color="auto" w:sz="4" w:space="0"/>
              <w:bottom w:val="single" w:color="auto" w:sz="12" w:space="0"/>
            </w:tcBorders>
            <w:vAlign w:val="center"/>
          </w:tcPr>
          <w:p w14:paraId="0F27E8F9">
            <w:pPr>
              <w:jc w:val="center"/>
              <w:rPr>
                <w:sz w:val="18"/>
                <w:szCs w:val="18"/>
              </w:rPr>
            </w:pPr>
            <w:r>
              <w:rPr>
                <w:sz w:val="18"/>
                <w:szCs w:val="18"/>
              </w:rPr>
              <w:t>再现性限(</w:t>
            </w:r>
            <w:r>
              <w:rPr>
                <w:i/>
                <w:sz w:val="18"/>
                <w:szCs w:val="18"/>
              </w:rPr>
              <w:t>R</w:t>
            </w:r>
            <w:r>
              <w:rPr>
                <w:sz w:val="18"/>
                <w:szCs w:val="18"/>
              </w:rPr>
              <w:t>)%</w:t>
            </w:r>
          </w:p>
        </w:tc>
      </w:tr>
      <w:tr w14:paraId="2147E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2495" w:type="pct"/>
            <w:tcBorders>
              <w:top w:val="single" w:color="auto" w:sz="12" w:space="0"/>
              <w:bottom w:val="single" w:color="auto" w:sz="4" w:space="0"/>
              <w:right w:val="single" w:color="auto" w:sz="4" w:space="0"/>
            </w:tcBorders>
            <w:shd w:val="clear" w:color="auto" w:fill="auto"/>
            <w:vAlign w:val="center"/>
          </w:tcPr>
          <w:p w14:paraId="13034A2B">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0.29</w:t>
            </w:r>
          </w:p>
        </w:tc>
        <w:tc>
          <w:tcPr>
            <w:tcW w:w="2504" w:type="pct"/>
            <w:tcBorders>
              <w:top w:val="single" w:color="auto" w:sz="12" w:space="0"/>
              <w:left w:val="single" w:color="auto" w:sz="4" w:space="0"/>
              <w:bottom w:val="single" w:color="auto" w:sz="4" w:space="0"/>
            </w:tcBorders>
            <w:shd w:val="clear" w:color="auto" w:fill="auto"/>
            <w:vAlign w:val="center"/>
          </w:tcPr>
          <w:p w14:paraId="29D0CC9E">
            <w:pPr>
              <w:jc w:val="center"/>
              <w:textAlignment w:val="center"/>
              <w:rPr>
                <w:color w:val="000000"/>
                <w:kern w:val="0"/>
                <w:sz w:val="18"/>
                <w:szCs w:val="18"/>
                <w:lang w:bidi="ar"/>
              </w:rPr>
            </w:pPr>
            <w:r>
              <w:rPr>
                <w:color w:val="000000"/>
                <w:kern w:val="0"/>
                <w:sz w:val="18"/>
                <w:szCs w:val="18"/>
                <w:lang w:bidi="ar"/>
              </w:rPr>
              <w:t>0.03</w:t>
            </w:r>
          </w:p>
        </w:tc>
      </w:tr>
      <w:tr w14:paraId="114A2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2495" w:type="pct"/>
            <w:tcBorders>
              <w:top w:val="single" w:color="auto" w:sz="4" w:space="0"/>
              <w:bottom w:val="single" w:color="auto" w:sz="4" w:space="0"/>
              <w:right w:val="single" w:color="auto" w:sz="4" w:space="0"/>
            </w:tcBorders>
            <w:shd w:val="clear" w:color="auto" w:fill="auto"/>
            <w:vAlign w:val="center"/>
          </w:tcPr>
          <w:p w14:paraId="4D13E3AC">
            <w:pPr>
              <w:widowControl/>
              <w:jc w:val="center"/>
              <w:textAlignment w:val="center"/>
              <w:rPr>
                <w:sz w:val="18"/>
                <w:szCs w:val="18"/>
              </w:rPr>
            </w:pPr>
            <w:r>
              <w:rPr>
                <w:sz w:val="18"/>
                <w:szCs w:val="18"/>
              </w:rPr>
              <w:t>1.75</w:t>
            </w:r>
          </w:p>
        </w:tc>
        <w:tc>
          <w:tcPr>
            <w:tcW w:w="2504" w:type="pct"/>
            <w:tcBorders>
              <w:top w:val="single" w:color="auto" w:sz="4" w:space="0"/>
              <w:left w:val="single" w:color="auto" w:sz="4" w:space="0"/>
              <w:bottom w:val="single" w:color="auto" w:sz="4" w:space="0"/>
            </w:tcBorders>
            <w:shd w:val="clear" w:color="auto" w:fill="auto"/>
            <w:vAlign w:val="center"/>
          </w:tcPr>
          <w:p w14:paraId="50305B29">
            <w:pPr>
              <w:jc w:val="center"/>
              <w:rPr>
                <w:sz w:val="18"/>
                <w:szCs w:val="18"/>
              </w:rPr>
            </w:pPr>
            <w:r>
              <w:rPr>
                <w:sz w:val="18"/>
                <w:szCs w:val="18"/>
              </w:rPr>
              <w:t>0.08</w:t>
            </w:r>
          </w:p>
        </w:tc>
      </w:tr>
      <w:tr w14:paraId="2EE32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2495" w:type="pct"/>
            <w:tcBorders>
              <w:top w:val="single" w:color="auto" w:sz="4" w:space="0"/>
              <w:bottom w:val="single" w:color="auto" w:sz="4" w:space="0"/>
              <w:right w:val="single" w:color="auto" w:sz="4" w:space="0"/>
            </w:tcBorders>
            <w:shd w:val="clear" w:color="auto" w:fill="auto"/>
            <w:vAlign w:val="center"/>
          </w:tcPr>
          <w:p w14:paraId="18C45BFC">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8.71</w:t>
            </w:r>
          </w:p>
        </w:tc>
        <w:tc>
          <w:tcPr>
            <w:tcW w:w="2504" w:type="pct"/>
            <w:tcBorders>
              <w:top w:val="single" w:color="auto" w:sz="4" w:space="0"/>
              <w:left w:val="single" w:color="auto" w:sz="4" w:space="0"/>
              <w:bottom w:val="single" w:color="auto" w:sz="4" w:space="0"/>
            </w:tcBorders>
            <w:shd w:val="clear" w:color="auto" w:fill="auto"/>
            <w:vAlign w:val="center"/>
          </w:tcPr>
          <w:p w14:paraId="53C842FE">
            <w:pPr>
              <w:widowControl/>
              <w:jc w:val="center"/>
              <w:textAlignment w:val="center"/>
              <w:rPr>
                <w:color w:val="000000"/>
                <w:kern w:val="0"/>
                <w:sz w:val="18"/>
                <w:szCs w:val="18"/>
                <w:lang w:bidi="ar"/>
              </w:rPr>
            </w:pPr>
            <w:r>
              <w:rPr>
                <w:color w:val="000000"/>
                <w:kern w:val="0"/>
                <w:sz w:val="18"/>
                <w:szCs w:val="18"/>
                <w:lang w:bidi="ar"/>
              </w:rPr>
              <w:t>0.38</w:t>
            </w:r>
          </w:p>
        </w:tc>
      </w:tr>
      <w:tr w14:paraId="3B9F3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exact"/>
          <w:jc w:val="center"/>
        </w:trPr>
        <w:tc>
          <w:tcPr>
            <w:tcW w:w="2495" w:type="pct"/>
            <w:tcBorders>
              <w:top w:val="single" w:color="auto" w:sz="4" w:space="0"/>
              <w:bottom w:val="single" w:color="auto" w:sz="4" w:space="0"/>
              <w:right w:val="single" w:color="auto" w:sz="4" w:space="0"/>
            </w:tcBorders>
            <w:shd w:val="clear" w:color="auto" w:fill="auto"/>
            <w:vAlign w:val="center"/>
          </w:tcPr>
          <w:p w14:paraId="5635CF42">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13.48</w:t>
            </w:r>
          </w:p>
        </w:tc>
        <w:tc>
          <w:tcPr>
            <w:tcW w:w="2504" w:type="pct"/>
            <w:tcBorders>
              <w:top w:val="single" w:color="auto" w:sz="4" w:space="0"/>
              <w:left w:val="single" w:color="auto" w:sz="4" w:space="0"/>
              <w:bottom w:val="single" w:color="auto" w:sz="4" w:space="0"/>
            </w:tcBorders>
            <w:shd w:val="clear" w:color="auto" w:fill="auto"/>
            <w:vAlign w:val="center"/>
          </w:tcPr>
          <w:p w14:paraId="5B7384E2">
            <w:pPr>
              <w:widowControl/>
              <w:jc w:val="center"/>
              <w:textAlignment w:val="center"/>
              <w:rPr>
                <w:color w:val="000000"/>
                <w:kern w:val="0"/>
                <w:sz w:val="18"/>
                <w:szCs w:val="18"/>
                <w:lang w:bidi="ar"/>
              </w:rPr>
            </w:pPr>
            <w:r>
              <w:rPr>
                <w:color w:val="000000"/>
                <w:kern w:val="0"/>
                <w:sz w:val="18"/>
                <w:szCs w:val="18"/>
                <w:lang w:bidi="ar"/>
              </w:rPr>
              <w:t>0.32</w:t>
            </w:r>
          </w:p>
        </w:tc>
      </w:tr>
      <w:tr w14:paraId="2D4C0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exact"/>
          <w:jc w:val="center"/>
        </w:trPr>
        <w:tc>
          <w:tcPr>
            <w:tcW w:w="2495" w:type="pct"/>
            <w:tcBorders>
              <w:top w:val="single" w:color="auto" w:sz="4" w:space="0"/>
              <w:bottom w:val="single" w:color="auto" w:sz="4" w:space="0"/>
              <w:right w:val="single" w:color="auto" w:sz="4" w:space="0"/>
            </w:tcBorders>
            <w:shd w:val="clear" w:color="auto" w:fill="auto"/>
            <w:vAlign w:val="center"/>
          </w:tcPr>
          <w:p w14:paraId="4034822A">
            <w:pPr>
              <w:widowControl/>
              <w:jc w:val="center"/>
              <w:textAlignment w:val="center"/>
              <w:rPr>
                <w:rFonts w:ascii="Times New Roman" w:hAnsi="Times New Roman" w:eastAsia="宋体" w:cs="Times New Roman"/>
                <w:color w:val="000000"/>
                <w:kern w:val="0"/>
                <w:sz w:val="18"/>
                <w:szCs w:val="18"/>
                <w:lang w:val="en-US" w:eastAsia="zh-CN" w:bidi="ar"/>
              </w:rPr>
            </w:pPr>
            <w:r>
              <w:rPr>
                <w:rFonts w:ascii="Times New Roman" w:hAnsi="Times New Roman" w:cs="Times New Roman"/>
                <w:color w:val="000000"/>
                <w:kern w:val="0"/>
                <w:sz w:val="18"/>
                <w:szCs w:val="18"/>
                <w:lang w:bidi="ar"/>
              </w:rPr>
              <w:t>22.67</w:t>
            </w:r>
          </w:p>
        </w:tc>
        <w:tc>
          <w:tcPr>
            <w:tcW w:w="2504" w:type="pct"/>
            <w:tcBorders>
              <w:top w:val="single" w:color="auto" w:sz="4" w:space="0"/>
              <w:left w:val="single" w:color="auto" w:sz="4" w:space="0"/>
              <w:bottom w:val="single" w:color="auto" w:sz="4" w:space="0"/>
            </w:tcBorders>
            <w:shd w:val="clear" w:color="auto" w:fill="auto"/>
            <w:vAlign w:val="center"/>
          </w:tcPr>
          <w:p w14:paraId="13AFA61A">
            <w:pPr>
              <w:widowControl/>
              <w:jc w:val="center"/>
              <w:textAlignment w:val="center"/>
              <w:rPr>
                <w:rFonts w:ascii="Times New Roman" w:hAnsi="Times New Roman" w:eastAsia="宋体" w:cs="Times New Roman"/>
                <w:color w:val="000000"/>
                <w:kern w:val="0"/>
                <w:sz w:val="18"/>
                <w:szCs w:val="18"/>
                <w:lang w:val="en-US" w:eastAsia="zh-CN" w:bidi="ar"/>
              </w:rPr>
            </w:pPr>
            <w:r>
              <w:rPr>
                <w:color w:val="000000"/>
                <w:kern w:val="0"/>
                <w:sz w:val="18"/>
                <w:szCs w:val="18"/>
                <w:lang w:bidi="ar"/>
              </w:rPr>
              <w:t>0.30</w:t>
            </w:r>
          </w:p>
        </w:tc>
      </w:tr>
      <w:tr w14:paraId="0AAC9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exact"/>
          <w:jc w:val="center"/>
        </w:trPr>
        <w:tc>
          <w:tcPr>
            <w:tcW w:w="2495" w:type="pct"/>
            <w:tcBorders>
              <w:top w:val="single" w:color="auto" w:sz="4" w:space="0"/>
              <w:bottom w:val="single" w:color="auto" w:sz="4" w:space="0"/>
              <w:right w:val="single" w:color="auto" w:sz="4" w:space="0"/>
            </w:tcBorders>
            <w:shd w:val="clear" w:color="auto" w:fill="auto"/>
            <w:vAlign w:val="center"/>
          </w:tcPr>
          <w:p w14:paraId="48CDEC3E">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cs="Times New Roman"/>
                <w:color w:val="000000"/>
                <w:kern w:val="0"/>
                <w:sz w:val="18"/>
                <w:szCs w:val="18"/>
                <w:lang w:val="en-US" w:eastAsia="zh-CN" w:bidi="ar"/>
              </w:rPr>
              <w:t>30.38</w:t>
            </w:r>
          </w:p>
        </w:tc>
        <w:tc>
          <w:tcPr>
            <w:tcW w:w="2504" w:type="pct"/>
            <w:tcBorders>
              <w:top w:val="single" w:color="auto" w:sz="4" w:space="0"/>
              <w:left w:val="single" w:color="auto" w:sz="4" w:space="0"/>
              <w:bottom w:val="single" w:color="auto" w:sz="4" w:space="0"/>
            </w:tcBorders>
            <w:shd w:val="clear" w:color="auto" w:fill="auto"/>
            <w:vAlign w:val="center"/>
          </w:tcPr>
          <w:p w14:paraId="31D7D524">
            <w:pPr>
              <w:widowControl/>
              <w:jc w:val="center"/>
              <w:textAlignment w:val="center"/>
              <w:rPr>
                <w:rFonts w:hint="default" w:eastAsia="宋体"/>
                <w:color w:val="000000"/>
                <w:kern w:val="0"/>
                <w:sz w:val="18"/>
                <w:szCs w:val="18"/>
                <w:lang w:val="en-US" w:eastAsia="zh-CN" w:bidi="ar"/>
              </w:rPr>
            </w:pPr>
            <w:r>
              <w:rPr>
                <w:rFonts w:hint="eastAsia"/>
                <w:color w:val="000000"/>
                <w:kern w:val="0"/>
                <w:sz w:val="18"/>
                <w:szCs w:val="18"/>
                <w:lang w:val="en-US" w:eastAsia="zh-CN" w:bidi="ar"/>
              </w:rPr>
              <w:t>0.43</w:t>
            </w:r>
          </w:p>
        </w:tc>
      </w:tr>
      <w:tr w14:paraId="3B962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exact"/>
          <w:jc w:val="center"/>
        </w:trPr>
        <w:tc>
          <w:tcPr>
            <w:tcW w:w="5000" w:type="pct"/>
            <w:gridSpan w:val="2"/>
            <w:tcBorders>
              <w:top w:val="single" w:color="auto" w:sz="4" w:space="0"/>
              <w:bottom w:val="single" w:color="auto" w:sz="12" w:space="0"/>
            </w:tcBorders>
            <w:shd w:val="clear" w:color="auto" w:fill="auto"/>
            <w:vAlign w:val="center"/>
          </w:tcPr>
          <w:p w14:paraId="4DBD8D40">
            <w:pPr>
              <w:rPr>
                <w:color w:val="000000"/>
                <w:kern w:val="0"/>
                <w:sz w:val="18"/>
                <w:szCs w:val="18"/>
                <w:lang w:bidi="ar"/>
              </w:rPr>
            </w:pPr>
            <w:r>
              <w:rPr>
                <w:rFonts w:hint="eastAsia" w:ascii="黑体" w:hAnsi="黑体" w:eastAsia="黑体" w:cs="黑体"/>
                <w:color w:val="000000"/>
                <w:kern w:val="0"/>
                <w:sz w:val="18"/>
                <w:szCs w:val="18"/>
                <w:lang w:bidi="ar"/>
              </w:rPr>
              <w:t>注1：</w:t>
            </w:r>
            <w:r>
              <w:rPr>
                <w:rFonts w:hint="eastAsia" w:ascii="宋体" w:hAnsi="宋体" w:cs="宋体"/>
                <w:color w:val="000000"/>
                <w:kern w:val="0"/>
                <w:sz w:val="18"/>
                <w:szCs w:val="18"/>
                <w:lang w:bidi="ar"/>
              </w:rPr>
              <w:t>再现性</w:t>
            </w:r>
            <w:r>
              <w:rPr>
                <w:color w:val="000000"/>
                <w:kern w:val="0"/>
                <w:sz w:val="18"/>
                <w:szCs w:val="18"/>
                <w:lang w:bidi="ar"/>
              </w:rPr>
              <w:t>限（R）为2.8×S</w:t>
            </w:r>
            <w:r>
              <w:rPr>
                <w:color w:val="000000"/>
                <w:kern w:val="0"/>
                <w:sz w:val="18"/>
                <w:szCs w:val="18"/>
                <w:vertAlign w:val="subscript"/>
                <w:lang w:bidi="ar"/>
              </w:rPr>
              <w:t>R</w:t>
            </w:r>
            <w:r>
              <w:rPr>
                <w:color w:val="000000"/>
                <w:kern w:val="0"/>
                <w:sz w:val="18"/>
                <w:szCs w:val="18"/>
                <w:lang w:bidi="ar"/>
              </w:rPr>
              <w:t>，S</w:t>
            </w:r>
            <w:r>
              <w:rPr>
                <w:color w:val="000000"/>
                <w:kern w:val="0"/>
                <w:sz w:val="18"/>
                <w:szCs w:val="18"/>
                <w:vertAlign w:val="subscript"/>
                <w:lang w:bidi="ar"/>
              </w:rPr>
              <w:t>R</w:t>
            </w:r>
            <w:r>
              <w:rPr>
                <w:color w:val="000000"/>
                <w:kern w:val="0"/>
                <w:sz w:val="18"/>
                <w:szCs w:val="18"/>
                <w:lang w:bidi="ar"/>
              </w:rPr>
              <w:t>为再现性限标准偏差</w:t>
            </w:r>
            <w:r>
              <w:rPr>
                <w:rFonts w:hint="eastAsia" w:ascii="宋体" w:hAnsi="宋体" w:cs="宋体"/>
                <w:color w:val="000000"/>
                <w:kern w:val="0"/>
                <w:sz w:val="18"/>
                <w:szCs w:val="18"/>
                <w:lang w:bidi="ar"/>
              </w:rPr>
              <w:t>。</w:t>
            </w:r>
          </w:p>
          <w:p w14:paraId="35AB3FC7">
            <w:pPr>
              <w:widowControl/>
              <w:jc w:val="center"/>
              <w:textAlignment w:val="center"/>
              <w:rPr>
                <w:rFonts w:ascii="宋体" w:hAnsi="宋体" w:cs="宋体"/>
                <w:color w:val="000000"/>
                <w:kern w:val="0"/>
                <w:sz w:val="18"/>
                <w:szCs w:val="18"/>
                <w:lang w:bidi="ar"/>
              </w:rPr>
            </w:pPr>
          </w:p>
        </w:tc>
      </w:tr>
    </w:tbl>
    <w:p w14:paraId="7629FF5B">
      <w:pPr>
        <w:pStyle w:val="47"/>
        <w:snapToGrid w:val="0"/>
        <w:ind w:firstLine="0" w:firstLineChars="0"/>
        <w:rPr>
          <w:rFonts w:ascii="黑体" w:hAnsi="黑体" w:eastAsia="黑体" w:cs="黑体"/>
        </w:rPr>
      </w:pPr>
      <w:r>
        <mc:AlternateContent>
          <mc:Choice Requires="wps">
            <w:drawing>
              <wp:anchor distT="0" distB="0" distL="114300" distR="114300" simplePos="0" relativeHeight="251668480" behindDoc="0" locked="0" layoutInCell="1" allowOverlap="1">
                <wp:simplePos x="0" y="0"/>
                <wp:positionH relativeFrom="column">
                  <wp:posOffset>1970405</wp:posOffset>
                </wp:positionH>
                <wp:positionV relativeFrom="paragraph">
                  <wp:posOffset>189230</wp:posOffset>
                </wp:positionV>
                <wp:extent cx="2114550" cy="0"/>
                <wp:effectExtent l="0" t="0" r="0" b="0"/>
                <wp:wrapNone/>
                <wp:docPr id="3" name="直接连接符 3"/>
                <wp:cNvGraphicFramePr/>
                <a:graphic xmlns:a="http://schemas.openxmlformats.org/drawingml/2006/main">
                  <a:graphicData uri="http://schemas.microsoft.com/office/word/2010/wordprocessingShape">
                    <wps:wsp>
                      <wps:cNvCnPr/>
                      <wps:spPr>
                        <a:xfrm>
                          <a:off x="1775460" y="7047230"/>
                          <a:ext cx="211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55.15pt;margin-top:14.9pt;height:0pt;width:166.5pt;z-index:251668480;mso-width-relative:page;mso-height-relative:page;" filled="f" stroked="t" coordsize="21600,21600" o:gfxdata="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WbEn2AAAAAkBAAAPAAAAAAAAAAEAIAAAACIAAABkcnMvZG93bnJldi54bWxQSwECFAAUAAAA&#10;CACHTuJAEBFveu4BAAC+AwAADgAAAAAAAAABACAAAAAnAQAAZHJzL2Uyb0RvYy54bWxQSwUGAAAA&#10;AAYABgBZAQAAhwUAAAAA&#10;">
                <v:fill on="f" focussize="0,0"/>
                <v:stroke weight="1.5pt" color="#000000 [3200]" miterlimit="8" joinstyle="miter"/>
                <v:imagedata o:title=""/>
                <o:lock v:ext="edit" aspectratio="f"/>
              </v:line>
            </w:pict>
          </mc:Fallback>
        </mc:AlternateContent>
      </w:r>
    </w:p>
    <w:sectPr>
      <w:pgSz w:w="11907" w:h="16839"/>
      <w:pgMar w:top="1418" w:right="1134" w:bottom="1134" w:left="1418" w:header="1418" w:footer="851"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C27B3">
    <w:pPr>
      <w:pStyle w:val="70"/>
      <w:rPr>
        <w:rStyle w:val="34"/>
      </w:rPr>
    </w:pPr>
    <w:r>
      <w:fldChar w:fldCharType="begin"/>
    </w:r>
    <w:r>
      <w:rPr>
        <w:rStyle w:val="34"/>
      </w:rPr>
      <w:instrText xml:space="preserve">PAGE  </w:instrText>
    </w:r>
    <w:r>
      <w:fldChar w:fldCharType="separate"/>
    </w:r>
    <w:r>
      <w:rPr>
        <w:rStyle w:val="34"/>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EA0E">
    <w:pPr>
      <w:pStyle w:val="55"/>
      <w:rPr>
        <w:rStyle w:val="34"/>
      </w:rPr>
    </w:pPr>
    <w:r>
      <w:fldChar w:fldCharType="begin"/>
    </w:r>
    <w:r>
      <w:rPr>
        <w:rStyle w:val="34"/>
      </w:rPr>
      <w:instrText xml:space="preserve">PAGE  </w:instrText>
    </w:r>
    <w:r>
      <w:fldChar w:fldCharType="separate"/>
    </w:r>
    <w:r>
      <w:rPr>
        <w:rStyle w:val="34"/>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07669">
    <w:pPr>
      <w:pStyle w:val="70"/>
      <w:rPr>
        <w:rStyle w:val="34"/>
      </w:rPr>
    </w:pPr>
    <w:r>
      <w:fldChar w:fldCharType="begin"/>
    </w:r>
    <w:r>
      <w:rPr>
        <w:rStyle w:val="34"/>
      </w:rPr>
      <w:instrText xml:space="preserve">PAGE  </w:instrText>
    </w:r>
    <w:r>
      <w:fldChar w:fldCharType="separate"/>
    </w:r>
    <w:r>
      <w:rPr>
        <w:rStyle w:val="34"/>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166EC">
    <w:pPr>
      <w:pStyle w:val="55"/>
      <w:jc w:val="right"/>
      <w:rPr>
        <w:rStyle w:val="34"/>
      </w:rPr>
    </w:pPr>
    <w:r>
      <w:fldChar w:fldCharType="begin"/>
    </w:r>
    <w:r>
      <w:rPr>
        <w:rStyle w:val="34"/>
      </w:rPr>
      <w:instrText xml:space="preserve">PAGE  </w:instrText>
    </w:r>
    <w:r>
      <w:fldChar w:fldCharType="separate"/>
    </w:r>
    <w:r>
      <w:rPr>
        <w:rStyle w:val="34"/>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1D9A6">
    <w:pPr>
      <w:pStyle w:val="101"/>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00279">
    <w:pPr>
      <w:pStyle w:val="100"/>
      <w:jc w:val="right"/>
      <w:rPr>
        <w:rFonts w:ascii="黑体" w:hAnsi="黑体" w:eastAsia="黑体"/>
      </w:rPr>
    </w:pPr>
    <w:r>
      <w:rPr>
        <w:rFonts w:ascii="黑体" w:hAnsi="黑体" w:eastAsia="黑体"/>
      </w:rPr>
      <w:t>GB/T 18882.4—202X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988EB">
    <w:pPr>
      <w:pStyle w:val="5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DDAA0">
    <w:pPr>
      <w:pStyle w:val="101"/>
      <w:spacing w:after="0"/>
      <w:rPr>
        <w:rFonts w:ascii="黑体" w:hAnsi="黑体" w:eastAsia="黑体"/>
      </w:rPr>
    </w:pPr>
    <w:r>
      <w:rPr>
        <w:rFonts w:ascii="黑体" w:hAnsi="黑体" w:eastAsia="黑体"/>
      </w:rPr>
      <w:t xml:space="preserve">GB/T </w:t>
    </w:r>
    <w:r>
      <w:rPr>
        <w:rFonts w:hint="eastAsia" w:ascii="黑体" w:hAnsi="黑体" w:eastAsia="黑体"/>
      </w:rPr>
      <w:t>18114.</w:t>
    </w:r>
    <w:r>
      <w:rPr>
        <w:rFonts w:hint="eastAsia" w:ascii="黑体" w:hAnsi="黑体" w:eastAsia="黑体"/>
        <w:lang w:val="en-US" w:eastAsia="zh-CN"/>
      </w:rPr>
      <w:t>9</w:t>
    </w:r>
    <w:r>
      <w:rPr>
        <w:rFonts w:ascii="黑体" w:hAnsi="黑体" w:eastAsia="黑体"/>
      </w:rPr>
      <w:t>—202</w:t>
    </w:r>
    <w:r>
      <w:rPr>
        <w:rFonts w:hint="eastAsia" w:ascii="黑体" w:hAnsi="黑体" w:eastAsia="黑体"/>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45546">
    <w:pPr>
      <w:pStyle w:val="100"/>
      <w:spacing w:after="0"/>
      <w:jc w:val="right"/>
      <w:rPr>
        <w:rFonts w:ascii="黑体" w:hAnsi="黑体" w:eastAsia="黑体"/>
      </w:rPr>
    </w:pPr>
    <w:r>
      <w:rPr>
        <w:rFonts w:ascii="黑体" w:hAnsi="黑体" w:eastAsia="黑体"/>
      </w:rPr>
      <w:t xml:space="preserve">GB/T </w:t>
    </w:r>
    <w:r>
      <w:rPr>
        <w:rFonts w:hint="eastAsia" w:ascii="黑体" w:hAnsi="黑体" w:eastAsia="黑体"/>
      </w:rPr>
      <w:t>18114.</w:t>
    </w:r>
    <w:r>
      <w:rPr>
        <w:rFonts w:hint="eastAsia" w:ascii="黑体" w:hAnsi="黑体" w:eastAsia="黑体"/>
        <w:lang w:val="en-US" w:eastAsia="zh-CN"/>
      </w:rPr>
      <w:t>9</w:t>
    </w:r>
    <w:r>
      <w:rPr>
        <w:rFonts w:ascii="黑体" w:hAnsi="黑体" w:eastAsia="黑体"/>
      </w:rPr>
      <w:t>—202</w:t>
    </w:r>
    <w:r>
      <w:rPr>
        <w:rFonts w:hint="eastAsia" w:ascii="黑体" w:hAnsi="黑体" w:eastAsia="黑体"/>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8"/>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106"/>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9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6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0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8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110"/>
      <w:suff w:val="nothing"/>
      <w:lvlText w:val="附　录　%1"/>
      <w:lvlJc w:val="left"/>
      <w:pPr>
        <w:ind w:left="0" w:firstLine="0"/>
      </w:pPr>
      <w:rPr>
        <w:rFonts w:hint="eastAsia" w:ascii="黑体" w:hAnsi="Times New Roman" w:eastAsia="黑体"/>
        <w:b w:val="0"/>
        <w:i w:val="0"/>
        <w:sz w:val="21"/>
      </w:rPr>
    </w:lvl>
    <w:lvl w:ilvl="1" w:tentative="0">
      <w:start w:val="1"/>
      <w:numFmt w:val="decimal"/>
      <w:pStyle w:val="6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tentative="0">
      <w:start w:val="1"/>
      <w:numFmt w:val="decimal"/>
      <w:lvlText w:val="%1"/>
      <w:lvlJc w:val="left"/>
      <w:pPr>
        <w:tabs>
          <w:tab w:val="left" w:pos="360"/>
        </w:tabs>
        <w:ind w:left="360" w:hanging="360"/>
      </w:pPr>
      <w:rPr>
        <w:rFonts w:hint="default" w:ascii="黑体" w:hAnsi="黑体" w:eastAsia="黑体" w:cs="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CEA2025"/>
    <w:multiLevelType w:val="multilevel"/>
    <w:tmpl w:val="6CEA2025"/>
    <w:lvl w:ilvl="0" w:tentative="0">
      <w:start w:val="1"/>
      <w:numFmt w:val="none"/>
      <w:pStyle w:val="73"/>
      <w:suff w:val="nothing"/>
      <w:lvlText w:val="%1"/>
      <w:lvlJc w:val="left"/>
      <w:pPr>
        <w:ind w:left="0" w:firstLine="0"/>
      </w:pPr>
      <w:rPr>
        <w:rFonts w:hint="default" w:ascii="Times New Roman" w:hAnsi="Times New Roman"/>
        <w:b/>
        <w:i w:val="0"/>
        <w:sz w:val="21"/>
      </w:rPr>
    </w:lvl>
    <w:lvl w:ilvl="1" w:tentative="0">
      <w:start w:val="1"/>
      <w:numFmt w:val="decimal"/>
      <w:pStyle w:val="74"/>
      <w:suff w:val="nothing"/>
      <w:lvlText w:val="%1%2　"/>
      <w:lvlJc w:val="left"/>
      <w:pPr>
        <w:ind w:left="210" w:firstLine="0"/>
      </w:pPr>
      <w:rPr>
        <w:rFonts w:hint="eastAsia" w:ascii="黑体" w:hAnsi="Times New Roman" w:eastAsia="黑体"/>
        <w:b w:val="0"/>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69"/>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933334"/>
    <w:multiLevelType w:val="multilevel"/>
    <w:tmpl w:val="76933334"/>
    <w:lvl w:ilvl="0" w:tentative="0">
      <w:start w:val="1"/>
      <w:numFmt w:val="none"/>
      <w:pStyle w:val="8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9"/>
  </w:num>
  <w:num w:numId="4">
    <w:abstractNumId w:val="8"/>
  </w:num>
  <w:num w:numId="5">
    <w:abstractNumId w:val="0"/>
  </w:num>
  <w:num w:numId="6">
    <w:abstractNumId w:val="5"/>
  </w:num>
  <w:num w:numId="7">
    <w:abstractNumId w:val="10"/>
  </w:num>
  <w:num w:numId="8">
    <w:abstractNumId w:val="1"/>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42"/>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OGE0OTUwOGY4N2NmNTgyZDYyZmI1ZDZiMTkxM2UifQ=="/>
  </w:docVars>
  <w:rsids>
    <w:rsidRoot w:val="00CC1FA2"/>
    <w:rsid w:val="00002610"/>
    <w:rsid w:val="0000344F"/>
    <w:rsid w:val="00005240"/>
    <w:rsid w:val="00006808"/>
    <w:rsid w:val="00007D5F"/>
    <w:rsid w:val="000105BB"/>
    <w:rsid w:val="00010DD4"/>
    <w:rsid w:val="000120D5"/>
    <w:rsid w:val="00013E78"/>
    <w:rsid w:val="00014739"/>
    <w:rsid w:val="00014A89"/>
    <w:rsid w:val="00023099"/>
    <w:rsid w:val="00026D24"/>
    <w:rsid w:val="00031E13"/>
    <w:rsid w:val="000325A2"/>
    <w:rsid w:val="000355C8"/>
    <w:rsid w:val="0004107D"/>
    <w:rsid w:val="0004384B"/>
    <w:rsid w:val="000453C5"/>
    <w:rsid w:val="00046582"/>
    <w:rsid w:val="00050BC5"/>
    <w:rsid w:val="00051966"/>
    <w:rsid w:val="00052595"/>
    <w:rsid w:val="00053F77"/>
    <w:rsid w:val="00054F92"/>
    <w:rsid w:val="0005546F"/>
    <w:rsid w:val="00057184"/>
    <w:rsid w:val="00066270"/>
    <w:rsid w:val="0006798F"/>
    <w:rsid w:val="00072932"/>
    <w:rsid w:val="00072C0B"/>
    <w:rsid w:val="000747C7"/>
    <w:rsid w:val="00077F3F"/>
    <w:rsid w:val="000851A7"/>
    <w:rsid w:val="00085B2B"/>
    <w:rsid w:val="000A42E1"/>
    <w:rsid w:val="000A55E3"/>
    <w:rsid w:val="000B3B88"/>
    <w:rsid w:val="000B6052"/>
    <w:rsid w:val="000C0E23"/>
    <w:rsid w:val="000C4DD3"/>
    <w:rsid w:val="000C700F"/>
    <w:rsid w:val="000D3A7A"/>
    <w:rsid w:val="000D5520"/>
    <w:rsid w:val="000D6133"/>
    <w:rsid w:val="000E0FE8"/>
    <w:rsid w:val="000E1842"/>
    <w:rsid w:val="000E2F46"/>
    <w:rsid w:val="000F2B8D"/>
    <w:rsid w:val="000F4D50"/>
    <w:rsid w:val="000F5B2D"/>
    <w:rsid w:val="000F7E42"/>
    <w:rsid w:val="00104E6D"/>
    <w:rsid w:val="00107891"/>
    <w:rsid w:val="00110FD7"/>
    <w:rsid w:val="00113D86"/>
    <w:rsid w:val="00133528"/>
    <w:rsid w:val="00137C3F"/>
    <w:rsid w:val="00141917"/>
    <w:rsid w:val="00141EB1"/>
    <w:rsid w:val="0014536F"/>
    <w:rsid w:val="0015158E"/>
    <w:rsid w:val="00155929"/>
    <w:rsid w:val="00167C46"/>
    <w:rsid w:val="00167E30"/>
    <w:rsid w:val="00167EDE"/>
    <w:rsid w:val="001706F0"/>
    <w:rsid w:val="00170EC5"/>
    <w:rsid w:val="00175F26"/>
    <w:rsid w:val="001820CD"/>
    <w:rsid w:val="00183043"/>
    <w:rsid w:val="00186889"/>
    <w:rsid w:val="001908B3"/>
    <w:rsid w:val="00190EF5"/>
    <w:rsid w:val="00194581"/>
    <w:rsid w:val="001A1245"/>
    <w:rsid w:val="001A305E"/>
    <w:rsid w:val="001A501E"/>
    <w:rsid w:val="001A739B"/>
    <w:rsid w:val="001A7479"/>
    <w:rsid w:val="001B043C"/>
    <w:rsid w:val="001B0F0F"/>
    <w:rsid w:val="001B1FE3"/>
    <w:rsid w:val="001B3C18"/>
    <w:rsid w:val="001C26E8"/>
    <w:rsid w:val="001D241E"/>
    <w:rsid w:val="001D2F28"/>
    <w:rsid w:val="001D64EA"/>
    <w:rsid w:val="001E0094"/>
    <w:rsid w:val="001E473E"/>
    <w:rsid w:val="001E697D"/>
    <w:rsid w:val="001E776A"/>
    <w:rsid w:val="001F63E7"/>
    <w:rsid w:val="0020151E"/>
    <w:rsid w:val="002030FF"/>
    <w:rsid w:val="00205161"/>
    <w:rsid w:val="00205424"/>
    <w:rsid w:val="00207958"/>
    <w:rsid w:val="00211DA8"/>
    <w:rsid w:val="00214B0D"/>
    <w:rsid w:val="002217F4"/>
    <w:rsid w:val="00230428"/>
    <w:rsid w:val="002350C0"/>
    <w:rsid w:val="002374C4"/>
    <w:rsid w:val="002412C5"/>
    <w:rsid w:val="0024638D"/>
    <w:rsid w:val="00246E93"/>
    <w:rsid w:val="00247081"/>
    <w:rsid w:val="00247556"/>
    <w:rsid w:val="0025020D"/>
    <w:rsid w:val="002519E4"/>
    <w:rsid w:val="00252249"/>
    <w:rsid w:val="00252685"/>
    <w:rsid w:val="0025275C"/>
    <w:rsid w:val="002702F9"/>
    <w:rsid w:val="00270A2D"/>
    <w:rsid w:val="00274085"/>
    <w:rsid w:val="00284876"/>
    <w:rsid w:val="00284F26"/>
    <w:rsid w:val="00287DE8"/>
    <w:rsid w:val="00287FD1"/>
    <w:rsid w:val="00291190"/>
    <w:rsid w:val="002931DC"/>
    <w:rsid w:val="00295856"/>
    <w:rsid w:val="002A3871"/>
    <w:rsid w:val="002A4497"/>
    <w:rsid w:val="002A6472"/>
    <w:rsid w:val="002A687E"/>
    <w:rsid w:val="002B6AE2"/>
    <w:rsid w:val="002D54FB"/>
    <w:rsid w:val="002F04F9"/>
    <w:rsid w:val="002F33BD"/>
    <w:rsid w:val="002F5977"/>
    <w:rsid w:val="002F6208"/>
    <w:rsid w:val="00300AEC"/>
    <w:rsid w:val="003026AB"/>
    <w:rsid w:val="0030573C"/>
    <w:rsid w:val="003119D4"/>
    <w:rsid w:val="00315FF9"/>
    <w:rsid w:val="00316DA9"/>
    <w:rsid w:val="00320263"/>
    <w:rsid w:val="00323663"/>
    <w:rsid w:val="0033673D"/>
    <w:rsid w:val="00344BE8"/>
    <w:rsid w:val="00345108"/>
    <w:rsid w:val="00345AB2"/>
    <w:rsid w:val="00355187"/>
    <w:rsid w:val="00356BB4"/>
    <w:rsid w:val="003614E7"/>
    <w:rsid w:val="00361572"/>
    <w:rsid w:val="003676D6"/>
    <w:rsid w:val="0037152F"/>
    <w:rsid w:val="00371E43"/>
    <w:rsid w:val="003721F7"/>
    <w:rsid w:val="00373CAB"/>
    <w:rsid w:val="0037633C"/>
    <w:rsid w:val="00377C23"/>
    <w:rsid w:val="00385B77"/>
    <w:rsid w:val="00392F61"/>
    <w:rsid w:val="00394D3D"/>
    <w:rsid w:val="00395F91"/>
    <w:rsid w:val="0039612B"/>
    <w:rsid w:val="003A0401"/>
    <w:rsid w:val="003A1377"/>
    <w:rsid w:val="003A1CF5"/>
    <w:rsid w:val="003A64F1"/>
    <w:rsid w:val="003B4220"/>
    <w:rsid w:val="003B6513"/>
    <w:rsid w:val="003B7392"/>
    <w:rsid w:val="003C108E"/>
    <w:rsid w:val="003C1FAB"/>
    <w:rsid w:val="003C2AD7"/>
    <w:rsid w:val="003D5732"/>
    <w:rsid w:val="003E24C6"/>
    <w:rsid w:val="003E374D"/>
    <w:rsid w:val="003E66E4"/>
    <w:rsid w:val="003F3095"/>
    <w:rsid w:val="003F7E93"/>
    <w:rsid w:val="00407CF0"/>
    <w:rsid w:val="00415E4E"/>
    <w:rsid w:val="00422292"/>
    <w:rsid w:val="00422E92"/>
    <w:rsid w:val="00422FF6"/>
    <w:rsid w:val="00424670"/>
    <w:rsid w:val="0042736B"/>
    <w:rsid w:val="00427B74"/>
    <w:rsid w:val="00431D08"/>
    <w:rsid w:val="00436D25"/>
    <w:rsid w:val="0044118E"/>
    <w:rsid w:val="00445CBB"/>
    <w:rsid w:val="00450C5B"/>
    <w:rsid w:val="00454066"/>
    <w:rsid w:val="00455C94"/>
    <w:rsid w:val="00456E51"/>
    <w:rsid w:val="00460FEF"/>
    <w:rsid w:val="0046470E"/>
    <w:rsid w:val="004676BA"/>
    <w:rsid w:val="00473D25"/>
    <w:rsid w:val="00482952"/>
    <w:rsid w:val="00490AFF"/>
    <w:rsid w:val="00494988"/>
    <w:rsid w:val="00495897"/>
    <w:rsid w:val="00497F56"/>
    <w:rsid w:val="004A0D2E"/>
    <w:rsid w:val="004A1F38"/>
    <w:rsid w:val="004A20BC"/>
    <w:rsid w:val="004A4B00"/>
    <w:rsid w:val="004A7F30"/>
    <w:rsid w:val="004B0FBE"/>
    <w:rsid w:val="004B2895"/>
    <w:rsid w:val="004B5937"/>
    <w:rsid w:val="004B5F26"/>
    <w:rsid w:val="004C55A3"/>
    <w:rsid w:val="004C77D5"/>
    <w:rsid w:val="004D127D"/>
    <w:rsid w:val="004D40FF"/>
    <w:rsid w:val="004D4588"/>
    <w:rsid w:val="004D50E4"/>
    <w:rsid w:val="004E35CE"/>
    <w:rsid w:val="004E5327"/>
    <w:rsid w:val="004E711D"/>
    <w:rsid w:val="004F2E14"/>
    <w:rsid w:val="004F4143"/>
    <w:rsid w:val="004F7B44"/>
    <w:rsid w:val="00504E87"/>
    <w:rsid w:val="00505F45"/>
    <w:rsid w:val="005113A7"/>
    <w:rsid w:val="00513380"/>
    <w:rsid w:val="00521432"/>
    <w:rsid w:val="005247F2"/>
    <w:rsid w:val="00524BF5"/>
    <w:rsid w:val="00526615"/>
    <w:rsid w:val="00526A44"/>
    <w:rsid w:val="005271E7"/>
    <w:rsid w:val="005273F5"/>
    <w:rsid w:val="00542AFE"/>
    <w:rsid w:val="0054496F"/>
    <w:rsid w:val="00554E66"/>
    <w:rsid w:val="00563695"/>
    <w:rsid w:val="00565F26"/>
    <w:rsid w:val="00566228"/>
    <w:rsid w:val="005679C3"/>
    <w:rsid w:val="005748E3"/>
    <w:rsid w:val="00574C5F"/>
    <w:rsid w:val="00582B18"/>
    <w:rsid w:val="00586781"/>
    <w:rsid w:val="00590962"/>
    <w:rsid w:val="005922A8"/>
    <w:rsid w:val="00595703"/>
    <w:rsid w:val="005A0F20"/>
    <w:rsid w:val="005A3F42"/>
    <w:rsid w:val="005A3FC9"/>
    <w:rsid w:val="005B0C36"/>
    <w:rsid w:val="005B3B1A"/>
    <w:rsid w:val="005B619E"/>
    <w:rsid w:val="005B7330"/>
    <w:rsid w:val="005C02EC"/>
    <w:rsid w:val="005C546C"/>
    <w:rsid w:val="005D21AF"/>
    <w:rsid w:val="005D2BF3"/>
    <w:rsid w:val="005D46C6"/>
    <w:rsid w:val="005D4E07"/>
    <w:rsid w:val="005D6753"/>
    <w:rsid w:val="005E21C7"/>
    <w:rsid w:val="005E5677"/>
    <w:rsid w:val="005E660A"/>
    <w:rsid w:val="005F055D"/>
    <w:rsid w:val="00607440"/>
    <w:rsid w:val="00610070"/>
    <w:rsid w:val="0062560B"/>
    <w:rsid w:val="00626943"/>
    <w:rsid w:val="00630A97"/>
    <w:rsid w:val="00632DE1"/>
    <w:rsid w:val="00634B13"/>
    <w:rsid w:val="00634B6B"/>
    <w:rsid w:val="006417D4"/>
    <w:rsid w:val="00641F4B"/>
    <w:rsid w:val="006475D5"/>
    <w:rsid w:val="006533B2"/>
    <w:rsid w:val="00656D13"/>
    <w:rsid w:val="00661A03"/>
    <w:rsid w:val="006663E2"/>
    <w:rsid w:val="0067416A"/>
    <w:rsid w:val="006758AE"/>
    <w:rsid w:val="00683F0E"/>
    <w:rsid w:val="00684287"/>
    <w:rsid w:val="0069309D"/>
    <w:rsid w:val="006A4C94"/>
    <w:rsid w:val="006A6467"/>
    <w:rsid w:val="006A68EC"/>
    <w:rsid w:val="006B26AF"/>
    <w:rsid w:val="006C1939"/>
    <w:rsid w:val="006C404D"/>
    <w:rsid w:val="006C559D"/>
    <w:rsid w:val="006C7067"/>
    <w:rsid w:val="006D16E8"/>
    <w:rsid w:val="006D2DB7"/>
    <w:rsid w:val="006D5B27"/>
    <w:rsid w:val="006D5E7C"/>
    <w:rsid w:val="006E6E4E"/>
    <w:rsid w:val="006F4723"/>
    <w:rsid w:val="006F71C7"/>
    <w:rsid w:val="0070090B"/>
    <w:rsid w:val="00702A97"/>
    <w:rsid w:val="00702DB6"/>
    <w:rsid w:val="0070519E"/>
    <w:rsid w:val="007051D3"/>
    <w:rsid w:val="00706CEB"/>
    <w:rsid w:val="0070742C"/>
    <w:rsid w:val="007100BC"/>
    <w:rsid w:val="0071292A"/>
    <w:rsid w:val="00717838"/>
    <w:rsid w:val="007262CC"/>
    <w:rsid w:val="0072799F"/>
    <w:rsid w:val="00727F75"/>
    <w:rsid w:val="007358FF"/>
    <w:rsid w:val="00735A77"/>
    <w:rsid w:val="00741669"/>
    <w:rsid w:val="00754B0D"/>
    <w:rsid w:val="007551AC"/>
    <w:rsid w:val="00755392"/>
    <w:rsid w:val="0076286C"/>
    <w:rsid w:val="00764F1E"/>
    <w:rsid w:val="00774693"/>
    <w:rsid w:val="007747BC"/>
    <w:rsid w:val="0077603E"/>
    <w:rsid w:val="00776464"/>
    <w:rsid w:val="0077687C"/>
    <w:rsid w:val="00776E92"/>
    <w:rsid w:val="007815C6"/>
    <w:rsid w:val="00782410"/>
    <w:rsid w:val="00783CD6"/>
    <w:rsid w:val="00785233"/>
    <w:rsid w:val="00791040"/>
    <w:rsid w:val="0079432C"/>
    <w:rsid w:val="007A2588"/>
    <w:rsid w:val="007A6D2F"/>
    <w:rsid w:val="007A765A"/>
    <w:rsid w:val="007B0AAF"/>
    <w:rsid w:val="007B1630"/>
    <w:rsid w:val="007B2330"/>
    <w:rsid w:val="007B338C"/>
    <w:rsid w:val="007B5D8C"/>
    <w:rsid w:val="007B63E2"/>
    <w:rsid w:val="007B7BBD"/>
    <w:rsid w:val="007B7C1D"/>
    <w:rsid w:val="007C25BD"/>
    <w:rsid w:val="007C43B0"/>
    <w:rsid w:val="007C6CE9"/>
    <w:rsid w:val="007D51D0"/>
    <w:rsid w:val="007D7704"/>
    <w:rsid w:val="007E0739"/>
    <w:rsid w:val="007E3C2E"/>
    <w:rsid w:val="007F16F9"/>
    <w:rsid w:val="007F3FA0"/>
    <w:rsid w:val="007F7BB1"/>
    <w:rsid w:val="0080593B"/>
    <w:rsid w:val="00810700"/>
    <w:rsid w:val="00811378"/>
    <w:rsid w:val="00812A88"/>
    <w:rsid w:val="00813137"/>
    <w:rsid w:val="00815DC2"/>
    <w:rsid w:val="00816405"/>
    <w:rsid w:val="00822D66"/>
    <w:rsid w:val="0082370B"/>
    <w:rsid w:val="00823BB3"/>
    <w:rsid w:val="0082461F"/>
    <w:rsid w:val="00825DF1"/>
    <w:rsid w:val="008320D0"/>
    <w:rsid w:val="00832819"/>
    <w:rsid w:val="00835BE5"/>
    <w:rsid w:val="00836DA0"/>
    <w:rsid w:val="008376F8"/>
    <w:rsid w:val="00837BD3"/>
    <w:rsid w:val="00837DAD"/>
    <w:rsid w:val="008425A7"/>
    <w:rsid w:val="00845CEE"/>
    <w:rsid w:val="00846726"/>
    <w:rsid w:val="00851BA3"/>
    <w:rsid w:val="00852BB4"/>
    <w:rsid w:val="00854181"/>
    <w:rsid w:val="00856884"/>
    <w:rsid w:val="00863AD9"/>
    <w:rsid w:val="00867FD1"/>
    <w:rsid w:val="00871359"/>
    <w:rsid w:val="00874F07"/>
    <w:rsid w:val="00882036"/>
    <w:rsid w:val="00882545"/>
    <w:rsid w:val="008978AF"/>
    <w:rsid w:val="008A1061"/>
    <w:rsid w:val="008A36C7"/>
    <w:rsid w:val="008A379B"/>
    <w:rsid w:val="008A4F6A"/>
    <w:rsid w:val="008A50AA"/>
    <w:rsid w:val="008B172E"/>
    <w:rsid w:val="008B2931"/>
    <w:rsid w:val="008B386B"/>
    <w:rsid w:val="008C0B96"/>
    <w:rsid w:val="008C7C59"/>
    <w:rsid w:val="008D123C"/>
    <w:rsid w:val="008D3DC5"/>
    <w:rsid w:val="008D6579"/>
    <w:rsid w:val="008D68FF"/>
    <w:rsid w:val="008E0C26"/>
    <w:rsid w:val="008E1E11"/>
    <w:rsid w:val="008E2211"/>
    <w:rsid w:val="008E57BC"/>
    <w:rsid w:val="008E67CC"/>
    <w:rsid w:val="008F357B"/>
    <w:rsid w:val="00901DFE"/>
    <w:rsid w:val="00904D44"/>
    <w:rsid w:val="00906D73"/>
    <w:rsid w:val="0090722C"/>
    <w:rsid w:val="0091236D"/>
    <w:rsid w:val="00913EE6"/>
    <w:rsid w:val="0092257C"/>
    <w:rsid w:val="009231CE"/>
    <w:rsid w:val="009333ED"/>
    <w:rsid w:val="00935104"/>
    <w:rsid w:val="00937850"/>
    <w:rsid w:val="00945A50"/>
    <w:rsid w:val="00954B2A"/>
    <w:rsid w:val="00957CA1"/>
    <w:rsid w:val="0097111A"/>
    <w:rsid w:val="009754BD"/>
    <w:rsid w:val="00975F49"/>
    <w:rsid w:val="00976BEC"/>
    <w:rsid w:val="009806D1"/>
    <w:rsid w:val="00982278"/>
    <w:rsid w:val="00984D85"/>
    <w:rsid w:val="0098540A"/>
    <w:rsid w:val="00992E7F"/>
    <w:rsid w:val="00994D33"/>
    <w:rsid w:val="009962D3"/>
    <w:rsid w:val="00996482"/>
    <w:rsid w:val="009A452A"/>
    <w:rsid w:val="009A5919"/>
    <w:rsid w:val="009A5ACA"/>
    <w:rsid w:val="009C2E7D"/>
    <w:rsid w:val="009C49D8"/>
    <w:rsid w:val="009D07B4"/>
    <w:rsid w:val="009D2028"/>
    <w:rsid w:val="009E3C46"/>
    <w:rsid w:val="009E4552"/>
    <w:rsid w:val="00A02471"/>
    <w:rsid w:val="00A03EDF"/>
    <w:rsid w:val="00A0543D"/>
    <w:rsid w:val="00A0673F"/>
    <w:rsid w:val="00A10887"/>
    <w:rsid w:val="00A10E86"/>
    <w:rsid w:val="00A12F01"/>
    <w:rsid w:val="00A14DB5"/>
    <w:rsid w:val="00A15998"/>
    <w:rsid w:val="00A160C0"/>
    <w:rsid w:val="00A172E1"/>
    <w:rsid w:val="00A21BE9"/>
    <w:rsid w:val="00A2284F"/>
    <w:rsid w:val="00A3013A"/>
    <w:rsid w:val="00A324D2"/>
    <w:rsid w:val="00A325CA"/>
    <w:rsid w:val="00A44792"/>
    <w:rsid w:val="00A52751"/>
    <w:rsid w:val="00A603DC"/>
    <w:rsid w:val="00A638D7"/>
    <w:rsid w:val="00A66CD4"/>
    <w:rsid w:val="00A71D85"/>
    <w:rsid w:val="00A72035"/>
    <w:rsid w:val="00A77055"/>
    <w:rsid w:val="00A77C64"/>
    <w:rsid w:val="00A77EED"/>
    <w:rsid w:val="00A804E6"/>
    <w:rsid w:val="00A80C09"/>
    <w:rsid w:val="00A81FB6"/>
    <w:rsid w:val="00A82420"/>
    <w:rsid w:val="00A852B7"/>
    <w:rsid w:val="00A86AF7"/>
    <w:rsid w:val="00A94664"/>
    <w:rsid w:val="00AA2166"/>
    <w:rsid w:val="00AA3E2F"/>
    <w:rsid w:val="00AA48EC"/>
    <w:rsid w:val="00AB4660"/>
    <w:rsid w:val="00AB73CC"/>
    <w:rsid w:val="00AC309C"/>
    <w:rsid w:val="00AC4C05"/>
    <w:rsid w:val="00AC7EE8"/>
    <w:rsid w:val="00AD195C"/>
    <w:rsid w:val="00AD3362"/>
    <w:rsid w:val="00AD37B6"/>
    <w:rsid w:val="00AD45FF"/>
    <w:rsid w:val="00AD6600"/>
    <w:rsid w:val="00AD7EC1"/>
    <w:rsid w:val="00AE29C1"/>
    <w:rsid w:val="00AE5126"/>
    <w:rsid w:val="00AF5014"/>
    <w:rsid w:val="00AF61CD"/>
    <w:rsid w:val="00B002B0"/>
    <w:rsid w:val="00B007EF"/>
    <w:rsid w:val="00B04494"/>
    <w:rsid w:val="00B06EC3"/>
    <w:rsid w:val="00B10C97"/>
    <w:rsid w:val="00B142A9"/>
    <w:rsid w:val="00B217A4"/>
    <w:rsid w:val="00B223CD"/>
    <w:rsid w:val="00B30A0D"/>
    <w:rsid w:val="00B35B0C"/>
    <w:rsid w:val="00B35B52"/>
    <w:rsid w:val="00B3661B"/>
    <w:rsid w:val="00B377FD"/>
    <w:rsid w:val="00B41B11"/>
    <w:rsid w:val="00B4378D"/>
    <w:rsid w:val="00B440A5"/>
    <w:rsid w:val="00B47553"/>
    <w:rsid w:val="00B47C8B"/>
    <w:rsid w:val="00B505F1"/>
    <w:rsid w:val="00B55C7C"/>
    <w:rsid w:val="00B55D36"/>
    <w:rsid w:val="00B60EF0"/>
    <w:rsid w:val="00B83F98"/>
    <w:rsid w:val="00B93985"/>
    <w:rsid w:val="00B9443C"/>
    <w:rsid w:val="00B94FA8"/>
    <w:rsid w:val="00BA066D"/>
    <w:rsid w:val="00BA126A"/>
    <w:rsid w:val="00BA2F32"/>
    <w:rsid w:val="00BA3368"/>
    <w:rsid w:val="00BA3A86"/>
    <w:rsid w:val="00BB411E"/>
    <w:rsid w:val="00BB7D3F"/>
    <w:rsid w:val="00BC50CE"/>
    <w:rsid w:val="00BC561F"/>
    <w:rsid w:val="00BC69EE"/>
    <w:rsid w:val="00BD1CA2"/>
    <w:rsid w:val="00BD5FB7"/>
    <w:rsid w:val="00BD775F"/>
    <w:rsid w:val="00BE05EA"/>
    <w:rsid w:val="00BE0CBF"/>
    <w:rsid w:val="00BE50A3"/>
    <w:rsid w:val="00BE6377"/>
    <w:rsid w:val="00BE6AC5"/>
    <w:rsid w:val="00BF1053"/>
    <w:rsid w:val="00BF1151"/>
    <w:rsid w:val="00BF2738"/>
    <w:rsid w:val="00C028A9"/>
    <w:rsid w:val="00C03D11"/>
    <w:rsid w:val="00C06708"/>
    <w:rsid w:val="00C160D6"/>
    <w:rsid w:val="00C16AD1"/>
    <w:rsid w:val="00C2235F"/>
    <w:rsid w:val="00C23078"/>
    <w:rsid w:val="00C30693"/>
    <w:rsid w:val="00C31882"/>
    <w:rsid w:val="00C34FD5"/>
    <w:rsid w:val="00C376C3"/>
    <w:rsid w:val="00C4232B"/>
    <w:rsid w:val="00C42B5C"/>
    <w:rsid w:val="00C4409D"/>
    <w:rsid w:val="00C5084A"/>
    <w:rsid w:val="00C513CD"/>
    <w:rsid w:val="00C526A6"/>
    <w:rsid w:val="00C52BA0"/>
    <w:rsid w:val="00C6237C"/>
    <w:rsid w:val="00C638E5"/>
    <w:rsid w:val="00C64269"/>
    <w:rsid w:val="00C73A4B"/>
    <w:rsid w:val="00C73ABB"/>
    <w:rsid w:val="00C756C4"/>
    <w:rsid w:val="00C808D7"/>
    <w:rsid w:val="00C84984"/>
    <w:rsid w:val="00C84A9B"/>
    <w:rsid w:val="00C853E1"/>
    <w:rsid w:val="00C936A2"/>
    <w:rsid w:val="00CA31C9"/>
    <w:rsid w:val="00CA3A11"/>
    <w:rsid w:val="00CA4166"/>
    <w:rsid w:val="00CA5A15"/>
    <w:rsid w:val="00CA714B"/>
    <w:rsid w:val="00CB06B0"/>
    <w:rsid w:val="00CB1EB0"/>
    <w:rsid w:val="00CB3241"/>
    <w:rsid w:val="00CB3690"/>
    <w:rsid w:val="00CB3B56"/>
    <w:rsid w:val="00CB5F61"/>
    <w:rsid w:val="00CB729D"/>
    <w:rsid w:val="00CC1FA2"/>
    <w:rsid w:val="00CC490B"/>
    <w:rsid w:val="00CD2C0A"/>
    <w:rsid w:val="00CD3599"/>
    <w:rsid w:val="00CD66B1"/>
    <w:rsid w:val="00CE5529"/>
    <w:rsid w:val="00CE712D"/>
    <w:rsid w:val="00CF0CF2"/>
    <w:rsid w:val="00CF1AC7"/>
    <w:rsid w:val="00CF22BE"/>
    <w:rsid w:val="00CF4B40"/>
    <w:rsid w:val="00CF4C1D"/>
    <w:rsid w:val="00CF5A79"/>
    <w:rsid w:val="00CF79D5"/>
    <w:rsid w:val="00D008FD"/>
    <w:rsid w:val="00D01217"/>
    <w:rsid w:val="00D037D9"/>
    <w:rsid w:val="00D05205"/>
    <w:rsid w:val="00D11129"/>
    <w:rsid w:val="00D12F8B"/>
    <w:rsid w:val="00D15E99"/>
    <w:rsid w:val="00D1764C"/>
    <w:rsid w:val="00D21EB5"/>
    <w:rsid w:val="00D2683A"/>
    <w:rsid w:val="00D33D7C"/>
    <w:rsid w:val="00D34C82"/>
    <w:rsid w:val="00D356A8"/>
    <w:rsid w:val="00D36FB7"/>
    <w:rsid w:val="00D4021A"/>
    <w:rsid w:val="00D40EBE"/>
    <w:rsid w:val="00D423F8"/>
    <w:rsid w:val="00D44BDD"/>
    <w:rsid w:val="00D45293"/>
    <w:rsid w:val="00D47C57"/>
    <w:rsid w:val="00D51C55"/>
    <w:rsid w:val="00D64DE4"/>
    <w:rsid w:val="00D70128"/>
    <w:rsid w:val="00D779F7"/>
    <w:rsid w:val="00D83D78"/>
    <w:rsid w:val="00D850F7"/>
    <w:rsid w:val="00D92A6F"/>
    <w:rsid w:val="00D939B6"/>
    <w:rsid w:val="00D9561B"/>
    <w:rsid w:val="00D95D26"/>
    <w:rsid w:val="00DA2875"/>
    <w:rsid w:val="00DA5BA5"/>
    <w:rsid w:val="00DB4790"/>
    <w:rsid w:val="00DB59B5"/>
    <w:rsid w:val="00DB5D7B"/>
    <w:rsid w:val="00DC2590"/>
    <w:rsid w:val="00DD0844"/>
    <w:rsid w:val="00DD4D22"/>
    <w:rsid w:val="00DE15F4"/>
    <w:rsid w:val="00DE4D65"/>
    <w:rsid w:val="00DF6E0D"/>
    <w:rsid w:val="00DF70A6"/>
    <w:rsid w:val="00E03DF1"/>
    <w:rsid w:val="00E050C4"/>
    <w:rsid w:val="00E07A71"/>
    <w:rsid w:val="00E120FE"/>
    <w:rsid w:val="00E16338"/>
    <w:rsid w:val="00E26852"/>
    <w:rsid w:val="00E2753E"/>
    <w:rsid w:val="00E27BBD"/>
    <w:rsid w:val="00E31896"/>
    <w:rsid w:val="00E35654"/>
    <w:rsid w:val="00E3677E"/>
    <w:rsid w:val="00E375FF"/>
    <w:rsid w:val="00E40345"/>
    <w:rsid w:val="00E4215E"/>
    <w:rsid w:val="00E42A57"/>
    <w:rsid w:val="00E46241"/>
    <w:rsid w:val="00E51750"/>
    <w:rsid w:val="00E52AAD"/>
    <w:rsid w:val="00E535C7"/>
    <w:rsid w:val="00E56D5D"/>
    <w:rsid w:val="00E57413"/>
    <w:rsid w:val="00E577AD"/>
    <w:rsid w:val="00E62095"/>
    <w:rsid w:val="00E64E25"/>
    <w:rsid w:val="00E67C3E"/>
    <w:rsid w:val="00E73BAE"/>
    <w:rsid w:val="00E8000F"/>
    <w:rsid w:val="00E86E17"/>
    <w:rsid w:val="00E95438"/>
    <w:rsid w:val="00E954E6"/>
    <w:rsid w:val="00E954F0"/>
    <w:rsid w:val="00E96103"/>
    <w:rsid w:val="00E9762D"/>
    <w:rsid w:val="00EA0529"/>
    <w:rsid w:val="00EA5FF5"/>
    <w:rsid w:val="00EB22EE"/>
    <w:rsid w:val="00EB4052"/>
    <w:rsid w:val="00EB57F1"/>
    <w:rsid w:val="00EB6EF0"/>
    <w:rsid w:val="00EB735D"/>
    <w:rsid w:val="00EC227F"/>
    <w:rsid w:val="00EC2952"/>
    <w:rsid w:val="00EC7C05"/>
    <w:rsid w:val="00ED5FAA"/>
    <w:rsid w:val="00EE1E5D"/>
    <w:rsid w:val="00EE27BE"/>
    <w:rsid w:val="00EE5E19"/>
    <w:rsid w:val="00EE7C18"/>
    <w:rsid w:val="00EF3FAF"/>
    <w:rsid w:val="00EF4DCF"/>
    <w:rsid w:val="00F00045"/>
    <w:rsid w:val="00F05E42"/>
    <w:rsid w:val="00F06008"/>
    <w:rsid w:val="00F1031A"/>
    <w:rsid w:val="00F1467B"/>
    <w:rsid w:val="00F17B66"/>
    <w:rsid w:val="00F23515"/>
    <w:rsid w:val="00F2370A"/>
    <w:rsid w:val="00F32114"/>
    <w:rsid w:val="00F33DF4"/>
    <w:rsid w:val="00F355E3"/>
    <w:rsid w:val="00F3608B"/>
    <w:rsid w:val="00F36E57"/>
    <w:rsid w:val="00F373FA"/>
    <w:rsid w:val="00F40146"/>
    <w:rsid w:val="00F409AF"/>
    <w:rsid w:val="00F5129F"/>
    <w:rsid w:val="00F53C23"/>
    <w:rsid w:val="00F60151"/>
    <w:rsid w:val="00F62897"/>
    <w:rsid w:val="00F63534"/>
    <w:rsid w:val="00F74778"/>
    <w:rsid w:val="00F749B0"/>
    <w:rsid w:val="00F80C14"/>
    <w:rsid w:val="00F85487"/>
    <w:rsid w:val="00F97020"/>
    <w:rsid w:val="00FA105A"/>
    <w:rsid w:val="00FA6C69"/>
    <w:rsid w:val="00FB0ED7"/>
    <w:rsid w:val="00FB3A39"/>
    <w:rsid w:val="00FB6B90"/>
    <w:rsid w:val="00FB7993"/>
    <w:rsid w:val="00FC0A9F"/>
    <w:rsid w:val="00FD0BA3"/>
    <w:rsid w:val="00FE25ED"/>
    <w:rsid w:val="00FE5F72"/>
    <w:rsid w:val="00FE761B"/>
    <w:rsid w:val="00FF1455"/>
    <w:rsid w:val="015F4109"/>
    <w:rsid w:val="021D391B"/>
    <w:rsid w:val="03112A41"/>
    <w:rsid w:val="03130A11"/>
    <w:rsid w:val="03F90AE6"/>
    <w:rsid w:val="043E488E"/>
    <w:rsid w:val="04DA7483"/>
    <w:rsid w:val="053A63E8"/>
    <w:rsid w:val="0639670C"/>
    <w:rsid w:val="06AC0A08"/>
    <w:rsid w:val="06C515E5"/>
    <w:rsid w:val="06C645D8"/>
    <w:rsid w:val="07675C76"/>
    <w:rsid w:val="07C72E2F"/>
    <w:rsid w:val="084F4AED"/>
    <w:rsid w:val="086F18EA"/>
    <w:rsid w:val="09667F5C"/>
    <w:rsid w:val="09864BCA"/>
    <w:rsid w:val="099312FD"/>
    <w:rsid w:val="0A0C2682"/>
    <w:rsid w:val="0A4D38B3"/>
    <w:rsid w:val="0AA32563"/>
    <w:rsid w:val="0AD27C05"/>
    <w:rsid w:val="0AEB30B8"/>
    <w:rsid w:val="0AF71DB6"/>
    <w:rsid w:val="0B9156DD"/>
    <w:rsid w:val="0BFE15A2"/>
    <w:rsid w:val="0C231496"/>
    <w:rsid w:val="0C874EE1"/>
    <w:rsid w:val="0CC40930"/>
    <w:rsid w:val="0CCD2996"/>
    <w:rsid w:val="0D0802C8"/>
    <w:rsid w:val="0D0B5E0F"/>
    <w:rsid w:val="0D257A91"/>
    <w:rsid w:val="0DA33866"/>
    <w:rsid w:val="0DA9043F"/>
    <w:rsid w:val="0DEB76F2"/>
    <w:rsid w:val="0EA229CD"/>
    <w:rsid w:val="0FCE263A"/>
    <w:rsid w:val="0FF56606"/>
    <w:rsid w:val="102C15DC"/>
    <w:rsid w:val="10790082"/>
    <w:rsid w:val="108F3E01"/>
    <w:rsid w:val="10A90BB5"/>
    <w:rsid w:val="10B349F6"/>
    <w:rsid w:val="10D46A26"/>
    <w:rsid w:val="11315C5B"/>
    <w:rsid w:val="11A4521E"/>
    <w:rsid w:val="11E50338"/>
    <w:rsid w:val="11FF59BF"/>
    <w:rsid w:val="12B15EBF"/>
    <w:rsid w:val="12B5759A"/>
    <w:rsid w:val="12CC1E0B"/>
    <w:rsid w:val="132F7D3F"/>
    <w:rsid w:val="13554C23"/>
    <w:rsid w:val="136C1425"/>
    <w:rsid w:val="13A40F9B"/>
    <w:rsid w:val="13D13EB9"/>
    <w:rsid w:val="153A0202"/>
    <w:rsid w:val="15594E76"/>
    <w:rsid w:val="15BA1700"/>
    <w:rsid w:val="163D39B8"/>
    <w:rsid w:val="16932E9C"/>
    <w:rsid w:val="169A1A92"/>
    <w:rsid w:val="174B0D9F"/>
    <w:rsid w:val="17562080"/>
    <w:rsid w:val="177B477E"/>
    <w:rsid w:val="17A042B9"/>
    <w:rsid w:val="17C0471D"/>
    <w:rsid w:val="180E0CC0"/>
    <w:rsid w:val="181A1D46"/>
    <w:rsid w:val="18283B15"/>
    <w:rsid w:val="1843707B"/>
    <w:rsid w:val="18BA089C"/>
    <w:rsid w:val="18E67433"/>
    <w:rsid w:val="19B450BF"/>
    <w:rsid w:val="19F822EC"/>
    <w:rsid w:val="1A4C52BF"/>
    <w:rsid w:val="1A5503F0"/>
    <w:rsid w:val="1A6B3399"/>
    <w:rsid w:val="1AA07514"/>
    <w:rsid w:val="1ABE6F31"/>
    <w:rsid w:val="1AF26D6C"/>
    <w:rsid w:val="1AFD67FA"/>
    <w:rsid w:val="1B3B0CD5"/>
    <w:rsid w:val="1B507D96"/>
    <w:rsid w:val="1B683762"/>
    <w:rsid w:val="1BA103AC"/>
    <w:rsid w:val="1BE8658C"/>
    <w:rsid w:val="1C551710"/>
    <w:rsid w:val="1C987B51"/>
    <w:rsid w:val="1C9B2A3F"/>
    <w:rsid w:val="1D250EB1"/>
    <w:rsid w:val="1D5D2F1D"/>
    <w:rsid w:val="1D836882"/>
    <w:rsid w:val="1D962818"/>
    <w:rsid w:val="1DE3568D"/>
    <w:rsid w:val="1E580DC1"/>
    <w:rsid w:val="1E8E51A0"/>
    <w:rsid w:val="1E9A1D20"/>
    <w:rsid w:val="1E9E4C6F"/>
    <w:rsid w:val="1EDE7AAE"/>
    <w:rsid w:val="1F160A01"/>
    <w:rsid w:val="1F387B68"/>
    <w:rsid w:val="1F8E4729"/>
    <w:rsid w:val="1FD04999"/>
    <w:rsid w:val="1FD54F7B"/>
    <w:rsid w:val="2006252C"/>
    <w:rsid w:val="20115428"/>
    <w:rsid w:val="20706917"/>
    <w:rsid w:val="212831FA"/>
    <w:rsid w:val="21856D0E"/>
    <w:rsid w:val="21E5750C"/>
    <w:rsid w:val="22785194"/>
    <w:rsid w:val="22805E36"/>
    <w:rsid w:val="231D1783"/>
    <w:rsid w:val="245D38E3"/>
    <w:rsid w:val="24840783"/>
    <w:rsid w:val="249D0564"/>
    <w:rsid w:val="253A423C"/>
    <w:rsid w:val="255426AC"/>
    <w:rsid w:val="25680762"/>
    <w:rsid w:val="25C04C02"/>
    <w:rsid w:val="25D96BB9"/>
    <w:rsid w:val="26506209"/>
    <w:rsid w:val="26A036EA"/>
    <w:rsid w:val="27406324"/>
    <w:rsid w:val="27822DB6"/>
    <w:rsid w:val="27EB40C3"/>
    <w:rsid w:val="28173165"/>
    <w:rsid w:val="284B24CB"/>
    <w:rsid w:val="2889054C"/>
    <w:rsid w:val="28BB6AFD"/>
    <w:rsid w:val="28BF2919"/>
    <w:rsid w:val="299E005F"/>
    <w:rsid w:val="29B70979"/>
    <w:rsid w:val="2A944F41"/>
    <w:rsid w:val="2AFF0827"/>
    <w:rsid w:val="2B0B0423"/>
    <w:rsid w:val="2B31595B"/>
    <w:rsid w:val="2B614E00"/>
    <w:rsid w:val="2BBE56A2"/>
    <w:rsid w:val="2BDE4ADB"/>
    <w:rsid w:val="2BF950DA"/>
    <w:rsid w:val="2C53423F"/>
    <w:rsid w:val="2C6170A5"/>
    <w:rsid w:val="2C737595"/>
    <w:rsid w:val="2C8C73FD"/>
    <w:rsid w:val="2CA326B1"/>
    <w:rsid w:val="2D4060B1"/>
    <w:rsid w:val="2DEC1052"/>
    <w:rsid w:val="2E156474"/>
    <w:rsid w:val="2E3F4F0B"/>
    <w:rsid w:val="2E4F5F03"/>
    <w:rsid w:val="2E664ECD"/>
    <w:rsid w:val="2E795944"/>
    <w:rsid w:val="2F4777E6"/>
    <w:rsid w:val="2F8E7A3B"/>
    <w:rsid w:val="2F8F69AC"/>
    <w:rsid w:val="2FA25307"/>
    <w:rsid w:val="2FBF3CD4"/>
    <w:rsid w:val="2FF748EB"/>
    <w:rsid w:val="300211EF"/>
    <w:rsid w:val="30263335"/>
    <w:rsid w:val="307A5B16"/>
    <w:rsid w:val="30A627B0"/>
    <w:rsid w:val="30EF725D"/>
    <w:rsid w:val="31486275"/>
    <w:rsid w:val="31A8394E"/>
    <w:rsid w:val="31AB2B70"/>
    <w:rsid w:val="31DB3DE6"/>
    <w:rsid w:val="32B5139A"/>
    <w:rsid w:val="32FB18D5"/>
    <w:rsid w:val="331D5956"/>
    <w:rsid w:val="33232F1F"/>
    <w:rsid w:val="33E434B3"/>
    <w:rsid w:val="33EF497A"/>
    <w:rsid w:val="33F45DEE"/>
    <w:rsid w:val="351F7EE3"/>
    <w:rsid w:val="354F70FE"/>
    <w:rsid w:val="35762A79"/>
    <w:rsid w:val="35870510"/>
    <w:rsid w:val="36632192"/>
    <w:rsid w:val="36EE1DC4"/>
    <w:rsid w:val="371D4192"/>
    <w:rsid w:val="3755179A"/>
    <w:rsid w:val="37616C53"/>
    <w:rsid w:val="3762096E"/>
    <w:rsid w:val="37B14443"/>
    <w:rsid w:val="38EB7DEE"/>
    <w:rsid w:val="39401C96"/>
    <w:rsid w:val="3A207518"/>
    <w:rsid w:val="3A543551"/>
    <w:rsid w:val="3A692013"/>
    <w:rsid w:val="3ADA063A"/>
    <w:rsid w:val="3ADF113F"/>
    <w:rsid w:val="3B5D2F3E"/>
    <w:rsid w:val="3B697D2B"/>
    <w:rsid w:val="3BD3405B"/>
    <w:rsid w:val="3C16141A"/>
    <w:rsid w:val="3C44256E"/>
    <w:rsid w:val="3C4C0E90"/>
    <w:rsid w:val="3C803369"/>
    <w:rsid w:val="3CC646F7"/>
    <w:rsid w:val="3D670D63"/>
    <w:rsid w:val="3D7A7812"/>
    <w:rsid w:val="3D8E13DA"/>
    <w:rsid w:val="3DA47435"/>
    <w:rsid w:val="3DE04810"/>
    <w:rsid w:val="3DF172E7"/>
    <w:rsid w:val="3E10092B"/>
    <w:rsid w:val="3E2508BD"/>
    <w:rsid w:val="3E7567F3"/>
    <w:rsid w:val="3E9271F4"/>
    <w:rsid w:val="3F3101B5"/>
    <w:rsid w:val="3FBC3142"/>
    <w:rsid w:val="40244528"/>
    <w:rsid w:val="40CB7E13"/>
    <w:rsid w:val="40F04CFC"/>
    <w:rsid w:val="41403D89"/>
    <w:rsid w:val="416168A9"/>
    <w:rsid w:val="418A4550"/>
    <w:rsid w:val="418B241C"/>
    <w:rsid w:val="421745BE"/>
    <w:rsid w:val="42262E69"/>
    <w:rsid w:val="42AE3CB4"/>
    <w:rsid w:val="42CA0090"/>
    <w:rsid w:val="4349035A"/>
    <w:rsid w:val="43C2058B"/>
    <w:rsid w:val="43C27B98"/>
    <w:rsid w:val="4427252A"/>
    <w:rsid w:val="448E10FE"/>
    <w:rsid w:val="452F1176"/>
    <w:rsid w:val="45341814"/>
    <w:rsid w:val="453531D2"/>
    <w:rsid w:val="45F2042B"/>
    <w:rsid w:val="46074774"/>
    <w:rsid w:val="46943789"/>
    <w:rsid w:val="473070C1"/>
    <w:rsid w:val="47542F0B"/>
    <w:rsid w:val="478A2318"/>
    <w:rsid w:val="479D19FB"/>
    <w:rsid w:val="47C27E51"/>
    <w:rsid w:val="47D8081E"/>
    <w:rsid w:val="48286F77"/>
    <w:rsid w:val="485049F7"/>
    <w:rsid w:val="49290EBF"/>
    <w:rsid w:val="49E04914"/>
    <w:rsid w:val="49EA57FA"/>
    <w:rsid w:val="4A2E3BD3"/>
    <w:rsid w:val="4A442B1E"/>
    <w:rsid w:val="4B221649"/>
    <w:rsid w:val="4B285C9E"/>
    <w:rsid w:val="4B355626"/>
    <w:rsid w:val="4B684435"/>
    <w:rsid w:val="4B8148DD"/>
    <w:rsid w:val="4C421C73"/>
    <w:rsid w:val="4CF114C9"/>
    <w:rsid w:val="4CFB4554"/>
    <w:rsid w:val="4D7E1EBA"/>
    <w:rsid w:val="4DA72024"/>
    <w:rsid w:val="4DDF048D"/>
    <w:rsid w:val="4E196BBC"/>
    <w:rsid w:val="4ED17C3D"/>
    <w:rsid w:val="4EDE412D"/>
    <w:rsid w:val="4EE118B8"/>
    <w:rsid w:val="4F552C88"/>
    <w:rsid w:val="4FD84503"/>
    <w:rsid w:val="501B4B30"/>
    <w:rsid w:val="503C6D48"/>
    <w:rsid w:val="50E3241A"/>
    <w:rsid w:val="50ED096D"/>
    <w:rsid w:val="510E6F3F"/>
    <w:rsid w:val="512F1441"/>
    <w:rsid w:val="516C7D38"/>
    <w:rsid w:val="51B86C95"/>
    <w:rsid w:val="51C27D36"/>
    <w:rsid w:val="51DB35C2"/>
    <w:rsid w:val="51EB3B4D"/>
    <w:rsid w:val="523276B0"/>
    <w:rsid w:val="52570549"/>
    <w:rsid w:val="52BB1BB0"/>
    <w:rsid w:val="52C84070"/>
    <w:rsid w:val="52EC21A1"/>
    <w:rsid w:val="52EE211C"/>
    <w:rsid w:val="533A5CDF"/>
    <w:rsid w:val="539F04E6"/>
    <w:rsid w:val="53A5521A"/>
    <w:rsid w:val="53C2756F"/>
    <w:rsid w:val="54681ECE"/>
    <w:rsid w:val="54845A24"/>
    <w:rsid w:val="553948CE"/>
    <w:rsid w:val="55927F4A"/>
    <w:rsid w:val="56692FD1"/>
    <w:rsid w:val="56B9264C"/>
    <w:rsid w:val="57B67488"/>
    <w:rsid w:val="57DA1460"/>
    <w:rsid w:val="58321583"/>
    <w:rsid w:val="584525CF"/>
    <w:rsid w:val="585E72A6"/>
    <w:rsid w:val="58B7483E"/>
    <w:rsid w:val="58EB6B8A"/>
    <w:rsid w:val="59353AD1"/>
    <w:rsid w:val="594C4847"/>
    <w:rsid w:val="5984210B"/>
    <w:rsid w:val="59A728E8"/>
    <w:rsid w:val="59D831CB"/>
    <w:rsid w:val="5A067F12"/>
    <w:rsid w:val="5A853B90"/>
    <w:rsid w:val="5A8C1376"/>
    <w:rsid w:val="5A957839"/>
    <w:rsid w:val="5B2003E6"/>
    <w:rsid w:val="5B4358BA"/>
    <w:rsid w:val="5B465534"/>
    <w:rsid w:val="5BAC7BD6"/>
    <w:rsid w:val="5BED4A53"/>
    <w:rsid w:val="5C0420D4"/>
    <w:rsid w:val="5C933896"/>
    <w:rsid w:val="5CA92B49"/>
    <w:rsid w:val="5D0631CD"/>
    <w:rsid w:val="5D325409"/>
    <w:rsid w:val="5D4973C8"/>
    <w:rsid w:val="5D713524"/>
    <w:rsid w:val="5DAE288D"/>
    <w:rsid w:val="5DC4015B"/>
    <w:rsid w:val="5DF57AE2"/>
    <w:rsid w:val="5E2F6BED"/>
    <w:rsid w:val="5E3971AC"/>
    <w:rsid w:val="5ED61BA9"/>
    <w:rsid w:val="5EF36F7A"/>
    <w:rsid w:val="5EF66ECF"/>
    <w:rsid w:val="5F126946"/>
    <w:rsid w:val="5F202555"/>
    <w:rsid w:val="5F360478"/>
    <w:rsid w:val="5FE873D0"/>
    <w:rsid w:val="60D72DF5"/>
    <w:rsid w:val="61BB3AB3"/>
    <w:rsid w:val="61E24585"/>
    <w:rsid w:val="622017FD"/>
    <w:rsid w:val="625405BD"/>
    <w:rsid w:val="64961943"/>
    <w:rsid w:val="651A5177"/>
    <w:rsid w:val="66F67298"/>
    <w:rsid w:val="67212171"/>
    <w:rsid w:val="677B7AD3"/>
    <w:rsid w:val="679873FD"/>
    <w:rsid w:val="67FF4D19"/>
    <w:rsid w:val="680138BE"/>
    <w:rsid w:val="68036093"/>
    <w:rsid w:val="68270D00"/>
    <w:rsid w:val="68E44C83"/>
    <w:rsid w:val="68FF178A"/>
    <w:rsid w:val="693E784B"/>
    <w:rsid w:val="698414AB"/>
    <w:rsid w:val="6AD65FE8"/>
    <w:rsid w:val="6B4E5287"/>
    <w:rsid w:val="6B783DDA"/>
    <w:rsid w:val="6B7C6025"/>
    <w:rsid w:val="6BA3608B"/>
    <w:rsid w:val="6BBC3D1C"/>
    <w:rsid w:val="6C346B2E"/>
    <w:rsid w:val="6C3B4FD0"/>
    <w:rsid w:val="6C3F060F"/>
    <w:rsid w:val="6C705F6D"/>
    <w:rsid w:val="6CED2E22"/>
    <w:rsid w:val="6D135354"/>
    <w:rsid w:val="6D172E93"/>
    <w:rsid w:val="6DA044B0"/>
    <w:rsid w:val="6DA62B86"/>
    <w:rsid w:val="6DE416BB"/>
    <w:rsid w:val="6F2A0D09"/>
    <w:rsid w:val="6F561D3C"/>
    <w:rsid w:val="6FEA2AB7"/>
    <w:rsid w:val="7067798F"/>
    <w:rsid w:val="707B20FC"/>
    <w:rsid w:val="70AD6E71"/>
    <w:rsid w:val="70B949D4"/>
    <w:rsid w:val="71651C4B"/>
    <w:rsid w:val="7187780D"/>
    <w:rsid w:val="725517B3"/>
    <w:rsid w:val="72710EC7"/>
    <w:rsid w:val="72B66CB8"/>
    <w:rsid w:val="73B15321"/>
    <w:rsid w:val="73BE3A62"/>
    <w:rsid w:val="741C519C"/>
    <w:rsid w:val="74C517D1"/>
    <w:rsid w:val="74C94C63"/>
    <w:rsid w:val="74FC3819"/>
    <w:rsid w:val="75095CAE"/>
    <w:rsid w:val="752C5111"/>
    <w:rsid w:val="757C7FD0"/>
    <w:rsid w:val="759A0127"/>
    <w:rsid w:val="76086D93"/>
    <w:rsid w:val="76196E11"/>
    <w:rsid w:val="764B0D5A"/>
    <w:rsid w:val="764E742B"/>
    <w:rsid w:val="76674E34"/>
    <w:rsid w:val="773612F6"/>
    <w:rsid w:val="773A77D7"/>
    <w:rsid w:val="776677F3"/>
    <w:rsid w:val="777B3AF3"/>
    <w:rsid w:val="77853A88"/>
    <w:rsid w:val="77D05953"/>
    <w:rsid w:val="7854279B"/>
    <w:rsid w:val="789355CA"/>
    <w:rsid w:val="78AF6E36"/>
    <w:rsid w:val="78F13953"/>
    <w:rsid w:val="78FA4DA0"/>
    <w:rsid w:val="79B67100"/>
    <w:rsid w:val="79C270CA"/>
    <w:rsid w:val="79D004A5"/>
    <w:rsid w:val="7B816579"/>
    <w:rsid w:val="7BFC435E"/>
    <w:rsid w:val="7C8F4DBF"/>
    <w:rsid w:val="7CBE210E"/>
    <w:rsid w:val="7CE111F7"/>
    <w:rsid w:val="7D8C52EB"/>
    <w:rsid w:val="7DCC1688"/>
    <w:rsid w:val="7E0C382D"/>
    <w:rsid w:val="7E8B7BBA"/>
    <w:rsid w:val="7EBA71AB"/>
    <w:rsid w:val="7ECB046D"/>
    <w:rsid w:val="7ED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Document Map"/>
    <w:basedOn w:val="1"/>
    <w:semiHidden/>
    <w:qFormat/>
    <w:uiPriority w:val="0"/>
    <w:pPr>
      <w:shd w:val="clear" w:color="auto" w:fill="000080"/>
    </w:pPr>
  </w:style>
  <w:style w:type="paragraph" w:styleId="19">
    <w:name w:val="annotation text"/>
    <w:basedOn w:val="1"/>
    <w:link w:val="117"/>
    <w:qFormat/>
    <w:uiPriority w:val="0"/>
    <w:pPr>
      <w:jc w:val="left"/>
    </w:pPr>
  </w:style>
  <w:style w:type="paragraph" w:styleId="20">
    <w:name w:val="HTML Address"/>
    <w:basedOn w:val="1"/>
    <w:qFormat/>
    <w:uiPriority w:val="0"/>
    <w:rPr>
      <w:i/>
      <w:iCs/>
    </w:rPr>
  </w:style>
  <w:style w:type="paragraph" w:styleId="21">
    <w:name w:val="Plain Text"/>
    <w:basedOn w:val="1"/>
    <w:link w:val="116"/>
    <w:qFormat/>
    <w:uiPriority w:val="0"/>
    <w:rPr>
      <w:rFonts w:ascii="宋体" w:hAnsi="Courier New"/>
      <w:szCs w:val="20"/>
    </w:rPr>
  </w:style>
  <w:style w:type="paragraph" w:styleId="22">
    <w:name w:val="toc 8"/>
    <w:basedOn w:val="11"/>
    <w:next w:val="1"/>
    <w:semiHidden/>
    <w:qFormat/>
    <w:uiPriority w:val="0"/>
  </w:style>
  <w:style w:type="paragraph" w:styleId="23">
    <w:name w:val="Date"/>
    <w:basedOn w:val="1"/>
    <w:next w:val="1"/>
    <w:qFormat/>
    <w:uiPriority w:val="0"/>
    <w:pPr>
      <w:ind w:left="100" w:leftChars="2500"/>
    </w:pPr>
  </w:style>
  <w:style w:type="paragraph" w:styleId="24">
    <w:name w:val="Balloon Text"/>
    <w:basedOn w:val="1"/>
    <w:semiHidden/>
    <w:qFormat/>
    <w:uiPriority w:val="0"/>
    <w:rPr>
      <w:sz w:val="18"/>
      <w:szCs w:val="18"/>
    </w:rPr>
  </w:style>
  <w:style w:type="paragraph" w:styleId="25">
    <w:name w:val="footer"/>
    <w:basedOn w:val="1"/>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next w:val="1"/>
    <w:semiHidden/>
    <w:qFormat/>
    <w:uiPriority w:val="0"/>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9"/>
    <w:next w:val="19"/>
    <w:link w:val="118"/>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rPr>
      <w:rFonts w:ascii="Times New Roman" w:hAnsi="Times New Roman" w:eastAsia="宋体"/>
      <w:sz w:val="18"/>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3"/>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annotation reference"/>
    <w:basedOn w:val="33"/>
    <w:qFormat/>
    <w:uiPriority w:val="0"/>
    <w:rPr>
      <w:sz w:val="21"/>
      <w:szCs w:val="21"/>
    </w:rPr>
  </w:style>
  <w:style w:type="character" w:styleId="41">
    <w:name w:val="footnote reference"/>
    <w:semiHidden/>
    <w:qFormat/>
    <w:uiPriority w:val="0"/>
    <w:rPr>
      <w:vertAlign w:val="superscript"/>
    </w:rPr>
  </w:style>
  <w:style w:type="character" w:styleId="42">
    <w:name w:val="HTML Keyboard"/>
    <w:qFormat/>
    <w:uiPriority w:val="0"/>
    <w:rPr>
      <w:rFonts w:ascii="Courier New" w:hAnsi="Courier New"/>
      <w:sz w:val="20"/>
      <w:szCs w:val="20"/>
    </w:rPr>
  </w:style>
  <w:style w:type="character" w:styleId="43">
    <w:name w:val="HTML Sample"/>
    <w:qFormat/>
    <w:uiPriority w:val="0"/>
    <w:rPr>
      <w:rFonts w:ascii="Courier New" w:hAnsi="Courier New"/>
    </w:rPr>
  </w:style>
  <w:style w:type="character" w:customStyle="1" w:styleId="44">
    <w:name w:val="HTML 站点"/>
    <w:qFormat/>
    <w:uiPriority w:val="0"/>
    <w:rPr>
      <w:i/>
      <w:iCs/>
    </w:rPr>
  </w:style>
  <w:style w:type="character" w:customStyle="1" w:styleId="45">
    <w:name w:val="个人答复风格"/>
    <w:qFormat/>
    <w:uiPriority w:val="0"/>
    <w:rPr>
      <w:rFonts w:ascii="Arial" w:hAnsi="Arial" w:eastAsia="宋体" w:cs="Arial"/>
      <w:color w:val="auto"/>
      <w:sz w:val="20"/>
    </w:rPr>
  </w:style>
  <w:style w:type="character" w:customStyle="1" w:styleId="46">
    <w:name w:val="段 Char"/>
    <w:link w:val="47"/>
    <w:qFormat/>
    <w:uiPriority w:val="0"/>
    <w:rPr>
      <w:rFonts w:ascii="宋体"/>
      <w:sz w:val="21"/>
      <w:lang w:val="en-US" w:eastAsia="zh-CN" w:bidi="ar-SA"/>
    </w:rPr>
  </w:style>
  <w:style w:type="paragraph" w:customStyle="1" w:styleId="47">
    <w:name w:val="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8">
    <w:name w:val="个人撰写风格"/>
    <w:qFormat/>
    <w:uiPriority w:val="0"/>
    <w:rPr>
      <w:rFonts w:ascii="Arial" w:hAnsi="Arial" w:eastAsia="宋体" w:cs="Arial"/>
      <w:color w:val="auto"/>
      <w:sz w:val="20"/>
    </w:rPr>
  </w:style>
  <w:style w:type="character" w:customStyle="1" w:styleId="49">
    <w:name w:val="high-light-bg4"/>
    <w:qFormat/>
    <w:uiPriority w:val="0"/>
  </w:style>
  <w:style w:type="character" w:customStyle="1" w:styleId="50">
    <w:name w:val="HTML 编码"/>
    <w:qFormat/>
    <w:uiPriority w:val="0"/>
    <w:rPr>
      <w:rFonts w:ascii="Courier New" w:hAnsi="Courier New"/>
      <w:sz w:val="20"/>
      <w:szCs w:val="20"/>
    </w:rPr>
  </w:style>
  <w:style w:type="character" w:customStyle="1" w:styleId="51">
    <w:name w:val="发布"/>
    <w:qFormat/>
    <w:uiPriority w:val="0"/>
    <w:rPr>
      <w:rFonts w:ascii="黑体" w:eastAsia="黑体"/>
      <w:spacing w:val="22"/>
      <w:w w:val="100"/>
      <w:position w:val="3"/>
      <w:sz w:val="28"/>
    </w:rPr>
  </w:style>
  <w:style w:type="paragraph" w:customStyle="1" w:styleId="5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
    <w:name w:val="封面标准号2"/>
    <w:basedOn w:val="52"/>
    <w:qFormat/>
    <w:uiPriority w:val="0"/>
    <w:pPr>
      <w:framePr w:w="9138" w:h="1244" w:hRule="exact" w:wrap="around" w:vAnchor="page" w:hAnchor="margin" w:y="2908"/>
      <w:adjustRightInd w:val="0"/>
      <w:spacing w:before="357" w:line="280" w:lineRule="exact"/>
    </w:p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7">
    <w:name w:val="附录图标题"/>
    <w:next w:val="47"/>
    <w:qFormat/>
    <w:uiPriority w:val="0"/>
    <w:pPr>
      <w:jc w:val="center"/>
    </w:pPr>
    <w:rPr>
      <w:rFonts w:ascii="黑体" w:hAnsi="Times New Roman" w:eastAsia="黑体" w:cs="Times New Roman"/>
      <w:sz w:val="21"/>
      <w:lang w:val="en-US" w:eastAsia="zh-CN" w:bidi="ar-SA"/>
    </w:rPr>
  </w:style>
  <w:style w:type="paragraph" w:customStyle="1" w:styleId="58">
    <w:name w:val="附录二级条标题"/>
    <w:basedOn w:val="59"/>
    <w:next w:val="47"/>
    <w:qFormat/>
    <w:uiPriority w:val="0"/>
    <w:pPr>
      <w:numPr>
        <w:ilvl w:val="3"/>
      </w:numPr>
      <w:outlineLvl w:val="3"/>
    </w:pPr>
  </w:style>
  <w:style w:type="paragraph" w:customStyle="1" w:styleId="59">
    <w:name w:val="附录一级条标题"/>
    <w:basedOn w:val="60"/>
    <w:next w:val="47"/>
    <w:qFormat/>
    <w:uiPriority w:val="0"/>
    <w:pPr>
      <w:numPr>
        <w:ilvl w:val="2"/>
      </w:numPr>
      <w:autoSpaceDN w:val="0"/>
      <w:spacing w:before="0" w:beforeLines="0" w:after="0" w:afterLines="0"/>
      <w:outlineLvl w:val="2"/>
    </w:pPr>
  </w:style>
  <w:style w:type="paragraph" w:customStyle="1" w:styleId="60">
    <w:name w:val="附录章标题"/>
    <w:next w:val="47"/>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1">
    <w:name w:val="实施日期"/>
    <w:basedOn w:val="62"/>
    <w:qFormat/>
    <w:uiPriority w:val="0"/>
    <w:pPr>
      <w:framePr w:hSpace="0" w:wrap="around" w:xAlign="right"/>
      <w:jc w:val="right"/>
    </w:pPr>
  </w:style>
  <w:style w:type="paragraph" w:customStyle="1" w:styleId="6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3">
    <w:name w:val="封面正文"/>
    <w:qFormat/>
    <w:uiPriority w:val="0"/>
    <w:pPr>
      <w:jc w:val="both"/>
    </w:pPr>
    <w:rPr>
      <w:rFonts w:ascii="Times New Roman" w:hAnsi="Times New Roman" w:eastAsia="宋体" w:cs="Times New Roman"/>
      <w:lang w:val="en-US" w:eastAsia="zh-CN" w:bidi="ar-SA"/>
    </w:rPr>
  </w:style>
  <w:style w:type="paragraph" w:customStyle="1" w:styleId="6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5">
    <w:name w:val="附录四级条标题"/>
    <w:basedOn w:val="66"/>
    <w:next w:val="47"/>
    <w:qFormat/>
    <w:uiPriority w:val="0"/>
    <w:pPr>
      <w:numPr>
        <w:ilvl w:val="5"/>
      </w:numPr>
      <w:outlineLvl w:val="5"/>
    </w:pPr>
  </w:style>
  <w:style w:type="paragraph" w:customStyle="1" w:styleId="66">
    <w:name w:val="附录三级条标题"/>
    <w:basedOn w:val="58"/>
    <w:next w:val="47"/>
    <w:qFormat/>
    <w:uiPriority w:val="0"/>
    <w:pPr>
      <w:numPr>
        <w:ilvl w:val="4"/>
      </w:numPr>
      <w:outlineLvl w:val="4"/>
    </w:pPr>
  </w:style>
  <w:style w:type="paragraph" w:customStyle="1" w:styleId="67">
    <w:name w:val="注×："/>
    <w:qFormat/>
    <w:uiPriority w:val="0"/>
    <w:pPr>
      <w:widowControl w:val="0"/>
      <w:numPr>
        <w:ilvl w:val="0"/>
        <w:numId w:val="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68">
    <w:name w:val="条文脚注"/>
    <w:basedOn w:val="27"/>
    <w:qFormat/>
    <w:uiPriority w:val="0"/>
    <w:pPr>
      <w:ind w:left="780" w:leftChars="200" w:hanging="360" w:hangingChars="200"/>
      <w:jc w:val="both"/>
    </w:pPr>
    <w:rPr>
      <w:rFonts w:ascii="宋体"/>
    </w:rPr>
  </w:style>
  <w:style w:type="paragraph" w:customStyle="1" w:styleId="69">
    <w:name w:val="注："/>
    <w:next w:val="47"/>
    <w:qFormat/>
    <w:uiPriority w:val="0"/>
    <w:pPr>
      <w:widowControl w:val="0"/>
      <w:numPr>
        <w:ilvl w:val="0"/>
        <w:numId w:val="3"/>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7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1">
    <w:name w:val="发布部门"/>
    <w:next w:val="4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2">
    <w:name w:val="参考文献、索引标题"/>
    <w:basedOn w:val="73"/>
    <w:next w:val="1"/>
    <w:qFormat/>
    <w:uiPriority w:val="0"/>
    <w:pPr>
      <w:numPr>
        <w:numId w:val="0"/>
      </w:numPr>
      <w:spacing w:after="200"/>
    </w:pPr>
    <w:rPr>
      <w:sz w:val="21"/>
    </w:rPr>
  </w:style>
  <w:style w:type="paragraph" w:customStyle="1" w:styleId="73">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4">
    <w:name w:val="章标题"/>
    <w:next w:val="47"/>
    <w:qFormat/>
    <w:uiPriority w:val="0"/>
    <w:pPr>
      <w:numPr>
        <w:ilvl w:val="1"/>
        <w:numId w:val="4"/>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7">
    <w:name w:val="五级条标题"/>
    <w:basedOn w:val="78"/>
    <w:next w:val="47"/>
    <w:qFormat/>
    <w:uiPriority w:val="0"/>
    <w:pPr>
      <w:numPr>
        <w:ilvl w:val="6"/>
      </w:numPr>
      <w:outlineLvl w:val="6"/>
    </w:pPr>
  </w:style>
  <w:style w:type="paragraph" w:customStyle="1" w:styleId="78">
    <w:name w:val="四级条标题"/>
    <w:basedOn w:val="79"/>
    <w:next w:val="47"/>
    <w:qFormat/>
    <w:uiPriority w:val="0"/>
    <w:pPr>
      <w:numPr>
        <w:ilvl w:val="5"/>
      </w:numPr>
      <w:outlineLvl w:val="5"/>
    </w:pPr>
  </w:style>
  <w:style w:type="paragraph" w:customStyle="1" w:styleId="79">
    <w:name w:val="三级条标题"/>
    <w:basedOn w:val="80"/>
    <w:next w:val="47"/>
    <w:qFormat/>
    <w:uiPriority w:val="0"/>
    <w:pPr>
      <w:numPr>
        <w:ilvl w:val="4"/>
      </w:numPr>
      <w:outlineLvl w:val="4"/>
    </w:pPr>
  </w:style>
  <w:style w:type="paragraph" w:customStyle="1" w:styleId="80">
    <w:name w:val="二级条标题"/>
    <w:basedOn w:val="81"/>
    <w:next w:val="47"/>
    <w:qFormat/>
    <w:uiPriority w:val="0"/>
    <w:pPr>
      <w:numPr>
        <w:ilvl w:val="3"/>
      </w:numPr>
      <w:outlineLvl w:val="3"/>
    </w:pPr>
  </w:style>
  <w:style w:type="paragraph" w:customStyle="1" w:styleId="81">
    <w:name w:val="一级条标题"/>
    <w:basedOn w:val="74"/>
    <w:next w:val="47"/>
    <w:qFormat/>
    <w:uiPriority w:val="0"/>
    <w:pPr>
      <w:numPr>
        <w:ilvl w:val="2"/>
        <w:numId w:val="0"/>
      </w:numPr>
      <w:spacing w:before="0" w:beforeLines="0" w:after="0" w:afterLines="0"/>
      <w:outlineLvl w:val="2"/>
    </w:pPr>
  </w:style>
  <w:style w:type="paragraph" w:customStyle="1" w:styleId="82">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83">
    <w:name w:val="无标题条"/>
    <w:next w:val="47"/>
    <w:qFormat/>
    <w:uiPriority w:val="0"/>
    <w:pPr>
      <w:jc w:val="both"/>
    </w:pPr>
    <w:rPr>
      <w:rFonts w:ascii="Times New Roman" w:hAnsi="Times New Roman" w:eastAsia="宋体" w:cs="Times New Roman"/>
      <w:sz w:val="21"/>
      <w:lang w:val="en-US" w:eastAsia="zh-CN" w:bidi="ar-SA"/>
    </w:rPr>
  </w:style>
  <w:style w:type="paragraph" w:customStyle="1" w:styleId="8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二级无标题条"/>
    <w:basedOn w:val="1"/>
    <w:qFormat/>
    <w:uiPriority w:val="0"/>
    <w:pPr>
      <w:numPr>
        <w:ilvl w:val="3"/>
        <w:numId w:val="5"/>
      </w:numPr>
    </w:pPr>
  </w:style>
  <w:style w:type="paragraph" w:customStyle="1" w:styleId="8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7">
    <w:name w:val="正文表标题"/>
    <w:next w:val="4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88">
    <w:name w:val="一级无标题条"/>
    <w:basedOn w:val="1"/>
    <w:qFormat/>
    <w:uiPriority w:val="0"/>
    <w:pPr>
      <w:numPr>
        <w:ilvl w:val="2"/>
        <w:numId w:val="5"/>
      </w:numPr>
    </w:pPr>
  </w:style>
  <w:style w:type="paragraph" w:customStyle="1" w:styleId="89">
    <w:name w:val="列项——"/>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90">
    <w:name w:val="示例"/>
    <w:next w:val="47"/>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2">
    <w:name w:val="附录表标题"/>
    <w:next w:val="4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3">
    <w:name w:val="四级无标题条"/>
    <w:basedOn w:val="1"/>
    <w:qFormat/>
    <w:uiPriority w:val="0"/>
    <w:pPr>
      <w:numPr>
        <w:ilvl w:val="5"/>
        <w:numId w:val="5"/>
      </w:numPr>
    </w:pPr>
  </w:style>
  <w:style w:type="paragraph" w:customStyle="1" w:styleId="94">
    <w:name w:val="封面标准代替信息"/>
    <w:basedOn w:val="53"/>
    <w:qFormat/>
    <w:uiPriority w:val="0"/>
    <w:pPr>
      <w:framePr w:wrap="around"/>
      <w:spacing w:before="57"/>
    </w:pPr>
    <w:rPr>
      <w:rFonts w:ascii="宋体"/>
      <w:sz w:val="21"/>
    </w:rPr>
  </w:style>
  <w:style w:type="paragraph" w:customStyle="1" w:styleId="9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6">
    <w:name w:val="列项·"/>
    <w:qFormat/>
    <w:uiPriority w:val="0"/>
    <w:pPr>
      <w:numPr>
        <w:ilvl w:val="0"/>
        <w:numId w:val="9"/>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97">
    <w:name w:val="附录五级条标题"/>
    <w:basedOn w:val="65"/>
    <w:next w:val="47"/>
    <w:qFormat/>
    <w:uiPriority w:val="0"/>
    <w:pPr>
      <w:numPr>
        <w:ilvl w:val="6"/>
      </w:numPr>
      <w:outlineLvl w:val="6"/>
    </w:p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HTML 预先格式化"/>
    <w:basedOn w:val="1"/>
    <w:qFormat/>
    <w:uiPriority w:val="0"/>
    <w:rPr>
      <w:rFonts w:ascii="Courier New" w:hAnsi="Courier New" w:cs="楷体_GB2312"/>
      <w:sz w:val="20"/>
      <w:szCs w:val="20"/>
    </w:rPr>
  </w:style>
  <w:style w:type="paragraph" w:customStyle="1" w:styleId="100">
    <w:name w:val="标准书眉_偶数页"/>
    <w:basedOn w:val="101"/>
    <w:next w:val="1"/>
    <w:qFormat/>
    <w:uiPriority w:val="0"/>
    <w:pPr>
      <w:tabs>
        <w:tab w:val="center" w:pos="4154"/>
        <w:tab w:val="right" w:pos="8306"/>
      </w:tabs>
      <w:jc w:val="left"/>
    </w:pPr>
  </w:style>
  <w:style w:type="paragraph" w:customStyle="1" w:styleId="10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2">
    <w:name w:val="正文图标题"/>
    <w:next w:val="47"/>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4">
    <w:name w:val="五级无标题条"/>
    <w:basedOn w:val="1"/>
    <w:qFormat/>
    <w:uiPriority w:val="0"/>
    <w:pPr>
      <w:numPr>
        <w:ilvl w:val="6"/>
        <w:numId w:val="5"/>
      </w:numPr>
    </w:pPr>
  </w:style>
  <w:style w:type="paragraph" w:customStyle="1" w:styleId="105">
    <w:name w:val="其他发布部门"/>
    <w:basedOn w:val="71"/>
    <w:qFormat/>
    <w:uiPriority w:val="0"/>
    <w:pPr>
      <w:framePr w:wrap="around"/>
      <w:spacing w:line="0" w:lineRule="atLeast"/>
    </w:pPr>
    <w:rPr>
      <w:rFonts w:ascii="黑体" w:eastAsia="黑体"/>
      <w:b w:val="0"/>
    </w:rPr>
  </w:style>
  <w:style w:type="paragraph" w:customStyle="1" w:styleId="106">
    <w:name w:val="三级无标题条"/>
    <w:basedOn w:val="1"/>
    <w:qFormat/>
    <w:uiPriority w:val="0"/>
    <w:pPr>
      <w:numPr>
        <w:ilvl w:val="4"/>
        <w:numId w:val="5"/>
      </w:numPr>
    </w:pPr>
  </w:style>
  <w:style w:type="paragraph" w:customStyle="1" w:styleId="107">
    <w:name w:val="标准"/>
    <w:basedOn w:val="1"/>
    <w:qFormat/>
    <w:uiPriority w:val="0"/>
    <w:pPr>
      <w:adjustRightInd w:val="0"/>
      <w:spacing w:line="312" w:lineRule="atLeast"/>
      <w:jc w:val="center"/>
      <w:textAlignment w:val="baseline"/>
    </w:pPr>
    <w:rPr>
      <w:kern w:val="0"/>
      <w:szCs w:val="20"/>
    </w:rPr>
  </w:style>
  <w:style w:type="paragraph" w:customStyle="1" w:styleId="108">
    <w:name w:val="目次、标准名称标题"/>
    <w:basedOn w:val="73"/>
    <w:next w:val="47"/>
    <w:qFormat/>
    <w:uiPriority w:val="0"/>
    <w:pPr>
      <w:numPr>
        <w:numId w:val="0"/>
      </w:numPr>
      <w:spacing w:line="460" w:lineRule="exact"/>
    </w:pPr>
  </w:style>
  <w:style w:type="paragraph" w:customStyle="1" w:styleId="109">
    <w:name w:val="图表脚注"/>
    <w:next w:val="4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0">
    <w:name w:val="附录标识"/>
    <w:basedOn w:val="73"/>
    <w:qFormat/>
    <w:uiPriority w:val="0"/>
    <w:pPr>
      <w:numPr>
        <w:ilvl w:val="0"/>
        <w:numId w:val="1"/>
      </w:numPr>
      <w:tabs>
        <w:tab w:val="left" w:pos="6405"/>
      </w:tabs>
      <w:spacing w:after="200"/>
    </w:pPr>
    <w:rPr>
      <w:sz w:val="21"/>
    </w:rPr>
  </w:style>
  <w:style w:type="paragraph" w:customStyle="1" w:styleId="11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table" w:customStyle="1" w:styleId="113">
    <w:name w:val="网格型1"/>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4">
    <w:name w:val="List Paragraph"/>
    <w:basedOn w:val="1"/>
    <w:qFormat/>
    <w:uiPriority w:val="34"/>
    <w:pPr>
      <w:ind w:firstLine="420" w:firstLineChars="200"/>
    </w:pPr>
  </w:style>
  <w:style w:type="character" w:styleId="115">
    <w:name w:val="Placeholder Text"/>
    <w:basedOn w:val="33"/>
    <w:unhideWhenUsed/>
    <w:qFormat/>
    <w:uiPriority w:val="99"/>
    <w:rPr>
      <w:color w:val="808080"/>
    </w:rPr>
  </w:style>
  <w:style w:type="character" w:customStyle="1" w:styleId="116">
    <w:name w:val="纯文本 字符"/>
    <w:link w:val="21"/>
    <w:qFormat/>
    <w:uiPriority w:val="0"/>
    <w:rPr>
      <w:rFonts w:ascii="宋体" w:hAnsi="Courier New"/>
      <w:kern w:val="2"/>
      <w:sz w:val="21"/>
    </w:rPr>
  </w:style>
  <w:style w:type="character" w:customStyle="1" w:styleId="117">
    <w:name w:val="批注文字 字符"/>
    <w:basedOn w:val="33"/>
    <w:link w:val="19"/>
    <w:qFormat/>
    <w:uiPriority w:val="0"/>
    <w:rPr>
      <w:kern w:val="2"/>
      <w:sz w:val="21"/>
      <w:szCs w:val="24"/>
    </w:rPr>
  </w:style>
  <w:style w:type="character" w:customStyle="1" w:styleId="118">
    <w:name w:val="批注主题 字符"/>
    <w:basedOn w:val="117"/>
    <w:link w:val="30"/>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6311BB-04E2-4B9A-BF2C-0CDAC8A83314}">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11</Pages>
  <Words>4865</Words>
  <Characters>6255</Characters>
  <Lines>54</Lines>
  <Paragraphs>15</Paragraphs>
  <TotalTime>0</TotalTime>
  <ScaleCrop>false</ScaleCrop>
  <LinksUpToDate>false</LinksUpToDate>
  <CharactersWithSpaces>6433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2022-06-14T07:18:00Z</dcterms:created>
  <dc:creator>赣州有色冶金研究所有限公司</dc:creator>
  <cp:lastModifiedBy>大海</cp:lastModifiedBy>
  <cp:lastPrinted>2022-06-04T01:58:00Z</cp:lastPrinted>
  <dcterms:modified xsi:type="dcterms:W3CDTF">2024-10-31T04:00:58Z</dcterms:modified>
  <dc:title>前    言</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2EF53F995ED349719C14652D4FBCFEE0_13</vt:lpwstr>
  </property>
</Properties>
</file>