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AA2A3">
      <w:pPr>
        <w:pStyle w:val="24"/>
        <w:adjustRightInd w:val="0"/>
        <w:snapToGrid w:val="0"/>
        <w:spacing w:before="156" w:beforeLines="50" w:line="360" w:lineRule="auto"/>
        <w:jc w:val="center"/>
        <w:rPr>
          <w:rFonts w:hint="eastAsia" w:ascii="黑体" w:eastAsia="黑体"/>
          <w:sz w:val="28"/>
          <w:szCs w:val="28"/>
        </w:rPr>
      </w:pPr>
      <w:r>
        <w:rPr>
          <w:rFonts w:hint="eastAsia" w:ascii="黑体" w:eastAsia="黑体"/>
          <w:sz w:val="28"/>
          <w:szCs w:val="28"/>
        </w:rPr>
        <w:t xml:space="preserve">稀土国家标准《稀土金属及其氧化物中非稀土杂质化学分析方法    </w:t>
      </w:r>
    </w:p>
    <w:p w14:paraId="2AE457D0">
      <w:pPr>
        <w:pStyle w:val="24"/>
        <w:adjustRightInd w:val="0"/>
        <w:snapToGrid w:val="0"/>
        <w:spacing w:before="156" w:beforeLines="50" w:line="360" w:lineRule="auto"/>
        <w:jc w:val="center"/>
        <w:rPr>
          <w:sz w:val="28"/>
          <w:szCs w:val="28"/>
        </w:rPr>
      </w:pPr>
      <w:r>
        <w:rPr>
          <w:rFonts w:hint="eastAsia" w:ascii="黑体" w:eastAsia="黑体"/>
          <w:sz w:val="28"/>
          <w:szCs w:val="28"/>
        </w:rPr>
        <w:t>第1</w:t>
      </w:r>
      <w:r>
        <w:rPr>
          <w:rFonts w:hint="eastAsia" w:ascii="黑体" w:eastAsia="黑体"/>
          <w:color w:val="000000" w:themeColor="text1"/>
          <w:sz w:val="28"/>
          <w:szCs w:val="28"/>
          <w:lang w:val="en-US" w:eastAsia="zh-CN"/>
          <w14:textFill>
            <w14:solidFill>
              <w14:schemeClr w14:val="tx1"/>
            </w14:solidFill>
          </w14:textFill>
        </w:rPr>
        <w:t>1</w:t>
      </w:r>
      <w:r>
        <w:rPr>
          <w:rFonts w:hint="eastAsia" w:ascii="黑体" w:eastAsia="黑体"/>
          <w:sz w:val="28"/>
          <w:szCs w:val="28"/>
        </w:rPr>
        <w:t>部分</w:t>
      </w:r>
      <w:r>
        <w:rPr>
          <w:rFonts w:hint="eastAsia" w:ascii="黑体" w:eastAsia="黑体"/>
          <w:sz w:val="28"/>
          <w:szCs w:val="28"/>
          <w:lang w:val="en-US" w:eastAsia="zh-CN"/>
        </w:rPr>
        <w:t xml:space="preserve"> </w:t>
      </w:r>
      <w:r>
        <w:rPr>
          <w:rFonts w:hint="eastAsia" w:ascii="黑体" w:eastAsia="黑体"/>
          <w:sz w:val="28"/>
          <w:szCs w:val="28"/>
          <w:lang w:eastAsia="zh-CN"/>
        </w:rPr>
        <w:t>镁量的测定</w:t>
      </w:r>
      <w:r>
        <w:rPr>
          <w:rFonts w:hint="eastAsia" w:ascii="黑体" w:eastAsia="黑体"/>
          <w:sz w:val="28"/>
          <w:szCs w:val="28"/>
          <w:lang w:val="en-US" w:eastAsia="zh-CN"/>
        </w:rPr>
        <w:t xml:space="preserve"> 火焰原子吸收光谱法</w:t>
      </w:r>
      <w:r>
        <w:rPr>
          <w:rFonts w:hint="eastAsia" w:ascii="黑体" w:eastAsia="黑体"/>
          <w:sz w:val="28"/>
          <w:szCs w:val="28"/>
        </w:rPr>
        <w:t>》</w:t>
      </w:r>
      <w:r>
        <w:rPr>
          <w:rFonts w:hint="eastAsia" w:ascii="黑体" w:eastAsia="黑体"/>
          <w:sz w:val="28"/>
          <w:szCs w:val="28"/>
          <w:lang w:val="en-US" w:eastAsia="zh-CN"/>
        </w:rPr>
        <w:t>(送审稿）</w:t>
      </w:r>
      <w:r>
        <w:rPr>
          <w:rFonts w:hint="eastAsia" w:ascii="黑体" w:eastAsia="黑体"/>
          <w:sz w:val="28"/>
          <w:szCs w:val="28"/>
        </w:rPr>
        <w:t>编制说明</w:t>
      </w:r>
    </w:p>
    <w:p w14:paraId="044C4B43">
      <w:pPr>
        <w:adjustRightInd w:val="0"/>
        <w:snapToGrid w:val="0"/>
        <w:spacing w:before="312" w:beforeLines="100" w:line="360" w:lineRule="auto"/>
        <w:rPr>
          <w:rFonts w:hint="eastAsia" w:ascii="宋体" w:hAnsi="宋体" w:eastAsia="宋体" w:cs="宋体"/>
          <w:b/>
          <w:bCs/>
          <w:szCs w:val="21"/>
        </w:rPr>
      </w:pPr>
      <w:r>
        <w:rPr>
          <w:rFonts w:hint="eastAsia" w:ascii="宋体" w:hAnsi="宋体" w:eastAsia="宋体" w:cs="宋体"/>
          <w:b/>
          <w:bCs/>
          <w:szCs w:val="21"/>
        </w:rPr>
        <w:t>一、工作简况</w:t>
      </w:r>
    </w:p>
    <w:p w14:paraId="40EDD24F">
      <w:pPr>
        <w:adjustRightInd w:val="0"/>
        <w:snapToGrid w:val="0"/>
        <w:spacing w:line="360" w:lineRule="auto"/>
        <w:rPr>
          <w:rFonts w:hint="eastAsia" w:ascii="宋体" w:hAnsi="宋体" w:eastAsia="宋体" w:cs="宋体"/>
          <w:szCs w:val="21"/>
        </w:rPr>
      </w:pPr>
      <w:r>
        <w:rPr>
          <w:rFonts w:hint="eastAsia" w:ascii="宋体" w:hAnsi="宋体" w:eastAsia="宋体" w:cs="宋体"/>
          <w:b/>
          <w:bCs/>
          <w:szCs w:val="21"/>
          <w:lang w:val="en-US" w:eastAsia="zh-CN"/>
        </w:rPr>
        <w:t xml:space="preserve">1. </w:t>
      </w:r>
      <w:r>
        <w:rPr>
          <w:rFonts w:hint="eastAsia" w:ascii="宋体" w:hAnsi="宋体" w:eastAsia="宋体" w:cs="宋体"/>
          <w:b/>
          <w:bCs/>
          <w:szCs w:val="21"/>
        </w:rPr>
        <w:t>任务来源</w:t>
      </w:r>
    </w:p>
    <w:p w14:paraId="5FD2AF98">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2022年初</w:t>
      </w:r>
      <w:r>
        <w:rPr>
          <w:rFonts w:hint="eastAsia" w:ascii="宋体" w:hAnsi="宋体" w:eastAsia="宋体" w:cs="宋体"/>
          <w:szCs w:val="21"/>
          <w:highlight w:val="none"/>
          <w:lang w:eastAsia="zh-CN"/>
        </w:rPr>
        <w:t>江阴加华新材料资源有限公司</w:t>
      </w:r>
      <w:r>
        <w:rPr>
          <w:rFonts w:hint="eastAsia" w:ascii="宋体" w:hAnsi="宋体" w:eastAsia="宋体" w:cs="宋体"/>
          <w:szCs w:val="21"/>
          <w:highlight w:val="none"/>
        </w:rPr>
        <w:t>向稀标委提出了</w:t>
      </w:r>
      <w:r>
        <w:rPr>
          <w:rFonts w:hint="eastAsia" w:ascii="宋体" w:hAnsi="宋体" w:eastAsia="宋体" w:cs="宋体"/>
          <w:szCs w:val="21"/>
          <w:highlight w:val="none"/>
          <w:lang w:eastAsia="zh-CN"/>
        </w:rPr>
        <w:t>《</w:t>
      </w:r>
      <w:r>
        <w:rPr>
          <w:rFonts w:hint="eastAsia" w:ascii="宋体" w:hAnsi="宋体" w:eastAsia="宋体" w:cs="宋体"/>
          <w:szCs w:val="21"/>
          <w:highlight w:val="none"/>
        </w:rPr>
        <w:t>稀土金属及其氧化物中非稀土杂质化学分析方法第1</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部分</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镁量的测定</w:t>
      </w:r>
      <w:r>
        <w:rPr>
          <w:rFonts w:hint="eastAsia" w:ascii="宋体" w:hAnsi="宋体" w:eastAsia="宋体" w:cs="宋体"/>
          <w:szCs w:val="21"/>
          <w:highlight w:val="none"/>
          <w:lang w:val="en-US" w:eastAsia="zh-CN"/>
        </w:rPr>
        <w:t xml:space="preserve"> 火焰</w:t>
      </w:r>
      <w:r>
        <w:rPr>
          <w:rFonts w:hint="eastAsia" w:ascii="宋体" w:hAnsi="宋体" w:eastAsia="宋体" w:cs="宋体"/>
          <w:szCs w:val="21"/>
          <w:highlight w:val="none"/>
          <w:lang w:eastAsia="zh-CN"/>
        </w:rPr>
        <w:t>原子吸收光谱法</w:t>
      </w:r>
      <w:r>
        <w:rPr>
          <w:rFonts w:hint="eastAsia" w:ascii="宋体" w:hAnsi="宋体" w:eastAsia="宋体" w:cs="宋体"/>
          <w:szCs w:val="21"/>
          <w:highlight w:val="none"/>
        </w:rPr>
        <w:t>》修订建议，国标委</w:t>
      </w:r>
      <w:r>
        <w:rPr>
          <w:rFonts w:hint="eastAsia" w:ascii="宋体" w:hAnsi="宋体" w:eastAsia="宋体" w:cs="宋体"/>
          <w:szCs w:val="21"/>
          <w:highlight w:val="none"/>
          <w:lang w:eastAsia="zh-CN"/>
        </w:rPr>
        <w:t>于</w:t>
      </w:r>
      <w:r>
        <w:rPr>
          <w:rFonts w:hint="eastAsia" w:ascii="宋体" w:hAnsi="宋体" w:eastAsia="宋体" w:cs="宋体"/>
          <w:szCs w:val="21"/>
          <w:highlight w:val="none"/>
        </w:rPr>
        <w:t>20</w:t>
      </w:r>
      <w:r>
        <w:rPr>
          <w:rFonts w:hint="eastAsia" w:ascii="宋体" w:hAnsi="宋体" w:eastAsia="宋体" w:cs="宋体"/>
          <w:szCs w:val="21"/>
          <w:highlight w:val="none"/>
          <w:lang w:val="en-US" w:eastAsia="zh-CN"/>
        </w:rPr>
        <w:t>23</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12月</w:t>
      </w:r>
      <w:r>
        <w:rPr>
          <w:rFonts w:hint="eastAsia" w:ascii="宋体" w:hAnsi="宋体" w:eastAsia="宋体" w:cs="宋体"/>
          <w:szCs w:val="21"/>
          <w:highlight w:val="none"/>
        </w:rPr>
        <w:t>下达</w:t>
      </w:r>
      <w:r>
        <w:rPr>
          <w:rFonts w:hint="eastAsia" w:ascii="宋体" w:hAnsi="宋体" w:eastAsia="宋体" w:cs="宋体"/>
          <w:szCs w:val="21"/>
          <w:highlight w:val="none"/>
          <w:lang w:eastAsia="zh-CN"/>
        </w:rPr>
        <w:t>了</w:t>
      </w:r>
      <w:r>
        <w:rPr>
          <w:rFonts w:hint="eastAsia" w:ascii="宋体" w:hAnsi="宋体" w:eastAsia="宋体" w:cs="宋体"/>
          <w:szCs w:val="21"/>
          <w:highlight w:val="none"/>
        </w:rPr>
        <w:t>《稀土金属及其氧化物中非稀土杂质化学分析方法第</w:t>
      </w: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部分：</w:t>
      </w:r>
      <w:r>
        <w:rPr>
          <w:rFonts w:hint="eastAsia" w:ascii="宋体" w:hAnsi="宋体" w:eastAsia="宋体" w:cs="宋体"/>
          <w:szCs w:val="21"/>
          <w:highlight w:val="none"/>
          <w:lang w:eastAsia="zh-CN"/>
        </w:rPr>
        <w:t>镁</w:t>
      </w:r>
      <w:r>
        <w:rPr>
          <w:rFonts w:hint="eastAsia" w:ascii="宋体" w:hAnsi="宋体" w:eastAsia="宋体" w:cs="宋体"/>
          <w:szCs w:val="21"/>
          <w:highlight w:val="none"/>
        </w:rPr>
        <w:t>量的测定</w:t>
      </w:r>
      <w:r>
        <w:rPr>
          <w:rFonts w:hint="eastAsia" w:ascii="宋体" w:hAnsi="宋体" w:eastAsia="宋体" w:cs="宋体"/>
          <w:szCs w:val="21"/>
          <w:highlight w:val="none"/>
          <w:lang w:val="en-US" w:eastAsia="zh-CN"/>
        </w:rPr>
        <w:t xml:space="preserve"> 火焰原子吸收光谱法</w:t>
      </w:r>
      <w:r>
        <w:rPr>
          <w:rFonts w:hint="eastAsia" w:ascii="宋体" w:hAnsi="宋体" w:eastAsia="宋体" w:cs="宋体"/>
          <w:szCs w:val="21"/>
          <w:highlight w:val="none"/>
        </w:rPr>
        <w:t>》</w:t>
      </w:r>
      <w:r>
        <w:rPr>
          <w:rFonts w:hint="eastAsia" w:ascii="宋体" w:hAnsi="宋体" w:eastAsia="宋体" w:cs="宋体"/>
          <w:szCs w:val="21"/>
          <w:highlight w:val="none"/>
          <w:lang w:eastAsia="zh-CN"/>
        </w:rPr>
        <w:t>修订计划，</w:t>
      </w:r>
      <w:r>
        <w:rPr>
          <w:rFonts w:hint="eastAsia" w:ascii="宋体" w:hAnsi="宋体" w:eastAsia="宋体" w:cs="宋体"/>
          <w:szCs w:val="21"/>
          <w:highlight w:val="none"/>
        </w:rPr>
        <w:t>计划编号:20</w:t>
      </w:r>
      <w:r>
        <w:rPr>
          <w:rFonts w:hint="eastAsia" w:ascii="宋体" w:hAnsi="宋体" w:eastAsia="宋体" w:cs="宋体"/>
          <w:szCs w:val="21"/>
          <w:highlight w:val="none"/>
          <w:lang w:val="en-US" w:eastAsia="zh-CN"/>
        </w:rPr>
        <w:t>231304</w:t>
      </w:r>
      <w:r>
        <w:rPr>
          <w:rFonts w:hint="eastAsia" w:ascii="宋体" w:hAnsi="宋体" w:eastAsia="宋体" w:cs="宋体"/>
          <w:szCs w:val="21"/>
          <w:highlight w:val="none"/>
        </w:rPr>
        <w:t>-T-469,项目周期</w:t>
      </w:r>
      <w:r>
        <w:rPr>
          <w:rFonts w:hint="eastAsia" w:ascii="宋体" w:hAnsi="宋体" w:eastAsia="宋体" w:cs="宋体"/>
          <w:szCs w:val="21"/>
          <w:highlight w:val="none"/>
          <w:lang w:val="en-US" w:eastAsia="zh-CN"/>
        </w:rPr>
        <w:t>16</w:t>
      </w:r>
      <w:r>
        <w:rPr>
          <w:rFonts w:hint="eastAsia" w:ascii="宋体" w:hAnsi="宋体" w:eastAsia="宋体" w:cs="宋体"/>
          <w:szCs w:val="21"/>
          <w:highlight w:val="none"/>
        </w:rPr>
        <w:t>个月</w:t>
      </w:r>
      <w:r>
        <w:rPr>
          <w:rFonts w:hint="eastAsia" w:ascii="宋体" w:hAnsi="宋体" w:eastAsia="宋体" w:cs="宋体"/>
          <w:szCs w:val="21"/>
          <w:highlight w:val="none"/>
          <w:lang w:eastAsia="zh-CN"/>
        </w:rPr>
        <w:t>，</w:t>
      </w:r>
      <w:r>
        <w:rPr>
          <w:rFonts w:hint="eastAsia" w:ascii="宋体" w:hAnsi="宋体" w:eastAsia="宋体" w:cs="宋体"/>
          <w:szCs w:val="21"/>
          <w:highlight w:val="none"/>
        </w:rPr>
        <w:t>项目由全国稀土标准技术委员会归口</w:t>
      </w:r>
      <w:r>
        <w:rPr>
          <w:rFonts w:hint="eastAsia" w:ascii="宋体" w:hAnsi="宋体" w:eastAsia="宋体" w:cs="宋体"/>
          <w:szCs w:val="21"/>
          <w:highlight w:val="none"/>
          <w:lang w:eastAsia="zh-CN"/>
        </w:rPr>
        <w:t>。</w:t>
      </w:r>
    </w:p>
    <w:p w14:paraId="5F9FFEDF">
      <w:pPr>
        <w:numPr>
          <w:ilvl w:val="0"/>
          <w:numId w:val="0"/>
        </w:numPr>
        <w:shd w:val="clear"/>
        <w:adjustRightInd w:val="0"/>
        <w:snapToGrid w:val="0"/>
        <w:spacing w:line="360" w:lineRule="auto"/>
        <w:jc w:val="both"/>
        <w:rPr>
          <w:rFonts w:hint="eastAsia" w:ascii="Arial" w:hAnsi="Arial" w:cs="Arial" w:eastAsiaTheme="minorEastAsia"/>
          <w:b/>
          <w:bCs/>
          <w:szCs w:val="21"/>
          <w:highlight w:val="none"/>
          <w:lang w:val="en-US" w:eastAsia="zh-CN"/>
        </w:rPr>
      </w:pPr>
      <w:r>
        <w:rPr>
          <w:rFonts w:hint="eastAsia" w:ascii="Arial" w:hAnsi="Arial" w:cs="Arial" w:eastAsiaTheme="minorEastAsia"/>
          <w:b/>
          <w:bCs/>
          <w:szCs w:val="21"/>
          <w:highlight w:val="none"/>
          <w:lang w:val="en-US" w:eastAsia="zh-CN"/>
        </w:rPr>
        <w:t>2. 项目编制组简况</w:t>
      </w:r>
    </w:p>
    <w:p w14:paraId="459E889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Arial" w:hAnsi="Arial" w:cs="Arial" w:eastAsiaTheme="minorEastAsia"/>
          <w:szCs w:val="21"/>
          <w:highlight w:val="none"/>
          <w:lang w:val="en-US" w:eastAsia="zh-CN"/>
        </w:rPr>
      </w:pPr>
      <w:r>
        <w:rPr>
          <w:rFonts w:hint="eastAsia" w:ascii="Arial" w:hAnsi="Arial" w:cs="Arial" w:eastAsiaTheme="minorEastAsia"/>
          <w:szCs w:val="21"/>
          <w:highlight w:val="none"/>
          <w:lang w:val="en-US" w:eastAsia="zh-CN"/>
        </w:rPr>
        <w:t xml:space="preserve">    项目编制组由江阴加华新材料资源有限公司、中稀（凉山）稀土有限公司、国家钨与稀土产品质量监督检验中心、定南大华新材料资源有限公司、国瑞科创稀土功能材料（赣州）有限公司、包头市三隆稀有金属材料有限责任公司、包头市宏博特科技有限责任公司组成。</w:t>
      </w:r>
    </w:p>
    <w:p w14:paraId="17E03FDB">
      <w:pPr>
        <w:numPr>
          <w:ilvl w:val="0"/>
          <w:numId w:val="3"/>
        </w:numPr>
        <w:bidi w:val="0"/>
        <w:spacing w:line="360" w:lineRule="auto"/>
        <w:rPr>
          <w:rFonts w:hint="eastAsia"/>
          <w:b/>
          <w:bCs/>
          <w:highlight w:val="none"/>
        </w:rPr>
      </w:pPr>
      <w:r>
        <w:rPr>
          <w:rFonts w:hint="eastAsia"/>
          <w:b/>
          <w:bCs/>
          <w:highlight w:val="none"/>
        </w:rPr>
        <w:t>主要参加单位和工作成员及其所作的工作</w:t>
      </w:r>
      <w:r>
        <w:rPr>
          <w:rFonts w:hint="eastAsia"/>
          <w:b/>
          <w:bCs/>
          <w:highlight w:val="none"/>
          <w:lang w:eastAsia="zh-CN"/>
        </w:rPr>
        <w:t>情况</w:t>
      </w:r>
    </w:p>
    <w:p w14:paraId="2B15AF38">
      <w:pPr>
        <w:numPr>
          <w:ilvl w:val="0"/>
          <w:numId w:val="0"/>
        </w:numPr>
        <w:bidi w:val="0"/>
        <w:spacing w:line="360" w:lineRule="auto"/>
        <w:rPr>
          <w:rFonts w:hint="eastAsia"/>
          <w:b/>
          <w:bCs/>
          <w:highlight w:val="none"/>
        </w:rPr>
      </w:pPr>
      <w:r>
        <w:rPr>
          <w:rFonts w:hint="eastAsia"/>
          <w:b/>
          <w:bCs/>
          <w:highlight w:val="none"/>
          <w:lang w:val="en-US" w:eastAsia="zh-CN"/>
        </w:rPr>
        <w:t>3.1</w:t>
      </w:r>
      <w:r>
        <w:rPr>
          <w:rFonts w:hint="eastAsia"/>
          <w:b/>
          <w:bCs/>
          <w:highlight w:val="none"/>
        </w:rPr>
        <w:t>主要参加单位情况</w:t>
      </w:r>
    </w:p>
    <w:p w14:paraId="01C4FD4B">
      <w:pPr>
        <w:pStyle w:val="51"/>
        <w:keepNext w:val="0"/>
        <w:keepLines w:val="0"/>
        <w:pageBreakBefore w:val="0"/>
        <w:widowControl w:val="0"/>
        <w:shd w:val="clear"/>
        <w:kinsoku/>
        <w:wordWrap/>
        <w:overflowPunct/>
        <w:topLinePunct w:val="0"/>
        <w:autoSpaceDE/>
        <w:autoSpaceDN/>
        <w:bidi w:val="0"/>
        <w:adjustRightInd/>
        <w:snapToGrid/>
        <w:spacing w:line="360" w:lineRule="auto"/>
        <w:ind w:firstLine="422"/>
        <w:textAlignment w:val="auto"/>
        <w:rPr>
          <w:rFonts w:hint="eastAsia" w:ascii="宋体" w:hAnsi="宋体" w:eastAsia="宋体" w:cs="宋体"/>
          <w:highlight w:val="none"/>
          <w:lang w:eastAsia="zh-CN"/>
        </w:rPr>
      </w:pPr>
      <w:r>
        <w:rPr>
          <w:rFonts w:hint="eastAsia" w:ascii="宋体" w:hAnsi="宋体" w:eastAsia="宋体" w:cs="宋体"/>
          <w:b/>
          <w:bCs/>
          <w:kern w:val="0"/>
          <w:highlight w:val="none"/>
        </w:rPr>
        <w:t>江阴加华新材料资源有限公司</w:t>
      </w:r>
      <w:r>
        <w:rPr>
          <w:rFonts w:hint="eastAsia" w:ascii="宋体" w:hAnsi="宋体" w:eastAsia="宋体" w:cs="宋体"/>
          <w:b/>
          <w:bCs/>
          <w:kern w:val="0"/>
          <w:highlight w:val="none"/>
          <w:lang w:val="en-US" w:eastAsia="zh-CN"/>
        </w:rPr>
        <w:t>:</w:t>
      </w:r>
      <w:r>
        <w:rPr>
          <w:rFonts w:hint="eastAsia" w:ascii="宋体" w:hAnsi="宋体" w:eastAsia="宋体" w:cs="宋体"/>
          <w:highlight w:val="none"/>
        </w:rPr>
        <w:t>本项目负责起草单位</w:t>
      </w:r>
      <w:r>
        <w:rPr>
          <w:rFonts w:hint="eastAsia" w:ascii="宋体" w:hAnsi="宋体" w:eastAsia="宋体" w:cs="宋体"/>
          <w:highlight w:val="none"/>
          <w:lang w:val="en-US" w:eastAsia="zh-CN"/>
        </w:rPr>
        <w:t>,</w:t>
      </w:r>
      <w:r>
        <w:rPr>
          <w:rFonts w:hint="eastAsia" w:ascii="宋体" w:hAnsi="宋体" w:eastAsia="宋体" w:cs="宋体"/>
          <w:highlight w:val="none"/>
        </w:rPr>
        <w:t>公司成立于1993年。许可经营项目：生产稀土产品、氧化锆及锆盐产品（不含工业盐）。 公司现有各类规格的产品100多种，公司</w:t>
      </w:r>
      <w:r>
        <w:rPr>
          <w:rFonts w:hint="eastAsia" w:ascii="宋体" w:hAnsi="宋体" w:eastAsia="宋体" w:cs="宋体"/>
          <w:highlight w:val="none"/>
          <w:lang w:eastAsia="zh-CN"/>
        </w:rPr>
        <w:t>拥有</w:t>
      </w:r>
      <w:r>
        <w:rPr>
          <w:rFonts w:hint="eastAsia" w:ascii="宋体" w:hAnsi="宋体" w:eastAsia="宋体" w:cs="宋体"/>
          <w:highlight w:val="none"/>
        </w:rPr>
        <w:t>各种专利</w:t>
      </w:r>
      <w:r>
        <w:rPr>
          <w:rFonts w:hint="eastAsia" w:ascii="宋体" w:hAnsi="宋体" w:eastAsia="宋体" w:cs="宋体"/>
          <w:highlight w:val="none"/>
          <w:lang w:eastAsia="zh-CN"/>
        </w:rPr>
        <w:t>超</w:t>
      </w:r>
      <w:r>
        <w:rPr>
          <w:rFonts w:hint="eastAsia" w:ascii="宋体" w:hAnsi="宋体" w:eastAsia="宋体" w:cs="宋体"/>
          <w:highlight w:val="none"/>
        </w:rPr>
        <w:t>70项，其中发明专利</w:t>
      </w:r>
      <w:r>
        <w:rPr>
          <w:rFonts w:hint="eastAsia" w:ascii="宋体" w:hAnsi="宋体" w:eastAsia="宋体" w:cs="宋体"/>
          <w:highlight w:val="none"/>
          <w:lang w:eastAsia="zh-CN"/>
        </w:rPr>
        <w:t>超</w:t>
      </w:r>
      <w:r>
        <w:rPr>
          <w:rFonts w:hint="eastAsia" w:ascii="宋体" w:hAnsi="宋体" w:eastAsia="宋体" w:cs="宋体"/>
          <w:highlight w:val="none"/>
        </w:rPr>
        <w:t>10项，</w:t>
      </w:r>
      <w:r>
        <w:rPr>
          <w:rFonts w:hint="eastAsia" w:ascii="宋体" w:hAnsi="宋体" w:eastAsia="宋体" w:cs="宋体"/>
          <w:highlight w:val="none"/>
          <w:lang w:eastAsia="zh-CN"/>
        </w:rPr>
        <w:t>主要</w:t>
      </w:r>
      <w:r>
        <w:rPr>
          <w:rFonts w:hint="eastAsia" w:ascii="宋体" w:hAnsi="宋体" w:eastAsia="宋体" w:cs="宋体"/>
          <w:highlight w:val="none"/>
        </w:rPr>
        <w:t>专利产品有：高性能磷酸laCeTb、超高纯氧化钇、小粒度大比表面积氧化钇、低钍高振密度氧化镥等，产品质量在国际国内均处于领先水平。公司检测实验室2005年</w:t>
      </w:r>
      <w:r>
        <w:rPr>
          <w:rFonts w:hint="eastAsia" w:ascii="宋体" w:hAnsi="宋体" w:eastAsia="宋体" w:cs="宋体"/>
          <w:highlight w:val="none"/>
          <w:lang w:eastAsia="zh-CN"/>
        </w:rPr>
        <w:t>获得</w:t>
      </w:r>
      <w:r>
        <w:rPr>
          <w:rFonts w:hint="eastAsia" w:ascii="宋体" w:hAnsi="宋体" w:eastAsia="宋体" w:cs="宋体"/>
          <w:highlight w:val="none"/>
        </w:rPr>
        <w:t>国家认可委认可，同年</w:t>
      </w:r>
      <w:r>
        <w:rPr>
          <w:rFonts w:hint="eastAsia" w:ascii="宋体" w:hAnsi="宋体" w:eastAsia="宋体" w:cs="宋体"/>
          <w:highlight w:val="none"/>
          <w:lang w:eastAsia="zh-CN"/>
        </w:rPr>
        <w:t>由</w:t>
      </w:r>
      <w:r>
        <w:rPr>
          <w:rFonts w:hint="eastAsia" w:ascii="宋体" w:hAnsi="宋体" w:eastAsia="宋体" w:cs="宋体"/>
          <w:highlight w:val="none"/>
        </w:rPr>
        <w:t>国家发改委认可为国家稀土标准样品研制单位。检测实验室</w:t>
      </w:r>
      <w:r>
        <w:rPr>
          <w:rFonts w:hint="eastAsia" w:ascii="宋体" w:hAnsi="宋体" w:eastAsia="宋体" w:cs="宋体"/>
          <w:highlight w:val="none"/>
          <w:lang w:eastAsia="zh-CN"/>
        </w:rPr>
        <w:t>于</w:t>
      </w:r>
      <w:r>
        <w:rPr>
          <w:rFonts w:hint="eastAsia" w:ascii="宋体" w:hAnsi="宋体" w:eastAsia="宋体" w:cs="宋体"/>
          <w:highlight w:val="none"/>
          <w:lang w:val="en-US" w:eastAsia="zh-CN"/>
        </w:rPr>
        <w:t>1998年开始参与国家标准的制修订工作，至今分别独立完成了</w:t>
      </w:r>
      <w:r>
        <w:rPr>
          <w:rFonts w:hint="eastAsia" w:ascii="宋体" w:hAnsi="宋体" w:eastAsia="宋体" w:cs="宋体"/>
          <w:highlight w:val="none"/>
        </w:rPr>
        <w:t>18项稀土国家标准分析方法</w:t>
      </w:r>
      <w:r>
        <w:rPr>
          <w:rFonts w:hint="eastAsia" w:ascii="宋体" w:hAnsi="宋体" w:eastAsia="宋体" w:cs="宋体"/>
          <w:highlight w:val="none"/>
          <w:lang w:eastAsia="zh-CN"/>
        </w:rPr>
        <w:t>、</w:t>
      </w:r>
      <w:r>
        <w:rPr>
          <w:rFonts w:hint="eastAsia" w:ascii="宋体" w:hAnsi="宋体" w:eastAsia="宋体" w:cs="宋体"/>
          <w:highlight w:val="none"/>
        </w:rPr>
        <w:t>7</w:t>
      </w:r>
      <w:r>
        <w:rPr>
          <w:rFonts w:hint="eastAsia" w:ascii="宋体" w:hAnsi="宋体" w:eastAsia="宋体" w:cs="宋体"/>
          <w:highlight w:val="none"/>
          <w:lang w:eastAsia="zh-CN"/>
        </w:rPr>
        <w:t>项</w:t>
      </w:r>
      <w:r>
        <w:rPr>
          <w:rFonts w:hint="eastAsia" w:ascii="宋体" w:hAnsi="宋体" w:eastAsia="宋体" w:cs="宋体"/>
          <w:highlight w:val="none"/>
        </w:rPr>
        <w:t>国家产品标准</w:t>
      </w:r>
      <w:r>
        <w:rPr>
          <w:rFonts w:hint="eastAsia" w:ascii="宋体" w:hAnsi="宋体" w:eastAsia="宋体" w:cs="宋体"/>
          <w:highlight w:val="none"/>
          <w:lang w:eastAsia="zh-CN"/>
        </w:rPr>
        <w:t>和</w:t>
      </w:r>
      <w:r>
        <w:rPr>
          <w:rFonts w:hint="eastAsia" w:ascii="宋体" w:hAnsi="宋体" w:eastAsia="宋体" w:cs="宋体"/>
          <w:highlight w:val="none"/>
        </w:rPr>
        <w:t>2项</w:t>
      </w:r>
      <w:r>
        <w:rPr>
          <w:rFonts w:hint="eastAsia" w:ascii="宋体" w:hAnsi="宋体" w:cs="宋体"/>
          <w:highlight w:val="none"/>
          <w:lang w:eastAsia="zh-CN"/>
        </w:rPr>
        <w:t>稀土</w:t>
      </w:r>
      <w:r>
        <w:rPr>
          <w:rFonts w:hint="eastAsia" w:ascii="宋体" w:hAnsi="宋体" w:eastAsia="宋体" w:cs="宋体"/>
          <w:highlight w:val="none"/>
        </w:rPr>
        <w:t>基础标准</w:t>
      </w:r>
      <w:r>
        <w:rPr>
          <w:rFonts w:hint="eastAsia" w:ascii="宋体" w:hAnsi="宋体" w:cs="宋体"/>
          <w:highlight w:val="none"/>
          <w:lang w:eastAsia="zh-CN"/>
        </w:rPr>
        <w:t>（其中</w:t>
      </w:r>
      <w:r>
        <w:rPr>
          <w:rFonts w:hint="eastAsia" w:ascii="宋体" w:hAnsi="宋体" w:cs="宋体"/>
          <w:highlight w:val="none"/>
          <w:lang w:val="en-US" w:eastAsia="zh-CN"/>
        </w:rPr>
        <w:t>1项为强标</w:t>
      </w:r>
      <w:r>
        <w:rPr>
          <w:rFonts w:hint="eastAsia" w:ascii="宋体" w:hAnsi="宋体" w:cs="宋体"/>
          <w:highlight w:val="none"/>
          <w:lang w:eastAsia="zh-CN"/>
        </w:rPr>
        <w:t>）</w:t>
      </w:r>
      <w:r>
        <w:rPr>
          <w:rFonts w:hint="eastAsia" w:ascii="宋体" w:hAnsi="宋体" w:eastAsia="宋体" w:cs="宋体"/>
          <w:highlight w:val="none"/>
        </w:rPr>
        <w:t>起草</w:t>
      </w:r>
      <w:r>
        <w:rPr>
          <w:rFonts w:hint="eastAsia" w:ascii="宋体" w:hAnsi="宋体" w:cs="宋体"/>
          <w:highlight w:val="none"/>
          <w:lang w:eastAsia="zh-CN"/>
        </w:rPr>
        <w:t>工作，参与</w:t>
      </w:r>
      <w:r>
        <w:rPr>
          <w:rFonts w:hint="eastAsia" w:ascii="宋体" w:hAnsi="宋体" w:eastAsia="宋体" w:cs="宋体"/>
          <w:highlight w:val="none"/>
        </w:rPr>
        <w:t>合作制、修订国家标准和行业产品标准</w:t>
      </w:r>
      <w:r>
        <w:rPr>
          <w:rFonts w:hint="eastAsia" w:ascii="宋体" w:hAnsi="宋体" w:eastAsia="宋体" w:cs="宋体"/>
          <w:highlight w:val="none"/>
          <w:lang w:val="en-US" w:eastAsia="zh-CN"/>
        </w:rPr>
        <w:t>40</w:t>
      </w:r>
      <w:r>
        <w:rPr>
          <w:rFonts w:hint="eastAsia" w:ascii="宋体" w:hAnsi="宋体" w:eastAsia="宋体" w:cs="宋体"/>
          <w:highlight w:val="none"/>
        </w:rPr>
        <w:t>多</w:t>
      </w:r>
      <w:r>
        <w:rPr>
          <w:rFonts w:hint="eastAsia" w:ascii="宋体" w:hAnsi="宋体" w:eastAsia="宋体" w:cs="宋体"/>
          <w:highlight w:val="none"/>
          <w:lang w:eastAsia="zh-CN"/>
        </w:rPr>
        <w:t>项</w:t>
      </w:r>
      <w:r>
        <w:rPr>
          <w:rFonts w:hint="eastAsia" w:ascii="宋体" w:hAnsi="宋体" w:eastAsia="宋体" w:cs="宋体"/>
          <w:highlight w:val="none"/>
        </w:rPr>
        <w:t>。</w:t>
      </w:r>
      <w:r>
        <w:rPr>
          <w:rFonts w:hint="eastAsia" w:ascii="宋体" w:hAnsi="宋体" w:eastAsia="宋体" w:cs="宋体"/>
          <w:highlight w:val="none"/>
          <w:lang w:eastAsia="zh-CN"/>
        </w:rPr>
        <w:t>作为稀土标样研制单位，分别顺利完成了</w:t>
      </w:r>
      <w:r>
        <w:rPr>
          <w:rFonts w:hint="eastAsia" w:ascii="宋体" w:hAnsi="宋体" w:eastAsia="宋体" w:cs="宋体"/>
          <w:highlight w:val="none"/>
        </w:rPr>
        <w:t>3个系列的国家级标准样品</w:t>
      </w:r>
      <w:r>
        <w:rPr>
          <w:rFonts w:hint="eastAsia" w:ascii="宋体" w:hAnsi="宋体" w:eastAsia="宋体" w:cs="宋体"/>
          <w:highlight w:val="none"/>
          <w:lang w:eastAsia="zh-CN"/>
        </w:rPr>
        <w:t>的研制工作。</w:t>
      </w:r>
    </w:p>
    <w:p w14:paraId="50BA624C">
      <w:pPr>
        <w:pStyle w:val="51"/>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rPr>
      </w:pPr>
      <w:r>
        <w:rPr>
          <w:rFonts w:hint="eastAsia" w:ascii="宋体" w:hAnsi="宋体" w:eastAsia="宋体" w:cs="宋体"/>
        </w:rPr>
        <w:t>目前</w:t>
      </w:r>
      <w:r>
        <w:rPr>
          <w:rFonts w:hint="eastAsia" w:ascii="宋体" w:hAnsi="宋体" w:eastAsia="宋体" w:cs="宋体"/>
          <w:lang w:eastAsia="zh-CN"/>
        </w:rPr>
        <w:t>本公司及检测实验室仍</w:t>
      </w:r>
      <w:r>
        <w:rPr>
          <w:rFonts w:hint="eastAsia" w:ascii="宋体" w:hAnsi="宋体" w:eastAsia="宋体" w:cs="宋体"/>
        </w:rPr>
        <w:t>承担着多项国家稀土标准及相关课题的起草、研究工作。</w:t>
      </w:r>
    </w:p>
    <w:p w14:paraId="3A0B3AC0">
      <w:pPr>
        <w:spacing w:line="360" w:lineRule="auto"/>
        <w:ind w:firstLine="420"/>
        <w:rPr>
          <w:rFonts w:hint="default" w:ascii="Arial" w:hAnsi="Arial" w:cs="Arial" w:eastAsiaTheme="minorEastAsia"/>
          <w:b/>
          <w:bCs/>
          <w:szCs w:val="21"/>
          <w:highlight w:val="none"/>
          <w:shd w:val="clear"/>
          <w:lang w:val="en-US" w:eastAsia="zh-CN"/>
        </w:rPr>
      </w:pPr>
      <w:r>
        <w:rPr>
          <w:rFonts w:hint="eastAsia" w:ascii="Arial" w:hAnsi="Arial" w:cs="Arial" w:eastAsiaTheme="minorEastAsia"/>
          <w:b/>
          <w:bCs/>
          <w:szCs w:val="21"/>
          <w:lang w:val="en-US" w:eastAsia="zh-CN"/>
        </w:rPr>
        <w:t>中稀（凉山）稀土有限公司:</w:t>
      </w:r>
      <w:r>
        <w:rPr>
          <w:rFonts w:hint="eastAsia"/>
        </w:rPr>
        <w:t>是本项目的一验单位</w:t>
      </w:r>
      <w:r>
        <w:rPr>
          <w:rFonts w:hint="eastAsia" w:ascii="宋体" w:hAnsi="宋体" w:eastAsia="宋体" w:cs="宋体"/>
        </w:rPr>
        <w:t>。中稀（凉山）稀土有限公司原名“四川江铜稀土有限责任公司”，于2008年8月在冕宁县注册成立，注册资本金为15亿元，于2023年1月起正式并入中国稀土集团旗下，当前股权结构为中国稀土集团有限公司持股51%、四川蜀裕矿业投资有限公司持股39%、冕宁县投资发展有限责任公司持股10%。是中国稀土行业协会副会长单位、四川省稀土行业协会理事长单位。公司目前共有4家直属生产单位、2家全资子公司、3家控股子公司、5家参股公司，拥有国内第二大轻稀土矿冕宁县牦牛坪稀土矿的采矿权，初步形成了集“采、选、冶、加、研”为一体的产业集团。公司主要产品有：稀土精矿，稀土氧化物系列（氧化镧、氧化铈、氧化镨钕、钐铕钆富集物），碳酸稀土系列（碳酸镧、碳酸铈）、稀土金属系列（金属镨钕、金属镧铈），钕铁硼薄片等，是我国重要的稀土产品生产基地，并先后获得“国家绿色矿山”“四川省绿色制造示范单位（绿色工厂）”等多项荣誉</w:t>
      </w:r>
      <w:r>
        <w:rPr>
          <w:rFonts w:hint="eastAsia" w:ascii="宋体" w:hAnsi="宋体" w:eastAsia="宋体" w:cs="宋体"/>
          <w:highlight w:val="none"/>
        </w:rPr>
        <w:t>。</w:t>
      </w:r>
      <w:r>
        <w:rPr>
          <w:rFonts w:hint="eastAsia" w:ascii="宋体" w:hAnsi="宋体" w:eastAsia="宋体" w:cs="宋体"/>
          <w:b/>
          <w:szCs w:val="21"/>
          <w:highlight w:val="none"/>
          <w:shd w:val="clear"/>
        </w:rPr>
        <w:t>在</w:t>
      </w:r>
      <w:r>
        <w:rPr>
          <w:rFonts w:hint="eastAsia" w:ascii="宋体" w:hAnsi="宋体"/>
          <w:b/>
          <w:szCs w:val="21"/>
          <w:highlight w:val="none"/>
          <w:shd w:val="clear"/>
        </w:rPr>
        <w:t>标准起草期间，该单位</w:t>
      </w:r>
      <w:r>
        <w:rPr>
          <w:rFonts w:hint="eastAsia" w:ascii="宋体" w:hAnsi="宋体"/>
          <w:b/>
          <w:szCs w:val="21"/>
          <w:highlight w:val="none"/>
          <w:shd w:val="clear"/>
          <w:lang w:eastAsia="zh-CN"/>
        </w:rPr>
        <w:t>及时</w:t>
      </w:r>
      <w:r>
        <w:rPr>
          <w:rFonts w:hint="eastAsia" w:ascii="宋体" w:hAnsi="宋体"/>
          <w:b/>
          <w:szCs w:val="21"/>
          <w:highlight w:val="none"/>
          <w:shd w:val="clear"/>
        </w:rPr>
        <w:t>按照实验报告</w:t>
      </w:r>
      <w:r>
        <w:rPr>
          <w:rFonts w:hint="eastAsia" w:ascii="宋体" w:hAnsi="宋体"/>
          <w:b/>
          <w:szCs w:val="21"/>
          <w:highlight w:val="none"/>
          <w:shd w:val="clear"/>
          <w:lang w:eastAsia="zh-CN"/>
        </w:rPr>
        <w:t>复验了试验方案全过程，完成了</w:t>
      </w:r>
      <w:r>
        <w:rPr>
          <w:rFonts w:hint="eastAsia" w:ascii="宋体" w:hAnsi="宋体"/>
          <w:b/>
          <w:szCs w:val="21"/>
          <w:highlight w:val="none"/>
          <w:shd w:val="clear"/>
        </w:rPr>
        <w:t>统一样品</w:t>
      </w:r>
      <w:r>
        <w:rPr>
          <w:rFonts w:hint="eastAsia" w:ascii="宋体" w:hAnsi="宋体"/>
          <w:b/>
          <w:szCs w:val="21"/>
          <w:highlight w:val="none"/>
          <w:shd w:val="clear"/>
          <w:lang w:eastAsia="zh-CN"/>
        </w:rPr>
        <w:t>的检测</w:t>
      </w:r>
      <w:r>
        <w:rPr>
          <w:rFonts w:hint="eastAsia" w:ascii="宋体" w:hAnsi="宋体"/>
          <w:b/>
          <w:szCs w:val="21"/>
          <w:highlight w:val="none"/>
          <w:shd w:val="clear"/>
        </w:rPr>
        <w:t>，提供</w:t>
      </w:r>
      <w:r>
        <w:rPr>
          <w:rFonts w:hint="eastAsia" w:ascii="宋体" w:hAnsi="宋体"/>
          <w:b/>
          <w:szCs w:val="21"/>
          <w:highlight w:val="none"/>
          <w:shd w:val="clear"/>
          <w:lang w:eastAsia="zh-CN"/>
        </w:rPr>
        <w:t>了</w:t>
      </w:r>
      <w:r>
        <w:rPr>
          <w:rFonts w:hint="eastAsia" w:ascii="宋体" w:hAnsi="宋体"/>
          <w:b/>
          <w:szCs w:val="21"/>
          <w:highlight w:val="none"/>
          <w:shd w:val="clear"/>
        </w:rPr>
        <w:t>验证报告及意见。</w:t>
      </w:r>
    </w:p>
    <w:p w14:paraId="02D6F369">
      <w:pPr>
        <w:spacing w:line="360" w:lineRule="auto"/>
        <w:ind w:firstLine="420"/>
        <w:rPr>
          <w:rFonts w:hint="default" w:ascii="Arial" w:hAnsi="Arial" w:cs="Arial" w:eastAsiaTheme="minorEastAsia"/>
          <w:b/>
          <w:bCs/>
          <w:szCs w:val="21"/>
          <w:highlight w:val="none"/>
          <w:lang w:val="en-US" w:eastAsia="zh-CN"/>
        </w:rPr>
      </w:pPr>
      <w:r>
        <w:rPr>
          <w:rFonts w:hint="eastAsia" w:ascii="Arial" w:hAnsi="Arial" w:cs="Arial" w:eastAsiaTheme="minorEastAsia"/>
          <w:b/>
          <w:bCs/>
          <w:szCs w:val="21"/>
          <w:lang w:val="en-US" w:eastAsia="zh-CN"/>
        </w:rPr>
        <w:t>国家钨与稀土产品质量监督检验中心:</w:t>
      </w:r>
      <w:r>
        <w:rPr>
          <w:rFonts w:hint="eastAsia"/>
        </w:rPr>
        <w:t>是本项目的一验单位。</w:t>
      </w:r>
      <w:r>
        <w:rPr>
          <w:rFonts w:hint="eastAsia" w:ascii="Arial" w:hAnsi="Arial" w:cs="Arial" w:eastAsiaTheme="minorEastAsia"/>
          <w:b w:val="0"/>
          <w:bCs w:val="0"/>
          <w:szCs w:val="21"/>
          <w:lang w:val="en-US" w:eastAsia="zh-CN"/>
        </w:rPr>
        <w:t>国家钨与稀土产品质量监督检验中心于</w:t>
      </w:r>
      <w:r>
        <w:rPr>
          <w:rFonts w:hint="eastAsia" w:ascii="宋体" w:hAnsi="宋体"/>
          <w:szCs w:val="21"/>
        </w:rPr>
        <w:t>2007年6月经国家质检总局批准筹建，2008年建成，2009年投入运行，2010年10月正式通过国家质检总局和国家认监委验收，是全国唯一的钨与稀土产品质量监督国家级法定技术机构，直属于江西省市场监督管理局，是独立公正的第三方检测机构。其主要职能是开展钨与稀土等有色金属矿产品检验、地质实验测试、环境监测与检验、检测技术培训和有色金属领域内科学技术研究、开发与推广，以及标准研究与制定等工作。近年来，中心参与了我国首批1个稀土国际标准的立项申请工作，以及2个稀土国家标准外文版翻译校核工作；主导制定国家标准3项、行业标准5项、省地方标准7项；参与制定国家和行业标准18项</w:t>
      </w:r>
      <w:r>
        <w:rPr>
          <w:rFonts w:hint="eastAsia" w:ascii="宋体" w:hAnsi="宋体"/>
          <w:szCs w:val="21"/>
          <w:highlight w:val="none"/>
        </w:rPr>
        <w:t>。</w:t>
      </w:r>
      <w:r>
        <w:rPr>
          <w:rFonts w:hint="eastAsia" w:ascii="宋体" w:hAnsi="宋体"/>
          <w:b/>
          <w:szCs w:val="21"/>
          <w:highlight w:val="none"/>
          <w:shd w:val="clear"/>
        </w:rPr>
        <w:t>在标准起草期间，该单位</w:t>
      </w:r>
      <w:r>
        <w:rPr>
          <w:rFonts w:hint="eastAsia" w:ascii="宋体" w:hAnsi="宋体"/>
          <w:b/>
          <w:szCs w:val="21"/>
          <w:highlight w:val="none"/>
          <w:shd w:val="clear"/>
          <w:lang w:eastAsia="zh-CN"/>
        </w:rPr>
        <w:t>也及时</w:t>
      </w:r>
      <w:r>
        <w:rPr>
          <w:rFonts w:hint="eastAsia" w:ascii="宋体" w:hAnsi="宋体"/>
          <w:b/>
          <w:szCs w:val="21"/>
          <w:highlight w:val="none"/>
          <w:shd w:val="clear"/>
        </w:rPr>
        <w:t>按照实验报告</w:t>
      </w:r>
      <w:r>
        <w:rPr>
          <w:rFonts w:hint="eastAsia" w:ascii="宋体" w:hAnsi="宋体"/>
          <w:b/>
          <w:szCs w:val="21"/>
          <w:highlight w:val="none"/>
          <w:shd w:val="clear"/>
          <w:lang w:eastAsia="zh-CN"/>
        </w:rPr>
        <w:t>复验了试验方案全过程，完成了</w:t>
      </w:r>
      <w:r>
        <w:rPr>
          <w:rFonts w:hint="eastAsia" w:ascii="宋体" w:hAnsi="宋体"/>
          <w:b/>
          <w:szCs w:val="21"/>
          <w:highlight w:val="none"/>
          <w:shd w:val="clear"/>
        </w:rPr>
        <w:t>统一样品</w:t>
      </w:r>
      <w:r>
        <w:rPr>
          <w:rFonts w:hint="eastAsia" w:ascii="宋体" w:hAnsi="宋体"/>
          <w:b/>
          <w:szCs w:val="21"/>
          <w:highlight w:val="none"/>
          <w:shd w:val="clear"/>
          <w:lang w:eastAsia="zh-CN"/>
        </w:rPr>
        <w:t>的检测</w:t>
      </w:r>
      <w:r>
        <w:rPr>
          <w:rFonts w:hint="eastAsia" w:ascii="宋体" w:hAnsi="宋体"/>
          <w:b/>
          <w:szCs w:val="21"/>
          <w:highlight w:val="none"/>
          <w:shd w:val="clear"/>
        </w:rPr>
        <w:t>，提供</w:t>
      </w:r>
      <w:r>
        <w:rPr>
          <w:rFonts w:hint="eastAsia" w:ascii="宋体" w:hAnsi="宋体"/>
          <w:b/>
          <w:szCs w:val="21"/>
          <w:highlight w:val="none"/>
          <w:shd w:val="clear"/>
          <w:lang w:eastAsia="zh-CN"/>
        </w:rPr>
        <w:t>了</w:t>
      </w:r>
      <w:r>
        <w:rPr>
          <w:rFonts w:hint="eastAsia" w:ascii="宋体" w:hAnsi="宋体"/>
          <w:b/>
          <w:szCs w:val="21"/>
          <w:highlight w:val="none"/>
          <w:shd w:val="clear"/>
        </w:rPr>
        <w:t>验证报告及意见。</w:t>
      </w:r>
    </w:p>
    <w:p w14:paraId="36D2327D">
      <w:pPr>
        <w:pStyle w:val="51"/>
        <w:spacing w:line="360" w:lineRule="auto"/>
        <w:ind w:left="0" w:leftChars="0" w:firstLine="422" w:firstLineChars="200"/>
        <w:rPr>
          <w:rFonts w:hint="eastAsia" w:eastAsia="宋体"/>
          <w:highlight w:val="none"/>
          <w:lang w:val="en-US" w:eastAsia="zh-CN"/>
        </w:rPr>
      </w:pPr>
      <w:r>
        <w:rPr>
          <w:rFonts w:hint="eastAsia" w:ascii="Arial" w:hAnsi="Arial" w:cs="Arial" w:eastAsiaTheme="minorEastAsia"/>
          <w:b/>
          <w:bCs/>
          <w:szCs w:val="21"/>
          <w:lang w:val="en-US" w:eastAsia="zh-CN"/>
        </w:rPr>
        <w:t>定南大华新材料资源有限公司：</w:t>
      </w:r>
      <w:r>
        <w:rPr>
          <w:rFonts w:hint="eastAsia" w:ascii="宋体" w:hAnsi="宋体" w:eastAsia="宋体" w:cs="宋体"/>
          <w:b w:val="0"/>
          <w:bCs w:val="0"/>
        </w:rPr>
        <w:t>是本项目的</w:t>
      </w:r>
      <w:r>
        <w:rPr>
          <w:rFonts w:hint="eastAsia" w:ascii="宋体" w:hAnsi="宋体" w:eastAsia="宋体" w:cs="宋体"/>
          <w:b w:val="0"/>
          <w:bCs w:val="0"/>
          <w:lang w:eastAsia="zh-CN"/>
        </w:rPr>
        <w:t>二</w:t>
      </w:r>
      <w:r>
        <w:rPr>
          <w:rFonts w:hint="eastAsia" w:ascii="宋体" w:hAnsi="宋体" w:eastAsia="宋体" w:cs="宋体"/>
          <w:b w:val="0"/>
          <w:bCs w:val="0"/>
        </w:rPr>
        <w:t>验单位。</w:t>
      </w:r>
      <w:r>
        <w:rPr>
          <w:rFonts w:hint="eastAsia" w:ascii="宋体" w:hAnsi="宋体" w:eastAsia="宋体" w:cs="宋体"/>
        </w:rPr>
        <w:t>该公司是五矿稀土集团有限公司下属直管企业,成立于2004年，位于江西省赣州市定南县，占地面积158亩，拥有各类高素质的管理、技术和生产人员230多人。公司年分离产能4400吨南方离子型稀土矿，主要生产14种高纯单一稀土化合物及2种共沉产品，10种产品的纯度大于99.99%，其中高纯氧化镧、高纯氧化钇（纯度≥99.999%）为公司的“拳头”产品，主要出口美国、日本、韩国、欧盟等发达国家和地区。产品质量在同行业中居于前位，相关产品在高纯光学材料市场中占有率较高。</w:t>
      </w:r>
      <w:r>
        <w:rPr>
          <w:rFonts w:hint="eastAsia" w:ascii="宋体" w:hAnsi="宋体" w:eastAsia="宋体" w:cs="宋体"/>
          <w:sz w:val="21"/>
          <w:szCs w:val="21"/>
          <w:lang w:val="en-US" w:eastAsia="zh-CN"/>
        </w:rPr>
        <w:t>定南大华注重科技创新，拥有多项专利和专有技术，2012—2014年参与并完成了国家863和973项目，是稀土协会的委员单位，全国稀标委和江西省稀标委委员单位和全国理化检验委员会会员，参与并完成了系列国家标准的起草，稀土冶炼分离技术综合水平全国先进，2018年成为高新技术企业。2019年定南大华成为省级“专精特新”企业；2021年成为省级技术中心并获得国家认可实验室</w:t>
      </w:r>
      <w:r>
        <w:rPr>
          <w:rFonts w:hint="eastAsia" w:ascii="宋体" w:hAnsi="宋体" w:eastAsia="宋体" w:cs="宋体"/>
          <w:sz w:val="21"/>
          <w:szCs w:val="21"/>
          <w:highlight w:val="none"/>
          <w:lang w:val="en-US" w:eastAsia="zh-CN"/>
        </w:rPr>
        <w:t>。</w:t>
      </w:r>
      <w:r>
        <w:rPr>
          <w:rFonts w:hint="eastAsia" w:ascii="宋体" w:hAnsi="宋体" w:eastAsia="宋体" w:cs="宋体"/>
          <w:b/>
          <w:szCs w:val="21"/>
          <w:highlight w:val="none"/>
        </w:rPr>
        <w:t>在标准起草期间，该单位</w:t>
      </w:r>
      <w:r>
        <w:rPr>
          <w:rFonts w:hint="eastAsia" w:ascii="宋体" w:hAnsi="宋体" w:eastAsia="宋体" w:cs="宋体"/>
          <w:b/>
          <w:szCs w:val="21"/>
          <w:highlight w:val="none"/>
          <w:lang w:eastAsia="zh-CN"/>
        </w:rPr>
        <w:t>按时完</w:t>
      </w:r>
      <w:r>
        <w:rPr>
          <w:rFonts w:hint="eastAsia" w:ascii="宋体" w:hAnsi="宋体"/>
          <w:b/>
          <w:szCs w:val="21"/>
          <w:highlight w:val="none"/>
          <w:lang w:eastAsia="zh-CN"/>
        </w:rPr>
        <w:t>成了统一样的检测，</w:t>
      </w:r>
      <w:r>
        <w:rPr>
          <w:rFonts w:hint="eastAsia" w:ascii="宋体" w:hAnsi="宋体"/>
          <w:b/>
          <w:szCs w:val="21"/>
          <w:highlight w:val="none"/>
        </w:rPr>
        <w:t>对标准草稿和研究报告提出</w:t>
      </w:r>
      <w:r>
        <w:rPr>
          <w:rFonts w:hint="eastAsia" w:ascii="宋体" w:hAnsi="宋体"/>
          <w:b/>
          <w:szCs w:val="21"/>
          <w:highlight w:val="none"/>
          <w:lang w:eastAsia="zh-CN"/>
        </w:rPr>
        <w:t>了</w:t>
      </w:r>
      <w:r>
        <w:rPr>
          <w:rFonts w:hint="eastAsia" w:ascii="宋体" w:hAnsi="宋体"/>
          <w:b/>
          <w:szCs w:val="21"/>
          <w:highlight w:val="none"/>
        </w:rPr>
        <w:t>意见和建议。</w:t>
      </w:r>
    </w:p>
    <w:p w14:paraId="22BA9BEE">
      <w:pPr>
        <w:pStyle w:val="51"/>
        <w:spacing w:line="360" w:lineRule="auto"/>
        <w:ind w:left="0" w:leftChars="0" w:firstLine="422" w:firstLineChars="200"/>
        <w:rPr>
          <w:rFonts w:hint="eastAsia" w:eastAsia="宋体"/>
          <w:highlight w:val="none"/>
          <w:lang w:val="en-US" w:eastAsia="zh-CN"/>
        </w:rPr>
      </w:pPr>
      <w:r>
        <w:rPr>
          <w:rFonts w:hint="eastAsia" w:ascii="Arial" w:hAnsi="Arial" w:cs="Arial" w:eastAsiaTheme="minorEastAsia"/>
          <w:b/>
          <w:bCs/>
          <w:szCs w:val="21"/>
          <w:lang w:val="en-US" w:eastAsia="zh-CN"/>
        </w:rPr>
        <w:t>国瑞科创稀土功能材料（赣州）有限公司：</w:t>
      </w:r>
      <w:r>
        <w:rPr>
          <w:rFonts w:hint="eastAsia" w:ascii="宋体" w:hAnsi="宋体" w:eastAsia="宋体" w:cs="宋体"/>
          <w:b w:val="0"/>
          <w:bCs w:val="0"/>
        </w:rPr>
        <w:t>是本项目的</w:t>
      </w:r>
      <w:r>
        <w:rPr>
          <w:rFonts w:hint="eastAsia" w:ascii="宋体" w:hAnsi="宋体" w:eastAsia="宋体" w:cs="宋体"/>
          <w:b w:val="0"/>
          <w:bCs w:val="0"/>
          <w:lang w:eastAsia="zh-CN"/>
        </w:rPr>
        <w:t>二</w:t>
      </w:r>
      <w:r>
        <w:rPr>
          <w:rFonts w:hint="eastAsia" w:ascii="宋体" w:hAnsi="宋体" w:eastAsia="宋体" w:cs="宋体"/>
          <w:b w:val="0"/>
          <w:bCs w:val="0"/>
        </w:rPr>
        <w:t>验单位。</w:t>
      </w:r>
      <w:r>
        <w:rPr>
          <w:rFonts w:hint="eastAsia" w:ascii="宋体" w:hAnsi="宋体" w:eastAsia="宋体" w:cs="宋体"/>
          <w:sz w:val="21"/>
          <w:szCs w:val="21"/>
        </w:rPr>
        <w:t>国瑞科创稀土功能材料（赣州）有限公司于2020年8月27日在江西赣州注册成立，注册资金4800万元；公司位于赣州高新区汇龙大道6号，占地面积约4万平方米。组建了近20支高水平研发团队，共计120余人；聚焦稀土功能材料产业关键共性技术研发，开展技术成果的转移转化和首次商业化，着力解决行业的关键材料、工艺和设备等方面的难题，对外提供技术咨询、服务、检测分析等公共服务，打造集关键共性技术研发、中试孵化、测试验证和成果转移转化为一体的新型创新平台。中心发挥科研团队创新优势，在5G通讯、先进轨道交通、永磁电机、新能源等高新领域，开展30余项技术研发攻关，承担国家重点研发计划等国家级重大项目</w:t>
      </w:r>
      <w:r>
        <w:rPr>
          <w:rFonts w:hint="eastAsia" w:ascii="宋体" w:hAnsi="宋体" w:eastAsia="宋体" w:cs="宋体"/>
          <w:sz w:val="21"/>
          <w:szCs w:val="21"/>
          <w:lang w:val="en-US" w:eastAsia="zh-CN"/>
        </w:rPr>
        <w:t>4项</w:t>
      </w:r>
      <w:r>
        <w:rPr>
          <w:rFonts w:hint="eastAsia" w:ascii="宋体" w:hAnsi="宋体" w:eastAsia="宋体" w:cs="宋体"/>
          <w:sz w:val="21"/>
          <w:szCs w:val="21"/>
        </w:rPr>
        <w:t>，省部级科研项目</w:t>
      </w:r>
      <w:r>
        <w:rPr>
          <w:rFonts w:hint="eastAsia" w:ascii="宋体" w:hAnsi="宋体" w:eastAsia="宋体" w:cs="宋体"/>
          <w:sz w:val="21"/>
          <w:szCs w:val="21"/>
          <w:lang w:val="en-US" w:eastAsia="zh-CN"/>
        </w:rPr>
        <w:t>20余</w:t>
      </w:r>
      <w:r>
        <w:rPr>
          <w:rFonts w:hint="eastAsia" w:ascii="宋体" w:hAnsi="宋体" w:eastAsia="宋体" w:cs="宋体"/>
          <w:sz w:val="21"/>
          <w:szCs w:val="21"/>
        </w:rPr>
        <w:t>项，市级科研项目</w:t>
      </w:r>
      <w:r>
        <w:rPr>
          <w:rFonts w:hint="eastAsia" w:ascii="宋体" w:hAnsi="宋体" w:eastAsia="宋体" w:cs="宋体"/>
          <w:sz w:val="21"/>
          <w:szCs w:val="21"/>
          <w:lang w:val="en-US" w:eastAsia="zh-CN"/>
        </w:rPr>
        <w:t>10余</w:t>
      </w:r>
      <w:r>
        <w:rPr>
          <w:rFonts w:hint="eastAsia" w:ascii="宋体" w:hAnsi="宋体" w:eastAsia="宋体" w:cs="宋体"/>
          <w:sz w:val="21"/>
          <w:szCs w:val="21"/>
        </w:rPr>
        <w:t>项</w:t>
      </w:r>
      <w:r>
        <w:rPr>
          <w:rFonts w:hint="eastAsia" w:ascii="宋体" w:hAnsi="宋体" w:eastAsia="宋体" w:cs="宋体"/>
          <w:sz w:val="21"/>
          <w:szCs w:val="21"/>
          <w:lang w:eastAsia="zh-CN"/>
        </w:rPr>
        <w:t>；</w:t>
      </w:r>
      <w:r>
        <w:rPr>
          <w:rFonts w:hint="eastAsia" w:ascii="宋体" w:hAnsi="宋体" w:eastAsia="宋体" w:cs="宋体"/>
          <w:sz w:val="21"/>
          <w:szCs w:val="21"/>
        </w:rPr>
        <w:t>申请专利</w:t>
      </w:r>
      <w:r>
        <w:rPr>
          <w:rFonts w:hint="eastAsia" w:ascii="宋体" w:hAnsi="宋体" w:eastAsia="宋体" w:cs="宋体"/>
          <w:sz w:val="21"/>
          <w:szCs w:val="21"/>
          <w:lang w:val="en-US" w:eastAsia="zh-CN"/>
        </w:rPr>
        <w:t>59</w:t>
      </w:r>
      <w:r>
        <w:rPr>
          <w:rFonts w:hint="eastAsia" w:ascii="宋体" w:hAnsi="宋体" w:eastAsia="宋体" w:cs="宋体"/>
          <w:sz w:val="21"/>
          <w:szCs w:val="21"/>
        </w:rPr>
        <w:t>项(已获授权</w:t>
      </w:r>
      <w:r>
        <w:rPr>
          <w:rFonts w:hint="eastAsia" w:ascii="宋体" w:hAnsi="宋体" w:eastAsia="宋体" w:cs="宋体"/>
          <w:sz w:val="21"/>
          <w:szCs w:val="21"/>
          <w:lang w:val="en-US" w:eastAsia="zh-CN"/>
        </w:rPr>
        <w:t>23</w:t>
      </w:r>
      <w:r>
        <w:rPr>
          <w:rFonts w:hint="eastAsia" w:ascii="宋体" w:hAnsi="宋体" w:eastAsia="宋体" w:cs="宋体"/>
          <w:sz w:val="21"/>
          <w:szCs w:val="21"/>
        </w:rPr>
        <w:t>项)，其中国际专利8项;参与编制标准</w:t>
      </w:r>
      <w:r>
        <w:rPr>
          <w:rFonts w:hint="eastAsia" w:ascii="宋体" w:hAnsi="宋体" w:eastAsia="宋体" w:cs="宋体"/>
          <w:sz w:val="21"/>
          <w:szCs w:val="21"/>
          <w:lang w:val="en-US" w:eastAsia="zh-CN"/>
        </w:rPr>
        <w:t>23</w:t>
      </w:r>
      <w:r>
        <w:rPr>
          <w:rFonts w:hint="eastAsia" w:ascii="宋体" w:hAnsi="宋体" w:eastAsia="宋体" w:cs="宋体"/>
          <w:sz w:val="21"/>
          <w:szCs w:val="21"/>
        </w:rPr>
        <w:t>项</w:t>
      </w:r>
      <w:r>
        <w:rPr>
          <w:rFonts w:hint="eastAsia" w:ascii="宋体" w:hAnsi="宋体" w:eastAsia="宋体" w:cs="宋体"/>
          <w:sz w:val="21"/>
          <w:szCs w:val="21"/>
          <w:lang w:eastAsia="zh-CN"/>
        </w:rPr>
        <w:t>；</w:t>
      </w:r>
      <w:r>
        <w:rPr>
          <w:rFonts w:hint="eastAsia" w:ascii="宋体" w:hAnsi="宋体" w:eastAsia="宋体" w:cs="宋体"/>
          <w:sz w:val="21"/>
          <w:szCs w:val="21"/>
        </w:rPr>
        <w:t>获得江西省科学技术进步奖一等奖、中国有色金属工业科学技术一等奖等</w:t>
      </w:r>
      <w:r>
        <w:rPr>
          <w:rFonts w:hint="eastAsia" w:ascii="宋体" w:hAnsi="宋体" w:eastAsia="宋体" w:cs="宋体"/>
          <w:sz w:val="21"/>
          <w:szCs w:val="21"/>
          <w:lang w:val="en-US" w:eastAsia="zh-CN"/>
        </w:rPr>
        <w:t>6</w:t>
      </w:r>
      <w:r>
        <w:rPr>
          <w:rFonts w:hint="eastAsia" w:ascii="宋体" w:hAnsi="宋体" w:eastAsia="宋体" w:cs="宋体"/>
          <w:sz w:val="21"/>
          <w:szCs w:val="21"/>
        </w:rPr>
        <w:t>个重要奖项。自主研发的“轨道交通用特种磁材”“5G用高强低轮廓电子铜箔制造成套关键技术研发及产业应用”等多项</w:t>
      </w:r>
      <w:r>
        <w:rPr>
          <w:rFonts w:hint="eastAsia" w:ascii="宋体" w:hAnsi="宋体" w:eastAsia="宋体" w:cs="宋体"/>
          <w:sz w:val="21"/>
          <w:szCs w:val="21"/>
          <w:lang w:val="en-US" w:eastAsia="zh-CN"/>
        </w:rPr>
        <w:t>创新</w:t>
      </w:r>
      <w:r>
        <w:rPr>
          <w:rFonts w:hint="eastAsia" w:ascii="宋体" w:hAnsi="宋体" w:eastAsia="宋体" w:cs="宋体"/>
          <w:sz w:val="21"/>
          <w:szCs w:val="21"/>
        </w:rPr>
        <w:t>成果</w:t>
      </w:r>
      <w:r>
        <w:rPr>
          <w:rFonts w:hint="eastAsia" w:ascii="宋体" w:hAnsi="宋体" w:eastAsia="宋体" w:cs="宋体"/>
          <w:sz w:val="21"/>
          <w:szCs w:val="21"/>
          <w:lang w:val="en-US" w:eastAsia="zh-CN"/>
        </w:rPr>
        <w:t>取得重大突破。</w:t>
      </w:r>
      <w:r>
        <w:rPr>
          <w:rFonts w:hint="eastAsia" w:ascii="宋体" w:hAnsi="宋体"/>
          <w:b/>
          <w:szCs w:val="21"/>
          <w:highlight w:val="none"/>
        </w:rPr>
        <w:t>在标准起草期间，该单位</w:t>
      </w:r>
      <w:r>
        <w:rPr>
          <w:rFonts w:hint="eastAsia" w:ascii="宋体" w:hAnsi="宋体"/>
          <w:b/>
          <w:szCs w:val="21"/>
          <w:highlight w:val="none"/>
          <w:lang w:eastAsia="zh-CN"/>
        </w:rPr>
        <w:t>按时完成了统一样的检测，</w:t>
      </w:r>
      <w:r>
        <w:rPr>
          <w:rFonts w:hint="eastAsia" w:ascii="宋体" w:hAnsi="宋体"/>
          <w:b/>
          <w:szCs w:val="21"/>
          <w:highlight w:val="none"/>
        </w:rPr>
        <w:t>对标准草稿和研究报告提出</w:t>
      </w:r>
      <w:r>
        <w:rPr>
          <w:rFonts w:hint="eastAsia" w:ascii="宋体" w:hAnsi="宋体"/>
          <w:b/>
          <w:szCs w:val="21"/>
          <w:highlight w:val="none"/>
          <w:lang w:eastAsia="zh-CN"/>
        </w:rPr>
        <w:t>了</w:t>
      </w:r>
      <w:r>
        <w:rPr>
          <w:rFonts w:hint="eastAsia" w:ascii="宋体" w:hAnsi="宋体"/>
          <w:b/>
          <w:szCs w:val="21"/>
          <w:highlight w:val="none"/>
        </w:rPr>
        <w:t>意见和建议。</w:t>
      </w:r>
    </w:p>
    <w:p w14:paraId="3AE19502">
      <w:pPr>
        <w:pStyle w:val="51"/>
        <w:spacing w:line="360" w:lineRule="auto"/>
        <w:ind w:left="0" w:leftChars="0" w:firstLine="422" w:firstLineChars="200"/>
        <w:rPr>
          <w:rFonts w:hint="eastAsia" w:ascii="Arial" w:hAnsi="Arial" w:eastAsia="宋体" w:cs="Arial"/>
          <w:b/>
          <w:bCs/>
          <w:szCs w:val="21"/>
          <w:highlight w:val="yellow"/>
          <w:lang w:val="en-US" w:eastAsia="zh-CN"/>
        </w:rPr>
      </w:pPr>
      <w:r>
        <w:rPr>
          <w:rFonts w:hint="eastAsia" w:ascii="Arial" w:hAnsi="Arial" w:cs="Arial" w:eastAsiaTheme="minorEastAsia"/>
          <w:b/>
          <w:bCs/>
          <w:szCs w:val="21"/>
          <w:lang w:val="en-US" w:eastAsia="zh-CN"/>
        </w:rPr>
        <w:t>包头市三隆稀有金属材料有限责任公司：</w:t>
      </w:r>
      <w:r>
        <w:rPr>
          <w:rFonts w:hint="eastAsia" w:ascii="宋体" w:hAnsi="宋体" w:eastAsia="宋体" w:cs="宋体"/>
          <w:b w:val="0"/>
          <w:bCs w:val="0"/>
        </w:rPr>
        <w:t>是本项目的</w:t>
      </w:r>
      <w:r>
        <w:rPr>
          <w:rFonts w:hint="eastAsia" w:ascii="宋体" w:hAnsi="宋体" w:eastAsia="宋体" w:cs="宋体"/>
          <w:b w:val="0"/>
          <w:bCs w:val="0"/>
          <w:lang w:eastAsia="zh-CN"/>
        </w:rPr>
        <w:t>二</w:t>
      </w:r>
      <w:r>
        <w:rPr>
          <w:rFonts w:hint="eastAsia" w:ascii="宋体" w:hAnsi="宋体" w:eastAsia="宋体" w:cs="宋体"/>
          <w:b w:val="0"/>
          <w:bCs w:val="0"/>
        </w:rPr>
        <w:t>验单位。</w:t>
      </w:r>
      <w:r>
        <w:rPr>
          <w:rFonts w:hint="eastAsia" w:ascii="宋体" w:hAnsi="宋体" w:eastAsia="宋体" w:cs="宋体"/>
          <w:lang w:val="en-US" w:eastAsia="zh-CN"/>
        </w:rPr>
        <w:t>包头市三隆稀有金属材料有限责任公司（简称三隆公司），注册资金1800万元，2022年5月28日纳入上市国有控股企业盛和资源控股有限公司旗下，正式成为盛和资源（海南）有限公司的控股公司。三隆公司主要从事（一）稀土永磁材料用稀土金属（二）电池用稀土金属（三）钢铁有色冶金用稀土金属 的研发生产与销售，从业人员190人，总资产4.29亿元，位于包头市稀土高新区稀土产业园区内，占地面积30亩。公司主要从事稀土金属材料、稀土合金的研发、生产销售，产量在全国同类企业排名前五，是包头最大的民营稀土金属生产企业。部分产品销往日本、欧美市场的永磁材料企业及电池材料企业。三隆公司是国家级高新技术企业，公司成立有技术研发中心。</w:t>
      </w:r>
      <w:r>
        <w:rPr>
          <w:rFonts w:hint="eastAsia" w:ascii="宋体" w:hAnsi="宋体" w:eastAsia="宋体" w:cs="宋体"/>
          <w:b w:val="0"/>
          <w:bCs w:val="0"/>
          <w:lang w:val="en-US" w:eastAsia="zh-CN"/>
        </w:rPr>
        <w:t>三隆公司目前</w:t>
      </w:r>
      <w:r>
        <w:rPr>
          <w:rFonts w:hint="eastAsia" w:ascii="宋体" w:hAnsi="宋体" w:eastAsia="宋体" w:cs="宋体"/>
          <w:lang w:val="en-US" w:eastAsia="zh-CN"/>
        </w:rPr>
        <w:t>现拥有各类有效专利共计13项，其中发明专利4项，实用新型专利9项。三隆</w:t>
      </w:r>
      <w:r>
        <w:rPr>
          <w:rFonts w:hint="eastAsia" w:ascii="宋体" w:hAnsi="宋体" w:eastAsia="宋体" w:cs="宋体"/>
        </w:rPr>
        <w:t>公司研发的“大型金属钐蒸馏炉设备与工艺的研究”获得科学技术成果登记证书。</w:t>
      </w:r>
      <w:r>
        <w:rPr>
          <w:rFonts w:hint="eastAsia" w:ascii="宋体" w:hAnsi="宋体" w:eastAsia="宋体" w:cs="宋体"/>
          <w:lang w:eastAsia="zh-CN"/>
        </w:rPr>
        <w:t>三隆</w:t>
      </w:r>
      <w:r>
        <w:rPr>
          <w:rFonts w:hint="eastAsia" w:ascii="宋体" w:hAnsi="宋体" w:eastAsia="宋体" w:cs="宋体"/>
        </w:rPr>
        <w:t>公司作为包头稀土产业联盟稀土金属及合金标准制定牵头单位，牵头制定</w:t>
      </w:r>
      <w:r>
        <w:rPr>
          <w:rFonts w:hint="eastAsia" w:ascii="宋体" w:hAnsi="宋体" w:eastAsia="宋体" w:cs="宋体"/>
          <w:lang w:eastAsia="zh-CN"/>
        </w:rPr>
        <w:t>了</w:t>
      </w:r>
      <w:r>
        <w:rPr>
          <w:rFonts w:hint="eastAsia" w:ascii="宋体" w:hAnsi="宋体" w:eastAsia="宋体" w:cs="宋体"/>
        </w:rPr>
        <w:t>团体标准</w:t>
      </w:r>
      <w:r>
        <w:rPr>
          <w:rFonts w:hint="eastAsia" w:ascii="宋体" w:hAnsi="宋体" w:eastAsia="宋体" w:cs="宋体"/>
          <w:lang w:val="en-US" w:eastAsia="zh-CN"/>
        </w:rPr>
        <w:t>7</w:t>
      </w:r>
      <w:r>
        <w:rPr>
          <w:rFonts w:hint="eastAsia" w:ascii="宋体" w:hAnsi="宋体" w:eastAsia="宋体" w:cs="宋体"/>
        </w:rPr>
        <w:t>项</w:t>
      </w:r>
      <w:r>
        <w:rPr>
          <w:rFonts w:hint="eastAsia" w:ascii="宋体" w:hAnsi="宋体" w:eastAsia="宋体" w:cs="宋体"/>
          <w:lang w:eastAsia="zh-CN"/>
        </w:rPr>
        <w:t>，</w:t>
      </w:r>
      <w:r>
        <w:rPr>
          <w:rFonts w:hint="eastAsia" w:ascii="宋体" w:hAnsi="宋体" w:eastAsia="宋体" w:cs="宋体"/>
          <w:lang w:val="en-US" w:eastAsia="zh-CN"/>
        </w:rPr>
        <w:t>该团体标准被列</w:t>
      </w:r>
      <w:r>
        <w:rPr>
          <w:rFonts w:hint="eastAsia"/>
          <w:lang w:val="en-US" w:eastAsia="zh-CN"/>
        </w:rPr>
        <w:t>入内蒙古首批领航标准。</w:t>
      </w:r>
      <w:r>
        <w:rPr>
          <w:rFonts w:hint="eastAsia" w:ascii="宋体" w:hAnsi="宋体"/>
          <w:b/>
          <w:szCs w:val="21"/>
          <w:highlight w:val="none"/>
        </w:rPr>
        <w:t>在标准起草期间，该单位</w:t>
      </w:r>
      <w:r>
        <w:rPr>
          <w:rFonts w:hint="eastAsia" w:ascii="宋体" w:hAnsi="宋体"/>
          <w:b/>
          <w:szCs w:val="21"/>
          <w:highlight w:val="none"/>
          <w:lang w:eastAsia="zh-CN"/>
        </w:rPr>
        <w:t>按时完成了统一样的检测，</w:t>
      </w:r>
      <w:r>
        <w:rPr>
          <w:rFonts w:hint="eastAsia" w:ascii="宋体" w:hAnsi="宋体"/>
          <w:b/>
          <w:szCs w:val="21"/>
          <w:highlight w:val="none"/>
        </w:rPr>
        <w:t>对标准草稿和研究报告提出</w:t>
      </w:r>
      <w:r>
        <w:rPr>
          <w:rFonts w:hint="eastAsia" w:ascii="宋体" w:hAnsi="宋体"/>
          <w:b/>
          <w:szCs w:val="21"/>
          <w:highlight w:val="none"/>
          <w:lang w:eastAsia="zh-CN"/>
        </w:rPr>
        <w:t>了</w:t>
      </w:r>
      <w:r>
        <w:rPr>
          <w:rFonts w:hint="eastAsia" w:ascii="宋体" w:hAnsi="宋体"/>
          <w:b/>
          <w:szCs w:val="21"/>
          <w:highlight w:val="none"/>
        </w:rPr>
        <w:t>意见和建议。</w:t>
      </w:r>
      <w:r>
        <w:rPr>
          <w:rFonts w:hint="eastAsia" w:ascii="宋体" w:hAnsi="宋体"/>
          <w:b/>
          <w:szCs w:val="21"/>
          <w:highlight w:val="none"/>
          <w:lang w:eastAsia="zh-CN"/>
        </w:rPr>
        <w:t>感谢</w:t>
      </w:r>
      <w:r>
        <w:rPr>
          <w:rFonts w:hint="eastAsia" w:ascii="宋体" w:hAnsi="宋体"/>
          <w:b/>
          <w:szCs w:val="21"/>
          <w:highlight w:val="none"/>
        </w:rPr>
        <w:t>该单位提供的稀土</w:t>
      </w:r>
      <w:r>
        <w:rPr>
          <w:rFonts w:hint="eastAsia" w:ascii="宋体" w:hAnsi="宋体"/>
          <w:b/>
          <w:szCs w:val="21"/>
          <w:highlight w:val="none"/>
          <w:lang w:eastAsia="zh-CN"/>
        </w:rPr>
        <w:t>金属</w:t>
      </w:r>
      <w:r>
        <w:rPr>
          <w:rFonts w:hint="eastAsia" w:ascii="宋体" w:hAnsi="宋体"/>
          <w:b/>
          <w:szCs w:val="21"/>
          <w:highlight w:val="none"/>
        </w:rPr>
        <w:t>统一样品</w:t>
      </w:r>
      <w:r>
        <w:rPr>
          <w:rFonts w:hint="eastAsia" w:ascii="宋体" w:hAnsi="宋体"/>
          <w:b/>
          <w:szCs w:val="21"/>
          <w:highlight w:val="none"/>
          <w:lang w:eastAsia="zh-CN"/>
        </w:rPr>
        <w:t>。</w:t>
      </w:r>
    </w:p>
    <w:p w14:paraId="3CC4C3E2">
      <w:pPr>
        <w:pStyle w:val="51"/>
        <w:shd w:val="clear"/>
        <w:spacing w:line="360" w:lineRule="auto"/>
        <w:ind w:left="0" w:leftChars="0" w:firstLine="422" w:firstLineChars="200"/>
        <w:rPr>
          <w:rFonts w:hint="eastAsia"/>
          <w:b w:val="0"/>
          <w:bCs w:val="0"/>
          <w:highlight w:val="none"/>
        </w:rPr>
      </w:pPr>
      <w:r>
        <w:rPr>
          <w:rFonts w:hint="eastAsia" w:ascii="Arial" w:hAnsi="Arial" w:cs="Arial" w:eastAsiaTheme="minorEastAsia"/>
          <w:b/>
          <w:bCs/>
          <w:szCs w:val="21"/>
          <w:lang w:val="en-US" w:eastAsia="zh-CN"/>
        </w:rPr>
        <w:t>包头市宏博特科技有限责任公司：</w:t>
      </w:r>
      <w:r>
        <w:rPr>
          <w:rFonts w:hint="eastAsia" w:ascii="宋体" w:hAnsi="宋体" w:eastAsia="宋体" w:cs="宋体"/>
          <w:kern w:val="2"/>
          <w:sz w:val="21"/>
          <w:szCs w:val="21"/>
          <w:lang w:val="en-US" w:eastAsia="zh-CN" w:bidi="ar-SA"/>
        </w:rPr>
        <w:t>是本项目的二验单位。包头市宏博特科技有限责任公司成立于2008年，入住包头市稀土高新区产业应用园区，目前注册资金为3157万元。公司主要以研发、生产绿色环保高性能稀土硫化物系列产品为主。2016年通过竞标收购法国索尔维公司硫化稀土生产线，成为全球唯一产业化生产稀土硫化物并拥有自主知识产权的企业。公司自主研发并引进国外先进技术，具备固-固法与气-固法两种合成工艺路线。目前可生产PR265（红色）、PR275（波尔多红）、PO75（橙色）、PO78（浅橙色）、PY208（黄色）五个规格8种产品，年产量达150吨。该系列产品通过瑞士SGS认证、REACH认证、欧盟EN71玩具检测认证、美国FDA食品认证；公司获得ISO质量体系认证。公司拥有国内唯一一个“内蒙古稀土硫化物研发中心及中试生产基地”，正在建设纯硫化铈、硫化钐橡胶助剂、硫化钐单晶助剂中试生产线，并具有与之匹配的分析检测中心。本产品是有毒有害铅红与镉红的替代品，是绿色环保产品，其发展前景不可估量。截至目前已销往全球硫化稀土产品50多吨。这些都用于传统的工程塑料领域；公司正在将该产品推向涂料行业，进入更广阔的应用空间，如汽车修补漆、高档木质漆、铝合金喷涂料等。由于涂料中稀土环保颜料用量较大，这就为稀土硫化物颜料高质量、高速发展奠定了基础。</w:t>
      </w:r>
      <w:r>
        <w:rPr>
          <w:rFonts w:hint="eastAsia" w:ascii="宋体" w:hAnsi="宋体"/>
          <w:b/>
          <w:szCs w:val="21"/>
          <w:highlight w:val="none"/>
        </w:rPr>
        <w:t>在标准起草期间，该单位</w:t>
      </w:r>
      <w:r>
        <w:rPr>
          <w:rFonts w:hint="eastAsia" w:ascii="宋体" w:hAnsi="宋体"/>
          <w:b/>
          <w:szCs w:val="21"/>
          <w:highlight w:val="none"/>
          <w:lang w:eastAsia="zh-CN"/>
        </w:rPr>
        <w:t>按时完成了统一样的检测，</w:t>
      </w:r>
      <w:r>
        <w:rPr>
          <w:rFonts w:hint="eastAsia" w:ascii="宋体" w:hAnsi="宋体"/>
          <w:b/>
          <w:szCs w:val="21"/>
          <w:highlight w:val="none"/>
        </w:rPr>
        <w:t>对标准草稿和研究报告提出</w:t>
      </w:r>
      <w:r>
        <w:rPr>
          <w:rFonts w:hint="eastAsia" w:ascii="宋体" w:hAnsi="宋体"/>
          <w:b/>
          <w:szCs w:val="21"/>
          <w:highlight w:val="none"/>
          <w:lang w:eastAsia="zh-CN"/>
        </w:rPr>
        <w:t>了</w:t>
      </w:r>
      <w:r>
        <w:rPr>
          <w:rFonts w:hint="eastAsia" w:ascii="宋体" w:hAnsi="宋体"/>
          <w:b/>
          <w:szCs w:val="21"/>
          <w:highlight w:val="none"/>
        </w:rPr>
        <w:t>意见和建议。</w:t>
      </w:r>
    </w:p>
    <w:p w14:paraId="1E5FB1C7">
      <w:pPr>
        <w:numPr>
          <w:ilvl w:val="0"/>
          <w:numId w:val="0"/>
        </w:numPr>
        <w:shd w:val="clear"/>
        <w:adjustRightInd w:val="0"/>
        <w:snapToGrid w:val="0"/>
        <w:spacing w:line="360" w:lineRule="auto"/>
        <w:ind w:firstLine="420" w:firstLineChars="200"/>
        <w:jc w:val="both"/>
        <w:rPr>
          <w:rFonts w:hint="eastAsia" w:eastAsia="宋体"/>
          <w:b w:val="0"/>
          <w:bCs w:val="0"/>
          <w:highlight w:val="none"/>
          <w:lang w:eastAsia="zh-CN"/>
        </w:rPr>
      </w:pPr>
      <w:r>
        <w:rPr>
          <w:rFonts w:hint="eastAsia" w:ascii="宋体" w:hAnsi="宋体"/>
          <w:b w:val="0"/>
          <w:bCs w:val="0"/>
          <w:color w:val="000000"/>
          <w:highlight w:val="none"/>
          <w:lang w:eastAsia="zh-CN"/>
        </w:rPr>
        <w:t>感谢</w:t>
      </w:r>
      <w:r>
        <w:rPr>
          <w:rFonts w:ascii="宋体" w:hAnsi="宋体"/>
          <w:b w:val="0"/>
          <w:bCs w:val="0"/>
          <w:color w:val="000000"/>
          <w:highlight w:val="none"/>
        </w:rPr>
        <w:t>赣州晨光稀土新材料有限公司</w:t>
      </w:r>
      <w:r>
        <w:rPr>
          <w:rFonts w:hint="eastAsia" w:ascii="宋体" w:hAnsi="宋体"/>
          <w:b w:val="0"/>
          <w:bCs w:val="0"/>
          <w:color w:val="000000"/>
          <w:highlight w:val="none"/>
        </w:rPr>
        <w:t>给</w:t>
      </w:r>
      <w:r>
        <w:rPr>
          <w:rFonts w:hint="eastAsia" w:ascii="宋体" w:hAnsi="宋体"/>
          <w:b w:val="0"/>
          <w:bCs w:val="0"/>
          <w:color w:val="000000"/>
          <w:highlight w:val="none"/>
          <w:lang w:eastAsia="zh-CN"/>
        </w:rPr>
        <w:t>本项目</w:t>
      </w:r>
      <w:r>
        <w:rPr>
          <w:rFonts w:hint="eastAsia" w:ascii="宋体" w:hAnsi="宋体"/>
          <w:b w:val="0"/>
          <w:bCs w:val="0"/>
          <w:color w:val="000000"/>
          <w:highlight w:val="none"/>
        </w:rPr>
        <w:t>提供了</w:t>
      </w:r>
      <w:r>
        <w:rPr>
          <w:rFonts w:hint="eastAsia" w:ascii="宋体" w:hAnsi="宋体"/>
          <w:b w:val="0"/>
          <w:bCs w:val="0"/>
          <w:color w:val="000000"/>
          <w:highlight w:val="none"/>
          <w:lang w:eastAsia="zh-CN"/>
        </w:rPr>
        <w:t>稀土金属样品。</w:t>
      </w:r>
    </w:p>
    <w:p w14:paraId="1BCE5945">
      <w:pPr>
        <w:numPr>
          <w:ilvl w:val="0"/>
          <w:numId w:val="0"/>
        </w:numPr>
        <w:shd w:val="clear"/>
        <w:adjustRightInd w:val="0"/>
        <w:snapToGrid w:val="0"/>
        <w:spacing w:line="360" w:lineRule="auto"/>
        <w:jc w:val="both"/>
        <w:rPr>
          <w:rFonts w:hint="eastAsia" w:ascii="宋体" w:hAnsi="宋体" w:eastAsia="宋体" w:cs="宋体"/>
          <w:b/>
          <w:bCs/>
          <w:highlight w:val="none"/>
        </w:rPr>
      </w:pPr>
      <w:r>
        <w:rPr>
          <w:rFonts w:hint="eastAsia" w:ascii="宋体" w:hAnsi="宋体" w:eastAsia="宋体" w:cs="宋体"/>
          <w:b/>
          <w:bCs/>
          <w:highlight w:val="none"/>
          <w:lang w:val="en-US" w:eastAsia="zh-CN"/>
        </w:rPr>
        <w:t>3.2</w:t>
      </w:r>
      <w:r>
        <w:rPr>
          <w:rFonts w:hint="eastAsia" w:ascii="宋体" w:hAnsi="宋体" w:eastAsia="宋体" w:cs="宋体"/>
          <w:b/>
          <w:bCs/>
          <w:highlight w:val="none"/>
        </w:rPr>
        <w:t>主要</w:t>
      </w:r>
      <w:r>
        <w:rPr>
          <w:rFonts w:hint="eastAsia" w:ascii="宋体" w:hAnsi="宋体" w:eastAsia="宋体" w:cs="宋体"/>
          <w:b/>
          <w:bCs/>
          <w:highlight w:val="none"/>
          <w:lang w:eastAsia="zh-CN"/>
        </w:rPr>
        <w:t>参加人员</w:t>
      </w:r>
      <w:r>
        <w:rPr>
          <w:rFonts w:hint="eastAsia" w:ascii="宋体" w:hAnsi="宋体" w:eastAsia="宋体" w:cs="宋体"/>
          <w:b/>
          <w:bCs/>
          <w:highlight w:val="none"/>
        </w:rPr>
        <w:t>情况</w:t>
      </w:r>
    </w:p>
    <w:p w14:paraId="1DEC8096">
      <w:pPr>
        <w:shd w:val="clear"/>
        <w:spacing w:line="240" w:lineRule="auto"/>
        <w:ind w:firstLine="420" w:firstLineChars="200"/>
        <w:jc w:val="left"/>
        <w:rPr>
          <w:highlight w:val="none"/>
        </w:rPr>
      </w:pPr>
      <w:r>
        <w:rPr>
          <w:rFonts w:hint="eastAsia"/>
          <w:highlight w:val="none"/>
        </w:rPr>
        <w:t>本标准主要</w:t>
      </w:r>
      <w:r>
        <w:rPr>
          <w:rFonts w:hint="eastAsia"/>
          <w:highlight w:val="none"/>
          <w:lang w:eastAsia="zh-CN"/>
        </w:rPr>
        <w:t>参加人员与分工</w:t>
      </w:r>
      <w:r>
        <w:rPr>
          <w:rFonts w:hint="eastAsia"/>
          <w:highlight w:val="none"/>
        </w:rPr>
        <w:t>情况见表1。</w:t>
      </w:r>
    </w:p>
    <w:p w14:paraId="1F039433">
      <w:pPr>
        <w:spacing w:before="156" w:beforeLines="50" w:line="240" w:lineRule="auto"/>
        <w:ind w:firstLine="420" w:firstLineChars="200"/>
        <w:jc w:val="center"/>
        <w:rPr>
          <w:rFonts w:ascii="黑体" w:hAnsi="黑体" w:eastAsia="黑体" w:cs="黑体"/>
          <w:sz w:val="21"/>
          <w:szCs w:val="21"/>
        </w:rPr>
      </w:pPr>
      <w:r>
        <w:rPr>
          <w:rFonts w:hint="eastAsia" w:ascii="黑体" w:hAnsi="黑体" w:eastAsia="黑体" w:cs="黑体"/>
          <w:sz w:val="21"/>
          <w:szCs w:val="21"/>
        </w:rPr>
        <w:t>表1 主要起草人及承担工作情况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8"/>
        <w:gridCol w:w="6213"/>
      </w:tblGrid>
      <w:tr w14:paraId="0E6F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pct"/>
            <w:vAlign w:val="center"/>
          </w:tcPr>
          <w:p w14:paraId="1E094A41">
            <w:pPr>
              <w:spacing w:line="312" w:lineRule="auto"/>
              <w:ind w:firstLine="435"/>
              <w:jc w:val="center"/>
              <w:rPr>
                <w:rFonts w:hint="eastAsia" w:ascii="宋体" w:hAnsi="宋体" w:eastAsia="宋体" w:cs="宋体"/>
                <w:sz w:val="18"/>
                <w:szCs w:val="18"/>
              </w:rPr>
            </w:pPr>
            <w:r>
              <w:rPr>
                <w:rFonts w:hint="eastAsia" w:ascii="宋体" w:hAnsi="宋体" w:eastAsia="宋体" w:cs="宋体"/>
                <w:sz w:val="18"/>
                <w:szCs w:val="18"/>
              </w:rPr>
              <w:t>起草人</w:t>
            </w:r>
          </w:p>
        </w:tc>
        <w:tc>
          <w:tcPr>
            <w:tcW w:w="3245" w:type="pct"/>
            <w:vAlign w:val="center"/>
          </w:tcPr>
          <w:p w14:paraId="0EFFCAA4">
            <w:pPr>
              <w:spacing w:line="312" w:lineRule="auto"/>
              <w:ind w:firstLine="435"/>
              <w:jc w:val="center"/>
              <w:rPr>
                <w:rFonts w:hint="eastAsia" w:ascii="宋体" w:hAnsi="宋体" w:eastAsia="宋体" w:cs="宋体"/>
                <w:sz w:val="18"/>
                <w:szCs w:val="18"/>
              </w:rPr>
            </w:pPr>
            <w:r>
              <w:rPr>
                <w:rFonts w:hint="eastAsia" w:ascii="宋体" w:hAnsi="宋体" w:eastAsia="宋体" w:cs="宋体"/>
                <w:sz w:val="18"/>
                <w:szCs w:val="18"/>
              </w:rPr>
              <w:t>工作职责</w:t>
            </w:r>
          </w:p>
        </w:tc>
      </w:tr>
      <w:tr w14:paraId="7764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pct"/>
            <w:vAlign w:val="center"/>
          </w:tcPr>
          <w:p w14:paraId="623B7EE4">
            <w:pPr>
              <w:pStyle w:val="17"/>
              <w:adjustRightInd w:val="0"/>
              <w:snapToGrid w:val="0"/>
              <w:spacing w:before="0" w:beforeAutospacing="0" w:after="0" w:afterAutospacing="0" w:line="312"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姚京璧</w:t>
            </w:r>
          </w:p>
        </w:tc>
        <w:tc>
          <w:tcPr>
            <w:tcW w:w="3245" w:type="pct"/>
            <w:vAlign w:val="center"/>
          </w:tcPr>
          <w:p w14:paraId="3F2310DB">
            <w:pPr>
              <w:pStyle w:val="17"/>
              <w:adjustRightInd w:val="0"/>
              <w:snapToGrid w:val="0"/>
              <w:spacing w:before="0" w:beforeAutospacing="0" w:after="0" w:afterAutospacing="0" w:line="312" w:lineRule="auto"/>
              <w:rPr>
                <w:rFonts w:hint="eastAsia" w:ascii="宋体" w:hAnsi="宋体" w:eastAsia="宋体" w:cs="宋体"/>
                <w:kern w:val="2"/>
                <w:sz w:val="18"/>
                <w:szCs w:val="18"/>
              </w:rPr>
            </w:pPr>
            <w:r>
              <w:rPr>
                <w:rFonts w:hint="eastAsia" w:ascii="宋体" w:hAnsi="宋体" w:eastAsia="宋体" w:cs="宋体"/>
                <w:kern w:val="2"/>
                <w:sz w:val="18"/>
                <w:szCs w:val="18"/>
              </w:rPr>
              <w:t>方法起草负责</w:t>
            </w:r>
            <w:r>
              <w:rPr>
                <w:rFonts w:hint="eastAsia" w:ascii="宋体" w:hAnsi="宋体" w:eastAsia="宋体" w:cs="宋体"/>
                <w:kern w:val="2"/>
                <w:sz w:val="18"/>
                <w:szCs w:val="18"/>
                <w:lang w:eastAsia="zh-CN"/>
              </w:rPr>
              <w:t>人。试验方案</w:t>
            </w:r>
            <w:r>
              <w:rPr>
                <w:rFonts w:hint="eastAsia" w:ascii="宋体" w:hAnsi="宋体" w:eastAsia="宋体" w:cs="宋体"/>
                <w:kern w:val="2"/>
                <w:sz w:val="18"/>
                <w:szCs w:val="18"/>
              </w:rPr>
              <w:t>的设计，数据</w:t>
            </w:r>
            <w:r>
              <w:rPr>
                <w:rFonts w:hint="eastAsia" w:ascii="宋体" w:hAnsi="宋体" w:eastAsia="宋体" w:cs="宋体"/>
                <w:kern w:val="2"/>
                <w:sz w:val="18"/>
                <w:szCs w:val="18"/>
                <w:lang w:eastAsia="zh-CN"/>
              </w:rPr>
              <w:t>汇总</w:t>
            </w:r>
            <w:r>
              <w:rPr>
                <w:rFonts w:hint="eastAsia" w:ascii="宋体" w:hAnsi="宋体" w:eastAsia="宋体" w:cs="宋体"/>
                <w:kern w:val="2"/>
                <w:sz w:val="18"/>
                <w:szCs w:val="18"/>
              </w:rPr>
              <w:t>统计</w:t>
            </w:r>
            <w:r>
              <w:rPr>
                <w:rFonts w:hint="eastAsia" w:ascii="宋体" w:hAnsi="宋体" w:eastAsia="宋体" w:cs="宋体"/>
                <w:kern w:val="2"/>
                <w:sz w:val="18"/>
                <w:szCs w:val="18"/>
                <w:lang w:eastAsia="zh-CN"/>
              </w:rPr>
              <w:t>，</w:t>
            </w:r>
            <w:r>
              <w:rPr>
                <w:rFonts w:hint="eastAsia" w:ascii="宋体" w:hAnsi="宋体" w:eastAsia="宋体" w:cs="宋体"/>
                <w:kern w:val="2"/>
                <w:sz w:val="18"/>
                <w:szCs w:val="18"/>
              </w:rPr>
              <w:t>标准文本、编制说明的编写及</w:t>
            </w:r>
            <w:r>
              <w:rPr>
                <w:rFonts w:hint="eastAsia" w:ascii="宋体" w:hAnsi="宋体" w:eastAsia="宋体" w:cs="宋体"/>
                <w:kern w:val="2"/>
                <w:sz w:val="18"/>
                <w:szCs w:val="18"/>
                <w:lang w:eastAsia="zh-CN"/>
              </w:rPr>
              <w:t>对外</w:t>
            </w:r>
            <w:r>
              <w:rPr>
                <w:rFonts w:hint="eastAsia" w:ascii="宋体" w:hAnsi="宋体" w:eastAsia="宋体" w:cs="宋体"/>
                <w:kern w:val="2"/>
                <w:sz w:val="18"/>
                <w:szCs w:val="18"/>
              </w:rPr>
              <w:t>协调。</w:t>
            </w:r>
          </w:p>
        </w:tc>
      </w:tr>
      <w:tr w14:paraId="2424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pct"/>
            <w:vAlign w:val="center"/>
          </w:tcPr>
          <w:p w14:paraId="182E4E54">
            <w:pPr>
              <w:pStyle w:val="17"/>
              <w:adjustRightInd w:val="0"/>
              <w:snapToGrid w:val="0"/>
              <w:spacing w:before="0" w:beforeAutospacing="0" w:after="0" w:afterAutospacing="0" w:line="312" w:lineRule="auto"/>
              <w:jc w:val="center"/>
              <w:rPr>
                <w:rFonts w:hint="eastAsia" w:ascii="宋体" w:hAnsi="宋体" w:eastAsia="宋体" w:cs="宋体"/>
                <w:sz w:val="18"/>
                <w:szCs w:val="18"/>
                <w:lang w:eastAsia="zh-CN"/>
              </w:rPr>
            </w:pPr>
            <w:r>
              <w:rPr>
                <w:rFonts w:hint="eastAsia" w:cs="宋体"/>
                <w:sz w:val="18"/>
                <w:szCs w:val="18"/>
                <w:lang w:eastAsia="zh-CN"/>
              </w:rPr>
              <w:t>谢建伟</w:t>
            </w:r>
          </w:p>
        </w:tc>
        <w:tc>
          <w:tcPr>
            <w:tcW w:w="3245" w:type="pct"/>
            <w:vAlign w:val="center"/>
          </w:tcPr>
          <w:p w14:paraId="24050E39">
            <w:pPr>
              <w:pStyle w:val="17"/>
              <w:adjustRightInd w:val="0"/>
              <w:snapToGrid w:val="0"/>
              <w:spacing w:before="0" w:beforeAutospacing="0" w:after="0" w:afterAutospacing="0" w:line="312" w:lineRule="auto"/>
              <w:rPr>
                <w:rFonts w:hint="eastAsia" w:ascii="宋体" w:hAnsi="宋体" w:eastAsia="宋体" w:cs="宋体"/>
                <w:kern w:val="2"/>
                <w:sz w:val="18"/>
                <w:szCs w:val="18"/>
              </w:rPr>
            </w:pPr>
            <w:r>
              <w:rPr>
                <w:rFonts w:hint="eastAsia" w:ascii="宋体" w:hAnsi="宋体" w:eastAsia="宋体" w:cs="宋体"/>
                <w:kern w:val="2"/>
                <w:sz w:val="18"/>
                <w:szCs w:val="18"/>
              </w:rPr>
              <w:t>方法起草</w:t>
            </w:r>
            <w:r>
              <w:rPr>
                <w:rFonts w:hint="eastAsia" w:cs="宋体"/>
                <w:kern w:val="2"/>
                <w:sz w:val="18"/>
                <w:szCs w:val="18"/>
                <w:lang w:eastAsia="zh-CN"/>
              </w:rPr>
              <w:t>，</w:t>
            </w:r>
            <w:r>
              <w:rPr>
                <w:rFonts w:hint="eastAsia" w:ascii="宋体" w:hAnsi="宋体"/>
                <w:sz w:val="18"/>
                <w:szCs w:val="18"/>
              </w:rPr>
              <w:t>各阶段标准文本审定</w:t>
            </w:r>
          </w:p>
        </w:tc>
      </w:tr>
      <w:tr w14:paraId="4D0E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pct"/>
            <w:shd w:val="clear" w:color="auto" w:fill="auto"/>
            <w:vAlign w:val="center"/>
          </w:tcPr>
          <w:p w14:paraId="556D149C">
            <w:pPr>
              <w:pStyle w:val="17"/>
              <w:adjustRightInd w:val="0"/>
              <w:snapToGrid w:val="0"/>
              <w:spacing w:before="0" w:beforeAutospacing="0" w:after="0" w:afterAutospacing="0" w:line="312"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eastAsia="zh-CN"/>
              </w:rPr>
              <w:t>江海波</w:t>
            </w:r>
          </w:p>
        </w:tc>
        <w:tc>
          <w:tcPr>
            <w:tcW w:w="3245" w:type="pct"/>
            <w:shd w:val="clear" w:color="auto" w:fill="auto"/>
            <w:vAlign w:val="center"/>
          </w:tcPr>
          <w:p w14:paraId="061D8C6E">
            <w:pPr>
              <w:pStyle w:val="17"/>
              <w:adjustRightInd w:val="0"/>
              <w:snapToGrid w:val="0"/>
              <w:spacing w:before="0" w:beforeAutospacing="0" w:after="0" w:afterAutospacing="0" w:line="312" w:lineRule="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eastAsia="zh-CN"/>
              </w:rPr>
              <w:t>负责统一样品的制作（包括均匀性试验），收集和分发，试验样品的具体测试工作。</w:t>
            </w:r>
          </w:p>
        </w:tc>
      </w:tr>
      <w:tr w14:paraId="77F5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pct"/>
            <w:shd w:val="clear" w:color="auto" w:fill="auto"/>
            <w:vAlign w:val="center"/>
          </w:tcPr>
          <w:p w14:paraId="61A5BBDF">
            <w:pPr>
              <w:pStyle w:val="17"/>
              <w:adjustRightInd w:val="0"/>
              <w:snapToGrid w:val="0"/>
              <w:spacing w:before="0" w:beforeAutospacing="0" w:after="0" w:afterAutospacing="0" w:line="312"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eastAsia="zh-CN"/>
              </w:rPr>
              <w:t>樊成美</w:t>
            </w:r>
            <w:r>
              <w:rPr>
                <w:rFonts w:hint="eastAsia" w:cs="宋体"/>
                <w:sz w:val="18"/>
                <w:szCs w:val="18"/>
                <w:lang w:eastAsia="zh-CN"/>
              </w:rPr>
              <w:t>、钟成福</w:t>
            </w:r>
          </w:p>
        </w:tc>
        <w:tc>
          <w:tcPr>
            <w:tcW w:w="3245" w:type="pct"/>
            <w:shd w:val="clear" w:color="auto" w:fill="auto"/>
            <w:vAlign w:val="center"/>
          </w:tcPr>
          <w:p w14:paraId="5586BE6A">
            <w:pPr>
              <w:pStyle w:val="17"/>
              <w:adjustRightInd w:val="0"/>
              <w:snapToGrid w:val="0"/>
              <w:spacing w:before="0" w:beforeAutospacing="0" w:after="0" w:afterAutospacing="0" w:line="312" w:lineRule="auto"/>
              <w:rPr>
                <w:rFonts w:hint="eastAsia" w:ascii="宋体" w:hAnsi="宋体" w:eastAsia="宋体" w:cs="宋体"/>
                <w:kern w:val="0"/>
                <w:sz w:val="18"/>
                <w:szCs w:val="18"/>
                <w:lang w:val="en-US" w:eastAsia="zh-CN" w:bidi="ar-SA"/>
              </w:rPr>
            </w:pPr>
            <w:r>
              <w:rPr>
                <w:rFonts w:hint="eastAsia" w:ascii="宋体" w:hAnsi="宋体" w:eastAsia="宋体" w:cs="宋体"/>
                <w:sz w:val="18"/>
                <w:szCs w:val="18"/>
              </w:rPr>
              <w:t>协助完成</w:t>
            </w:r>
            <w:r>
              <w:rPr>
                <w:rFonts w:hint="eastAsia" w:ascii="宋体" w:hAnsi="宋体" w:eastAsia="宋体" w:cs="宋体"/>
                <w:sz w:val="18"/>
                <w:szCs w:val="18"/>
                <w:lang w:eastAsia="zh-CN"/>
              </w:rPr>
              <w:t>样品测试工作。</w:t>
            </w:r>
          </w:p>
        </w:tc>
      </w:tr>
      <w:tr w14:paraId="6EF5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pct"/>
            <w:shd w:val="clear" w:color="auto" w:fill="auto"/>
            <w:vAlign w:val="center"/>
          </w:tcPr>
          <w:p w14:paraId="4BEA9DF0">
            <w:pPr>
              <w:pStyle w:val="17"/>
              <w:adjustRightInd w:val="0"/>
              <w:snapToGrid w:val="0"/>
              <w:spacing w:before="0" w:beforeAutospacing="0" w:after="0" w:afterAutospacing="0" w:line="312"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XXXXX</w:t>
            </w:r>
          </w:p>
        </w:tc>
        <w:tc>
          <w:tcPr>
            <w:tcW w:w="3245" w:type="pct"/>
            <w:shd w:val="clear" w:color="auto" w:fill="auto"/>
            <w:vAlign w:val="center"/>
          </w:tcPr>
          <w:p w14:paraId="24180BA1">
            <w:pPr>
              <w:pStyle w:val="17"/>
              <w:adjustRightInd w:val="0"/>
              <w:snapToGrid w:val="0"/>
              <w:spacing w:before="0" w:beforeAutospacing="0" w:after="0" w:afterAutospacing="0" w:line="312" w:lineRule="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作为一验，对</w:t>
            </w:r>
            <w:r>
              <w:rPr>
                <w:rFonts w:hint="eastAsia" w:ascii="宋体" w:hAnsi="宋体" w:eastAsia="宋体" w:cs="宋体"/>
                <w:kern w:val="2"/>
                <w:sz w:val="18"/>
                <w:szCs w:val="18"/>
                <w:highlight w:val="none"/>
              </w:rPr>
              <w:t>标准方法</w:t>
            </w:r>
            <w:r>
              <w:rPr>
                <w:rFonts w:hint="eastAsia" w:ascii="宋体" w:hAnsi="宋体" w:eastAsia="宋体" w:cs="宋体"/>
                <w:sz w:val="18"/>
                <w:szCs w:val="18"/>
                <w:highlight w:val="none"/>
              </w:rPr>
              <w:t>条件实验进行了验证，并完成精密度数据。</w:t>
            </w:r>
          </w:p>
        </w:tc>
      </w:tr>
      <w:tr w14:paraId="7046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pct"/>
            <w:shd w:val="clear" w:color="auto" w:fill="auto"/>
            <w:vAlign w:val="center"/>
          </w:tcPr>
          <w:p w14:paraId="554625AE">
            <w:pPr>
              <w:pStyle w:val="17"/>
              <w:adjustRightInd w:val="0"/>
              <w:snapToGrid w:val="0"/>
              <w:spacing w:before="0" w:beforeAutospacing="0" w:after="0" w:afterAutospacing="0" w:line="312" w:lineRule="auto"/>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sz w:val="18"/>
                <w:szCs w:val="18"/>
                <w:highlight w:val="none"/>
              </w:rPr>
              <w:t>XXXXX</w:t>
            </w:r>
          </w:p>
        </w:tc>
        <w:tc>
          <w:tcPr>
            <w:tcW w:w="3245" w:type="pct"/>
            <w:shd w:val="clear" w:color="auto" w:fill="auto"/>
            <w:vAlign w:val="center"/>
          </w:tcPr>
          <w:p w14:paraId="1AA84013">
            <w:pPr>
              <w:pStyle w:val="17"/>
              <w:adjustRightInd w:val="0"/>
              <w:snapToGrid w:val="0"/>
              <w:spacing w:before="0" w:beforeAutospacing="0" w:after="0" w:afterAutospacing="0" w:line="312" w:lineRule="auto"/>
              <w:rPr>
                <w:rFonts w:hint="eastAsia" w:ascii="宋体" w:hAnsi="宋体" w:eastAsia="宋体" w:cs="宋体"/>
                <w:kern w:val="0"/>
                <w:sz w:val="18"/>
                <w:szCs w:val="18"/>
                <w:highlight w:val="none"/>
                <w:lang w:val="en-US" w:eastAsia="zh-CN" w:bidi="ar-SA"/>
              </w:rPr>
            </w:pPr>
            <w:r>
              <w:rPr>
                <w:rFonts w:hint="eastAsia" w:ascii="宋体" w:hAnsi="宋体" w:eastAsia="宋体" w:cs="宋体"/>
                <w:sz w:val="18"/>
                <w:szCs w:val="18"/>
                <w:highlight w:val="none"/>
              </w:rPr>
              <w:t>作为二验，提供验证方法的精密度数据。</w:t>
            </w:r>
          </w:p>
        </w:tc>
      </w:tr>
    </w:tbl>
    <w:p w14:paraId="330B8DE1">
      <w:pPr>
        <w:pStyle w:val="52"/>
        <w:numPr>
          <w:ilvl w:val="255"/>
          <w:numId w:val="0"/>
        </w:numPr>
        <w:spacing w:before="156" w:after="156"/>
        <w:jc w:val="left"/>
        <w:rPr>
          <w:rFonts w:hint="eastAsia" w:ascii="宋体" w:hAnsi="宋体" w:eastAsia="宋体" w:cs="宋体"/>
          <w:b/>
          <w:bCs/>
        </w:rPr>
      </w:pPr>
      <w:r>
        <w:rPr>
          <w:rFonts w:hint="eastAsia" w:ascii="宋体" w:hAnsi="宋体" w:eastAsia="宋体" w:cs="宋体"/>
          <w:b/>
          <w:bCs/>
          <w:highlight w:val="none"/>
        </w:rPr>
        <w:t>3.</w:t>
      </w:r>
      <w:r>
        <w:rPr>
          <w:rFonts w:hint="eastAsia" w:ascii="宋体" w:hAnsi="宋体" w:eastAsia="宋体" w:cs="宋体"/>
          <w:b/>
          <w:bCs/>
          <w:highlight w:val="none"/>
          <w:lang w:val="en-US" w:eastAsia="zh-CN"/>
        </w:rPr>
        <w:t>3</w:t>
      </w:r>
      <w:r>
        <w:rPr>
          <w:rFonts w:hint="eastAsia" w:ascii="宋体" w:hAnsi="宋体" w:eastAsia="宋体" w:cs="宋体"/>
          <w:b/>
          <w:bCs/>
          <w:highlight w:val="none"/>
        </w:rPr>
        <w:t>项目背景</w:t>
      </w:r>
    </w:p>
    <w:p w14:paraId="2B294240">
      <w:pPr>
        <w:pStyle w:val="53"/>
        <w:numPr>
          <w:ilvl w:val="2"/>
          <w:numId w:val="0"/>
        </w:numPr>
        <w:spacing w:before="156" w:after="156"/>
        <w:ind w:leftChars="0"/>
        <w:rPr>
          <w:rFonts w:hint="eastAsia" w:ascii="宋体" w:hAnsi="宋体" w:eastAsia="宋体" w:cs="宋体"/>
          <w:b/>
          <w:bCs/>
        </w:rPr>
      </w:pPr>
      <w:r>
        <w:rPr>
          <w:rFonts w:hint="eastAsia" w:ascii="宋体" w:hAnsi="宋体" w:eastAsia="宋体" w:cs="宋体"/>
          <w:b/>
          <w:bCs/>
        </w:rPr>
        <w:t>3.</w:t>
      </w:r>
      <w:r>
        <w:rPr>
          <w:rFonts w:hint="eastAsia" w:ascii="宋体" w:hAnsi="宋体" w:eastAsia="宋体" w:cs="宋体"/>
          <w:b/>
          <w:bCs/>
          <w:lang w:val="en-US" w:eastAsia="zh-CN"/>
        </w:rPr>
        <w:t>3.</w:t>
      </w:r>
      <w:r>
        <w:rPr>
          <w:rFonts w:hint="eastAsia" w:ascii="宋体" w:hAnsi="宋体" w:eastAsia="宋体" w:cs="宋体"/>
          <w:b/>
          <w:bCs/>
        </w:rPr>
        <w:t>1项目的必要性简述</w:t>
      </w:r>
    </w:p>
    <w:p w14:paraId="60923631">
      <w:pPr>
        <w:pStyle w:val="51"/>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稀土金属和氧化物是重要的稀土产品，也是稀土贸易中的主流产品，是磁性材料、稀土发光材料、稀土抛光材料、稀土贮氢材料、稀土荧光材料、稀土催化材料等稀土新材料的关键原料，同时高纯稀土金属和氧化物本身就是重要的稀土新材料。近年来，国内外对稀土金属及其氧化物的需求量和贸易量在不断增加，随着稀土产品纯度的不断提高，对产品中非稀土杂质的要求也越来越高，对其中非稀土杂质量的检测水平也提出了更高的要求。</w:t>
      </w:r>
    </w:p>
    <w:p w14:paraId="48BA74A7">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kern w:val="2"/>
          <w:sz w:val="21"/>
          <w:szCs w:val="21"/>
          <w:lang w:val="en-US" w:eastAsia="zh-CN" w:bidi="ar-SA"/>
        </w:rPr>
        <w:t>自2013年起，稀标委已就国家标准《稀土金属及其氧化物中非稀土杂质化学分析方法》（GB/T12690系列）中需要修订的部分着手进行修订，以满足行业发展需要，更好的为稀土新材料产业发展提供支持。国家标准《稀土金属及其氧化物中非稀土杂质化学分析方法 第11部分：镁量的测定 火焰原子吸收光谱法》的检测方法已有18年标龄，从实际使用情况来看，一是文本的规范性已不符合相关标准的要求，二是技术参数，包括工作曲线范围不适用以及测定范围不能满足现行产品标准要求，应该随着产品标准的进步一起改进。在此大背景下，修订原子吸收光谱法，提高检测方法的检测能力，从而更好的为稀土材料行业服务势在必行。</w:t>
      </w:r>
    </w:p>
    <w:p w14:paraId="20575D54">
      <w:pPr>
        <w:pStyle w:val="53"/>
        <w:numPr>
          <w:ilvl w:val="2"/>
          <w:numId w:val="0"/>
        </w:numPr>
        <w:spacing w:before="156" w:after="156" w:line="240" w:lineRule="auto"/>
        <w:ind w:leftChars="0"/>
        <w:rPr>
          <w:rFonts w:hint="eastAsia" w:ascii="宋体" w:hAnsi="宋体" w:eastAsia="宋体" w:cs="宋体"/>
          <w:b/>
          <w:bCs/>
        </w:rPr>
      </w:pPr>
      <w:r>
        <w:rPr>
          <w:rFonts w:hint="eastAsia" w:ascii="宋体" w:hAnsi="宋体" w:eastAsia="宋体" w:cs="宋体"/>
          <w:b/>
          <w:bCs/>
        </w:rPr>
        <w:t>3.</w:t>
      </w:r>
      <w:r>
        <w:rPr>
          <w:rFonts w:hint="eastAsia" w:ascii="宋体" w:hAnsi="宋体" w:eastAsia="宋体" w:cs="宋体"/>
          <w:b/>
          <w:bCs/>
          <w:lang w:val="en-US" w:eastAsia="zh-CN"/>
        </w:rPr>
        <w:t>3.</w:t>
      </w:r>
      <w:r>
        <w:rPr>
          <w:rFonts w:hint="eastAsia" w:ascii="宋体" w:hAnsi="宋体" w:eastAsia="宋体" w:cs="宋体"/>
          <w:b/>
          <w:bCs/>
        </w:rPr>
        <w:t>2项目的可行性简述</w:t>
      </w:r>
    </w:p>
    <w:p w14:paraId="66F88172">
      <w:pPr>
        <w:pStyle w:val="51"/>
        <w:spacing w:line="360" w:lineRule="auto"/>
        <w:ind w:firstLine="420"/>
        <w:rPr>
          <w:rFonts w:hint="eastAsia" w:ascii="宋体" w:hAnsi="宋体" w:eastAsia="宋体" w:cs="宋体"/>
        </w:rPr>
      </w:pPr>
      <w:r>
        <w:rPr>
          <w:rFonts w:hint="eastAsia" w:ascii="宋体" w:hAnsi="宋体" w:eastAsia="宋体" w:cs="宋体"/>
          <w:kern w:val="2"/>
          <w:sz w:val="21"/>
          <w:szCs w:val="21"/>
          <w:lang w:val="en-US" w:eastAsia="zh-CN" w:bidi="ar-SA"/>
        </w:rPr>
        <w:t>原子吸收光谱仪在行业中普及率高，运行成本低，操作也比较容易掌握，此法有</w:t>
      </w:r>
      <w:r>
        <w:rPr>
          <w:rFonts w:hint="eastAsia" w:ascii="宋体" w:hAnsi="宋体" w:eastAsia="宋体" w:cs="宋体"/>
        </w:rPr>
        <w:t>灵敏度高、检出限低等优势，在稀土行业中广泛运用已几十年的历史，各项分析技术已非常成熟。《</w:t>
      </w:r>
      <w:r>
        <w:rPr>
          <w:rFonts w:hint="eastAsia" w:ascii="宋体" w:hAnsi="宋体" w:eastAsia="宋体" w:cs="宋体"/>
          <w:szCs w:val="21"/>
        </w:rPr>
        <w:t>稀土金属及其氧化物中非稀土杂质化学分析方法第1</w:t>
      </w:r>
      <w:r>
        <w:rPr>
          <w:rFonts w:hint="eastAsia" w:ascii="宋体" w:hAnsi="宋体" w:eastAsia="宋体" w:cs="宋体"/>
          <w:szCs w:val="21"/>
          <w:lang w:val="en-US" w:eastAsia="zh-CN"/>
        </w:rPr>
        <w:t>1</w:t>
      </w:r>
      <w:r>
        <w:rPr>
          <w:rFonts w:hint="eastAsia" w:ascii="宋体" w:hAnsi="宋体" w:eastAsia="宋体" w:cs="宋体"/>
          <w:szCs w:val="21"/>
        </w:rPr>
        <w:t>部分</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镁量的测定</w:t>
      </w:r>
      <w:r>
        <w:rPr>
          <w:rFonts w:hint="eastAsia" w:ascii="宋体" w:hAnsi="宋体" w:eastAsia="宋体" w:cs="宋体"/>
          <w:szCs w:val="21"/>
          <w:lang w:val="en-US" w:eastAsia="zh-CN"/>
        </w:rPr>
        <w:t>火焰</w:t>
      </w:r>
      <w:r>
        <w:rPr>
          <w:rFonts w:hint="eastAsia" w:ascii="宋体" w:hAnsi="宋体" w:eastAsia="宋体" w:cs="宋体"/>
          <w:szCs w:val="21"/>
          <w:lang w:eastAsia="zh-CN"/>
        </w:rPr>
        <w:t>原子吸收光谱法</w:t>
      </w:r>
      <w:r>
        <w:rPr>
          <w:rFonts w:hint="eastAsia" w:ascii="宋体" w:hAnsi="宋体" w:eastAsia="宋体" w:cs="宋体"/>
        </w:rPr>
        <w:t>》通过系统的试验和多家实验室的验证。具有操作简单、快速、准确的优势。有利于在各类检测机构推广应用，对于促进我国稀土产品的生产和贸易具有重要意义。</w:t>
      </w:r>
    </w:p>
    <w:p w14:paraId="02A2ABEA">
      <w:pPr>
        <w:pStyle w:val="52"/>
        <w:numPr>
          <w:ilvl w:val="1"/>
          <w:numId w:val="0"/>
        </w:numPr>
        <w:spacing w:before="156" w:after="156" w:line="240" w:lineRule="auto"/>
        <w:ind w:leftChars="0"/>
        <w:rPr>
          <w:rFonts w:hint="eastAsia" w:ascii="宋体" w:hAnsi="宋体" w:eastAsia="宋体" w:cs="宋体"/>
          <w:b/>
          <w:bCs/>
        </w:rPr>
      </w:pPr>
      <w:r>
        <w:rPr>
          <w:rFonts w:hint="eastAsia" w:ascii="宋体" w:hAnsi="宋体" w:eastAsia="宋体" w:cs="宋体"/>
          <w:b/>
          <w:bCs/>
        </w:rPr>
        <w:t>4.主要工作过程</w:t>
      </w:r>
    </w:p>
    <w:p w14:paraId="159FD990">
      <w:pPr>
        <w:pStyle w:val="53"/>
        <w:numPr>
          <w:ilvl w:val="2"/>
          <w:numId w:val="0"/>
        </w:numPr>
        <w:spacing w:before="156" w:after="156" w:line="240" w:lineRule="auto"/>
        <w:ind w:leftChars="0"/>
        <w:rPr>
          <w:rFonts w:hint="eastAsia" w:ascii="宋体" w:hAnsi="宋体" w:eastAsia="宋体" w:cs="宋体"/>
          <w:b/>
          <w:bCs/>
        </w:rPr>
      </w:pPr>
      <w:r>
        <w:rPr>
          <w:rFonts w:hint="eastAsia" w:ascii="宋体" w:hAnsi="宋体" w:eastAsia="宋体" w:cs="宋体"/>
          <w:b/>
          <w:bCs/>
        </w:rPr>
        <w:t>4.1 预研阶段</w:t>
      </w:r>
    </w:p>
    <w:p w14:paraId="7AA2A5A4">
      <w:pPr>
        <w:pStyle w:val="51"/>
        <w:spacing w:line="360" w:lineRule="auto"/>
        <w:ind w:firstLine="420"/>
        <w:rPr>
          <w:rFonts w:hint="eastAsia" w:ascii="宋体" w:hAnsi="宋体" w:eastAsia="宋体" w:cs="宋体"/>
        </w:rPr>
      </w:pPr>
      <w:r>
        <w:rPr>
          <w:rFonts w:hint="eastAsia" w:ascii="宋体" w:hAnsi="宋体" w:eastAsia="宋体" w:cs="宋体"/>
          <w:lang w:eastAsia="zh-CN"/>
        </w:rPr>
        <w:t>江阴加华新材料资源</w:t>
      </w:r>
      <w:r>
        <w:rPr>
          <w:rFonts w:hint="eastAsia" w:ascii="宋体" w:hAnsi="宋体" w:eastAsia="宋体" w:cs="宋体"/>
        </w:rPr>
        <w:t>有限公司在总结对</w:t>
      </w:r>
      <w:bookmarkStart w:id="0" w:name="_Hlk110236962"/>
      <w:r>
        <w:rPr>
          <w:rFonts w:hint="eastAsia" w:ascii="宋体" w:hAnsi="宋体" w:eastAsia="宋体" w:cs="宋体"/>
          <w:lang w:eastAsia="zh-CN"/>
        </w:rPr>
        <w:t>稀土金属及其氧化物中镁量的</w:t>
      </w:r>
      <w:bookmarkEnd w:id="0"/>
      <w:r>
        <w:rPr>
          <w:rFonts w:hint="eastAsia" w:ascii="宋体" w:hAnsi="宋体" w:eastAsia="宋体" w:cs="宋体"/>
        </w:rPr>
        <w:t>的测定检测经验的基础上，对</w:t>
      </w:r>
      <w:r>
        <w:rPr>
          <w:rFonts w:hint="eastAsia" w:ascii="宋体" w:hAnsi="宋体" w:eastAsia="宋体" w:cs="宋体"/>
          <w:lang w:eastAsia="zh-CN"/>
        </w:rPr>
        <w:t>稀土金属及其氧化物</w:t>
      </w:r>
      <w:r>
        <w:rPr>
          <w:rFonts w:hint="eastAsia" w:ascii="宋体" w:hAnsi="宋体" w:eastAsia="宋体" w:cs="宋体"/>
        </w:rPr>
        <w:t>进行条件试验，初步形成试验方法。</w:t>
      </w:r>
    </w:p>
    <w:p w14:paraId="61FEF560">
      <w:pPr>
        <w:pStyle w:val="51"/>
        <w:spacing w:line="360" w:lineRule="auto"/>
        <w:ind w:firstLine="420"/>
        <w:rPr>
          <w:rFonts w:hint="eastAsia" w:ascii="宋体" w:hAnsi="宋体" w:eastAsia="宋体" w:cs="宋体"/>
        </w:rPr>
      </w:pPr>
      <w:r>
        <w:rPr>
          <w:rFonts w:hint="eastAsia" w:ascii="宋体" w:hAnsi="宋体" w:eastAsia="宋体" w:cs="宋体"/>
        </w:rPr>
        <w:t>202</w:t>
      </w:r>
      <w:r>
        <w:rPr>
          <w:rFonts w:hint="eastAsia" w:ascii="宋体" w:hAnsi="宋体" w:eastAsia="宋体" w:cs="宋体"/>
          <w:lang w:val="en-US" w:eastAsia="zh-CN"/>
        </w:rPr>
        <w:t>2</w:t>
      </w:r>
      <w:r>
        <w:rPr>
          <w:rFonts w:hint="eastAsia" w:ascii="宋体" w:hAnsi="宋体" w:eastAsia="宋体" w:cs="宋体"/>
        </w:rPr>
        <w:t xml:space="preserve"> 年</w:t>
      </w:r>
      <w:r>
        <w:rPr>
          <w:rFonts w:hint="eastAsia" w:ascii="宋体" w:hAnsi="宋体" w:eastAsia="宋体" w:cs="宋体"/>
          <w:lang w:val="en-US" w:eastAsia="zh-CN"/>
        </w:rPr>
        <w:t>3</w:t>
      </w:r>
      <w:r>
        <w:rPr>
          <w:rFonts w:hint="eastAsia" w:ascii="宋体" w:hAnsi="宋体" w:eastAsia="宋体" w:cs="宋体"/>
        </w:rPr>
        <w:t xml:space="preserve"> 月，提交《</w:t>
      </w:r>
      <w:r>
        <w:rPr>
          <w:rFonts w:hint="eastAsia" w:ascii="宋体" w:hAnsi="宋体" w:eastAsia="宋体" w:cs="宋体"/>
          <w:kern w:val="2"/>
          <w:sz w:val="21"/>
          <w:szCs w:val="21"/>
          <w:lang w:val="en-US" w:eastAsia="zh-CN" w:bidi="ar-SA"/>
        </w:rPr>
        <w:t>稀土金属及其氧化物中非稀土杂质化学分析方法 第11部分：镁量的测定 火焰原子吸收光谱法</w:t>
      </w:r>
      <w:r>
        <w:rPr>
          <w:rFonts w:hint="eastAsia" w:ascii="宋体" w:hAnsi="宋体" w:eastAsia="宋体" w:cs="宋体"/>
        </w:rPr>
        <w:t>》</w:t>
      </w:r>
      <w:r>
        <w:rPr>
          <w:rFonts w:hint="eastAsia" w:ascii="宋体" w:hAnsi="宋体" w:eastAsia="宋体" w:cs="宋体"/>
          <w:lang w:eastAsia="zh-CN"/>
        </w:rPr>
        <w:t>国家</w:t>
      </w:r>
      <w:r>
        <w:rPr>
          <w:rFonts w:hint="eastAsia" w:ascii="宋体" w:hAnsi="宋体" w:eastAsia="宋体" w:cs="宋体"/>
        </w:rPr>
        <w:t>标准项目建议书。</w:t>
      </w:r>
    </w:p>
    <w:p w14:paraId="3B353390">
      <w:pPr>
        <w:pStyle w:val="51"/>
        <w:spacing w:line="360" w:lineRule="auto"/>
        <w:ind w:left="0" w:leftChars="0" w:firstLine="0" w:firstLineChars="0"/>
        <w:jc w:val="left"/>
        <w:rPr>
          <w:rFonts w:hint="eastAsia" w:ascii="宋体" w:hAnsi="宋体" w:eastAsia="宋体" w:cs="宋体"/>
          <w:b/>
          <w:bCs/>
        </w:rPr>
      </w:pPr>
      <w:r>
        <w:rPr>
          <w:rFonts w:hint="eastAsia" w:ascii="宋体" w:hAnsi="宋体" w:eastAsia="宋体" w:cs="宋体"/>
          <w:b/>
          <w:bCs/>
        </w:rPr>
        <w:t>4.2 立项阶段</w:t>
      </w:r>
    </w:p>
    <w:p w14:paraId="3D8AC9E2">
      <w:pPr>
        <w:pStyle w:val="51"/>
        <w:spacing w:line="360" w:lineRule="auto"/>
        <w:ind w:firstLine="420"/>
        <w:rPr>
          <w:rFonts w:hint="eastAsia" w:ascii="宋体" w:hAnsi="宋体" w:eastAsia="宋体" w:cs="宋体"/>
        </w:rPr>
      </w:pPr>
      <w:r>
        <w:rPr>
          <w:rFonts w:hint="eastAsia" w:ascii="宋体" w:hAnsi="宋体" w:eastAsia="宋体" w:cs="宋体"/>
        </w:rPr>
        <w:t>202</w:t>
      </w:r>
      <w:r>
        <w:rPr>
          <w:rFonts w:hint="eastAsia" w:ascii="宋体" w:hAnsi="宋体" w:eastAsia="宋体" w:cs="宋体"/>
          <w:lang w:val="en-US" w:eastAsia="zh-CN"/>
        </w:rPr>
        <w:t>3</w:t>
      </w:r>
      <w:r>
        <w:rPr>
          <w:rFonts w:hint="eastAsia" w:ascii="宋体" w:hAnsi="宋体" w:eastAsia="宋体" w:cs="宋体"/>
        </w:rPr>
        <w:t>年</w:t>
      </w:r>
      <w:r>
        <w:rPr>
          <w:rFonts w:hint="eastAsia" w:ascii="宋体" w:hAnsi="宋体" w:eastAsia="宋体" w:cs="宋体"/>
          <w:lang w:val="en-US" w:eastAsia="zh-CN"/>
        </w:rPr>
        <w:t>12</w:t>
      </w:r>
      <w:r>
        <w:rPr>
          <w:rFonts w:hint="eastAsia" w:ascii="宋体" w:hAnsi="宋体" w:eastAsia="宋体" w:cs="宋体"/>
        </w:rPr>
        <w:t>月，根据《</w:t>
      </w:r>
      <w:r>
        <w:rPr>
          <w:rFonts w:hint="eastAsia" w:ascii="宋体" w:hAnsi="宋体" w:eastAsia="宋体" w:cs="宋体"/>
          <w:lang w:eastAsia="zh-CN"/>
        </w:rPr>
        <w:t>国家标准化管理委员会关于下达</w:t>
      </w:r>
      <w:r>
        <w:rPr>
          <w:rFonts w:hint="eastAsia" w:ascii="宋体" w:hAnsi="宋体" w:eastAsia="宋体" w:cs="宋体"/>
          <w:lang w:val="en-US" w:eastAsia="zh-CN"/>
        </w:rPr>
        <w:t>2023年第三批推荐性国家标准计划及相关标准外文版计划</w:t>
      </w:r>
      <w:r>
        <w:rPr>
          <w:rFonts w:hint="eastAsia" w:ascii="宋体" w:hAnsi="宋体" w:eastAsia="宋体" w:cs="宋体"/>
        </w:rPr>
        <w:t>的通知》（</w:t>
      </w:r>
      <w:r>
        <w:rPr>
          <w:rFonts w:hint="eastAsia" w:ascii="宋体" w:hAnsi="宋体" w:eastAsia="宋体" w:cs="宋体"/>
          <w:lang w:eastAsia="zh-CN"/>
        </w:rPr>
        <w:t>国标委发</w:t>
      </w:r>
      <w:r>
        <w:rPr>
          <w:rFonts w:hint="eastAsia" w:ascii="宋体" w:hAnsi="宋体" w:eastAsia="宋体" w:cs="宋体"/>
        </w:rPr>
        <w:t>[202</w:t>
      </w: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58</w:t>
      </w:r>
      <w:r>
        <w:rPr>
          <w:rFonts w:hint="eastAsia" w:ascii="宋体" w:hAnsi="宋体" w:eastAsia="宋体" w:cs="宋体"/>
        </w:rPr>
        <w:t>号文件），</w:t>
      </w:r>
      <w:bookmarkStart w:id="1" w:name="_Hlk110086555"/>
      <w:r>
        <w:rPr>
          <w:rFonts w:hint="eastAsia" w:ascii="宋体" w:hAnsi="宋体" w:eastAsia="宋体" w:cs="宋体"/>
        </w:rPr>
        <w:t>《</w:t>
      </w:r>
      <w:bookmarkEnd w:id="1"/>
      <w:r>
        <w:rPr>
          <w:rFonts w:hint="eastAsia" w:ascii="宋体" w:hAnsi="宋体" w:eastAsia="宋体" w:cs="宋体"/>
          <w:kern w:val="2"/>
          <w:sz w:val="21"/>
          <w:szCs w:val="21"/>
          <w:lang w:val="en-US" w:eastAsia="zh-CN" w:bidi="ar-SA"/>
        </w:rPr>
        <w:t>稀土金属及其氧化物中非稀土杂质化学分析方法 第11部分：镁量的测定 火焰原子吸收光谱法</w:t>
      </w:r>
      <w:r>
        <w:rPr>
          <w:rFonts w:hint="eastAsia" w:ascii="宋体" w:hAnsi="宋体" w:eastAsia="宋体" w:cs="宋体"/>
        </w:rPr>
        <w:t>》</w:t>
      </w:r>
      <w:r>
        <w:rPr>
          <w:rFonts w:hint="eastAsia" w:ascii="宋体" w:hAnsi="宋体" w:eastAsia="宋体" w:cs="宋体"/>
          <w:lang w:eastAsia="zh-CN"/>
        </w:rPr>
        <w:t>修</w:t>
      </w:r>
      <w:r>
        <w:rPr>
          <w:rFonts w:hint="eastAsia" w:ascii="宋体" w:hAnsi="宋体" w:eastAsia="宋体" w:cs="宋体"/>
        </w:rPr>
        <w:t>定计划下达，项目由全国稀土标准化技术委员会（SAC/TC 229）提出并归口，由</w:t>
      </w:r>
      <w:r>
        <w:rPr>
          <w:rFonts w:hint="eastAsia" w:ascii="宋体" w:hAnsi="宋体" w:eastAsia="宋体" w:cs="宋体"/>
          <w:lang w:eastAsia="zh-CN"/>
        </w:rPr>
        <w:t>江阴加华新材料资源有限公司</w:t>
      </w:r>
      <w:r>
        <w:rPr>
          <w:rFonts w:hint="eastAsia" w:ascii="宋体" w:hAnsi="宋体" w:eastAsia="宋体" w:cs="宋体"/>
        </w:rPr>
        <w:t>负责起草，项目计划编号为202</w:t>
      </w:r>
      <w:r>
        <w:rPr>
          <w:rFonts w:hint="eastAsia" w:ascii="宋体" w:hAnsi="宋体" w:eastAsia="宋体" w:cs="宋体"/>
          <w:lang w:val="en-US" w:eastAsia="zh-CN"/>
        </w:rPr>
        <w:t>31304-T-469</w:t>
      </w:r>
      <w:r>
        <w:rPr>
          <w:rFonts w:hint="eastAsia" w:ascii="宋体" w:hAnsi="宋体" w:eastAsia="宋体" w:cs="宋体"/>
        </w:rPr>
        <w:t>，周期为</w:t>
      </w:r>
      <w:r>
        <w:rPr>
          <w:rFonts w:hint="eastAsia" w:ascii="宋体" w:hAnsi="宋体" w:eastAsia="宋体" w:cs="宋体"/>
          <w:lang w:val="en-US" w:eastAsia="zh-CN"/>
        </w:rPr>
        <w:t>16</w:t>
      </w:r>
      <w:r>
        <w:rPr>
          <w:rFonts w:hint="eastAsia" w:ascii="宋体" w:hAnsi="宋体" w:eastAsia="宋体" w:cs="宋体"/>
        </w:rPr>
        <w:t>个月。</w:t>
      </w:r>
    </w:p>
    <w:p w14:paraId="17F2B003">
      <w:pPr>
        <w:pStyle w:val="51"/>
        <w:spacing w:line="360" w:lineRule="auto"/>
        <w:ind w:left="0" w:leftChars="0" w:firstLine="0" w:firstLineChars="0"/>
        <w:jc w:val="left"/>
        <w:rPr>
          <w:rFonts w:hint="eastAsia" w:ascii="宋体" w:hAnsi="宋体" w:eastAsia="宋体" w:cs="宋体"/>
        </w:rPr>
      </w:pPr>
      <w:r>
        <w:rPr>
          <w:rFonts w:hint="eastAsia" w:ascii="宋体" w:hAnsi="宋体" w:eastAsia="宋体" w:cs="宋体"/>
          <w:b/>
          <w:bCs/>
        </w:rPr>
        <w:t>4.3起草阶段</w:t>
      </w:r>
    </w:p>
    <w:p w14:paraId="60D7D6B9">
      <w:pPr>
        <w:pStyle w:val="51"/>
        <w:spacing w:line="360" w:lineRule="auto"/>
        <w:ind w:firstLine="420"/>
        <w:rPr>
          <w:rFonts w:hint="eastAsia" w:ascii="宋体" w:hAnsi="宋体" w:eastAsia="宋体" w:cs="宋体"/>
        </w:rPr>
      </w:pPr>
      <w:r>
        <w:rPr>
          <w:rFonts w:hint="eastAsia" w:ascii="宋体" w:hAnsi="宋体" w:eastAsia="宋体" w:cs="宋体"/>
        </w:rPr>
        <w:t>202</w:t>
      </w:r>
      <w:r>
        <w:rPr>
          <w:rFonts w:hint="eastAsia" w:ascii="宋体" w:hAnsi="宋体" w:eastAsia="宋体" w:cs="宋体"/>
          <w:lang w:val="en-US" w:eastAsia="zh-CN"/>
        </w:rPr>
        <w:t>4</w:t>
      </w:r>
      <w:r>
        <w:rPr>
          <w:rFonts w:hint="eastAsia" w:ascii="宋体" w:hAnsi="宋体" w:eastAsia="宋体" w:cs="宋体"/>
        </w:rPr>
        <w:t>年</w:t>
      </w:r>
      <w:r>
        <w:rPr>
          <w:rFonts w:hint="eastAsia" w:ascii="宋体" w:hAnsi="宋体" w:eastAsia="宋体" w:cs="宋体"/>
          <w:lang w:val="en-US" w:eastAsia="zh-CN"/>
        </w:rPr>
        <w:t>1</w:t>
      </w:r>
      <w:r>
        <w:rPr>
          <w:rFonts w:hint="eastAsia" w:ascii="宋体" w:hAnsi="宋体" w:eastAsia="宋体" w:cs="宋体"/>
        </w:rPr>
        <w:t>月</w:t>
      </w:r>
      <w:r>
        <w:rPr>
          <w:rFonts w:hint="eastAsia" w:ascii="宋体" w:hAnsi="宋体" w:eastAsia="宋体" w:cs="宋体"/>
          <w:lang w:val="en-US" w:eastAsia="zh-CN"/>
        </w:rPr>
        <w:t>1</w:t>
      </w:r>
      <w:r>
        <w:rPr>
          <w:rFonts w:hint="eastAsia" w:ascii="宋体" w:hAnsi="宋体" w:eastAsia="宋体" w:cs="宋体"/>
        </w:rPr>
        <w:t>6日～</w:t>
      </w:r>
      <w:r>
        <w:rPr>
          <w:rFonts w:hint="eastAsia" w:ascii="宋体" w:hAnsi="宋体" w:eastAsia="宋体" w:cs="宋体"/>
          <w:lang w:val="en-US" w:eastAsia="zh-CN"/>
        </w:rPr>
        <w:t>1</w:t>
      </w:r>
      <w:r>
        <w:rPr>
          <w:rFonts w:hint="eastAsia" w:ascii="宋体" w:hAnsi="宋体" w:eastAsia="宋体" w:cs="宋体"/>
        </w:rPr>
        <w:t>月</w:t>
      </w:r>
      <w:r>
        <w:rPr>
          <w:rFonts w:hint="eastAsia" w:ascii="宋体" w:hAnsi="宋体" w:eastAsia="宋体" w:cs="宋体"/>
          <w:lang w:val="en-US" w:eastAsia="zh-CN"/>
        </w:rPr>
        <w:t>18</w:t>
      </w:r>
      <w:r>
        <w:rPr>
          <w:rFonts w:hint="eastAsia" w:ascii="宋体" w:hAnsi="宋体" w:eastAsia="宋体" w:cs="宋体"/>
        </w:rPr>
        <w:t>日全国稀土标准化技术委员会在</w:t>
      </w:r>
      <w:r>
        <w:rPr>
          <w:rFonts w:hint="eastAsia" w:ascii="宋体" w:hAnsi="宋体" w:eastAsia="宋体" w:cs="宋体"/>
          <w:lang w:eastAsia="zh-CN"/>
        </w:rPr>
        <w:t>广东</w:t>
      </w:r>
      <w:r>
        <w:rPr>
          <w:rFonts w:hint="eastAsia" w:ascii="宋体" w:hAnsi="宋体" w:eastAsia="宋体" w:cs="宋体"/>
        </w:rPr>
        <w:t>省</w:t>
      </w:r>
      <w:r>
        <w:rPr>
          <w:rFonts w:hint="eastAsia" w:ascii="宋体" w:hAnsi="宋体" w:eastAsia="宋体" w:cs="宋体"/>
          <w:lang w:eastAsia="zh-CN"/>
        </w:rPr>
        <w:t>珠海</w:t>
      </w:r>
      <w:r>
        <w:rPr>
          <w:rFonts w:hint="eastAsia" w:ascii="宋体" w:hAnsi="宋体" w:eastAsia="宋体" w:cs="宋体"/>
        </w:rPr>
        <w:t>市召开“202</w:t>
      </w:r>
      <w:r>
        <w:rPr>
          <w:rFonts w:hint="eastAsia" w:ascii="宋体" w:hAnsi="宋体" w:eastAsia="宋体" w:cs="宋体"/>
          <w:lang w:val="en-US" w:eastAsia="zh-CN"/>
        </w:rPr>
        <w:t>4</w:t>
      </w:r>
      <w:r>
        <w:rPr>
          <w:rFonts w:hint="eastAsia" w:ascii="宋体" w:hAnsi="宋体" w:eastAsia="宋体" w:cs="宋体"/>
        </w:rPr>
        <w:t>年第一次稀土标准工作会议”会议</w:t>
      </w:r>
      <w:r>
        <w:rPr>
          <w:rFonts w:hint="eastAsia" w:ascii="宋体" w:hAnsi="宋体" w:eastAsia="宋体" w:cs="宋体"/>
          <w:lang w:eastAsia="zh-CN"/>
        </w:rPr>
        <w:t>完成</w:t>
      </w:r>
      <w:r>
        <w:rPr>
          <w:rFonts w:hint="eastAsia" w:ascii="宋体" w:hAnsi="宋体" w:eastAsia="宋体" w:cs="宋体"/>
        </w:rPr>
        <w:t>了1</w:t>
      </w:r>
      <w:r>
        <w:rPr>
          <w:rFonts w:hint="eastAsia" w:ascii="宋体" w:hAnsi="宋体" w:eastAsia="宋体" w:cs="宋体"/>
          <w:lang w:val="en-US" w:eastAsia="zh-CN"/>
        </w:rPr>
        <w:t>9</w:t>
      </w:r>
      <w:r>
        <w:rPr>
          <w:rFonts w:hint="eastAsia" w:ascii="宋体" w:hAnsi="宋体" w:eastAsia="宋体" w:cs="宋体"/>
        </w:rPr>
        <w:t>项国家、行业标准的任务落实。</w:t>
      </w:r>
    </w:p>
    <w:p w14:paraId="5D95CD93">
      <w:pPr>
        <w:pStyle w:val="51"/>
        <w:spacing w:line="360" w:lineRule="auto"/>
        <w:ind w:firstLine="420"/>
        <w:rPr>
          <w:rFonts w:hint="eastAsia" w:ascii="宋体" w:hAnsi="宋体" w:eastAsia="宋体" w:cs="宋体"/>
        </w:rPr>
      </w:pPr>
      <w:r>
        <w:rPr>
          <w:rFonts w:hint="eastAsia" w:ascii="宋体" w:hAnsi="宋体" w:eastAsia="宋体" w:cs="宋体"/>
        </w:rPr>
        <w:t>202</w:t>
      </w:r>
      <w:r>
        <w:rPr>
          <w:rFonts w:hint="eastAsia" w:ascii="宋体" w:hAnsi="宋体" w:eastAsia="宋体" w:cs="宋体"/>
          <w:lang w:val="en-US" w:eastAsia="zh-CN"/>
        </w:rPr>
        <w:t>4</w:t>
      </w:r>
      <w:r>
        <w:rPr>
          <w:rFonts w:hint="eastAsia" w:ascii="宋体" w:hAnsi="宋体" w:eastAsia="宋体" w:cs="宋体"/>
        </w:rPr>
        <w:t>年</w:t>
      </w:r>
      <w:r>
        <w:rPr>
          <w:rFonts w:hint="eastAsia" w:ascii="宋体" w:hAnsi="宋体" w:eastAsia="宋体" w:cs="宋体"/>
          <w:lang w:val="en-US" w:eastAsia="zh-CN"/>
        </w:rPr>
        <w:t>2</w:t>
      </w:r>
      <w:r>
        <w:rPr>
          <w:rFonts w:hint="eastAsia" w:ascii="宋体" w:hAnsi="宋体" w:eastAsia="宋体" w:cs="宋体"/>
        </w:rPr>
        <w:t>月</w:t>
      </w:r>
      <w:r>
        <w:rPr>
          <w:rFonts w:hint="eastAsia" w:ascii="宋体" w:hAnsi="宋体" w:eastAsia="宋体" w:cs="宋体"/>
          <w:lang w:val="en-US" w:eastAsia="zh-CN"/>
        </w:rPr>
        <w:t>4</w:t>
      </w:r>
      <w:r>
        <w:rPr>
          <w:rFonts w:hint="eastAsia" w:ascii="宋体" w:hAnsi="宋体" w:eastAsia="宋体" w:cs="宋体"/>
        </w:rPr>
        <w:t>日稀土标委[202</w:t>
      </w: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lang w:val="en-US" w:eastAsia="zh-CN"/>
        </w:rPr>
        <w:t>6</w:t>
      </w:r>
      <w:r>
        <w:rPr>
          <w:rFonts w:hint="eastAsia" w:ascii="宋体" w:hAnsi="宋体" w:eastAsia="宋体" w:cs="宋体"/>
        </w:rPr>
        <w:t>号文“关于</w:t>
      </w:r>
      <w:r>
        <w:rPr>
          <w:rFonts w:hint="eastAsia" w:ascii="宋体" w:hAnsi="宋体" w:eastAsia="宋体" w:cs="宋体"/>
          <w:lang w:eastAsia="zh-CN"/>
        </w:rPr>
        <w:t>印</w:t>
      </w:r>
      <w:r>
        <w:rPr>
          <w:rFonts w:hint="eastAsia" w:ascii="宋体" w:hAnsi="宋体" w:eastAsia="宋体" w:cs="宋体"/>
        </w:rPr>
        <w:t>发</w:t>
      </w:r>
      <w:r>
        <w:rPr>
          <w:rFonts w:hint="eastAsia" w:ascii="宋体" w:hAnsi="宋体" w:eastAsia="宋体" w:cs="宋体"/>
          <w:lang w:eastAsia="zh-CN"/>
        </w:rPr>
        <w:t>《稀土复合钇锆陶瓷粉》等</w:t>
      </w:r>
      <w:r>
        <w:rPr>
          <w:rFonts w:hint="eastAsia" w:ascii="宋体" w:hAnsi="宋体" w:eastAsia="宋体" w:cs="宋体"/>
          <w:lang w:val="en-US" w:eastAsia="zh-CN"/>
        </w:rPr>
        <w:t>24项国家、行业标准</w:t>
      </w:r>
      <w:r>
        <w:rPr>
          <w:rFonts w:hint="eastAsia" w:ascii="宋体" w:hAnsi="宋体" w:eastAsia="宋体" w:cs="宋体"/>
        </w:rPr>
        <w:t>计划任务落实</w:t>
      </w:r>
      <w:r>
        <w:rPr>
          <w:rFonts w:hint="eastAsia" w:ascii="宋体" w:hAnsi="宋体" w:eastAsia="宋体" w:cs="宋体"/>
          <w:lang w:eastAsia="zh-CN"/>
        </w:rPr>
        <w:t>会议纪要</w:t>
      </w:r>
      <w:r>
        <w:rPr>
          <w:rFonts w:hint="eastAsia" w:ascii="宋体" w:hAnsi="宋体" w:eastAsia="宋体" w:cs="宋体"/>
        </w:rPr>
        <w:t>的通知”确定负责起草单位为阴加华新材料资源有限公司；一验单位为</w:t>
      </w:r>
      <w:r>
        <w:rPr>
          <w:rFonts w:hint="eastAsia" w:ascii="宋体" w:hAnsi="宋体" w:eastAsia="宋体" w:cs="宋体"/>
          <w:szCs w:val="21"/>
          <w:lang w:val="en-US" w:eastAsia="zh-CN"/>
        </w:rPr>
        <w:t>中稀（凉山）稀土有限公司、国家钨与稀土产品质量监督检验中心；</w:t>
      </w:r>
      <w:r>
        <w:rPr>
          <w:rFonts w:hint="eastAsia" w:ascii="宋体" w:hAnsi="宋体" w:eastAsia="宋体" w:cs="宋体"/>
        </w:rPr>
        <w:t>二验单位为</w:t>
      </w:r>
      <w:r>
        <w:rPr>
          <w:rFonts w:hint="eastAsia" w:ascii="宋体" w:hAnsi="宋体" w:eastAsia="宋体" w:cs="宋体"/>
          <w:szCs w:val="21"/>
          <w:lang w:val="en-US" w:eastAsia="zh-CN"/>
        </w:rPr>
        <w:t>定南大华新材料资源有限公司、国瑞科创稀土功能材料（赣州）有限公司、包头市三隆稀有金属材料有限责任公司、包头市宏博特科技有限责任公司</w:t>
      </w:r>
      <w:r>
        <w:rPr>
          <w:rFonts w:hint="eastAsia" w:ascii="宋体" w:hAnsi="宋体" w:eastAsia="宋体" w:cs="宋体"/>
        </w:rPr>
        <w:t>。会议确定了《</w:t>
      </w:r>
      <w:r>
        <w:rPr>
          <w:rFonts w:hint="eastAsia" w:ascii="宋体" w:hAnsi="宋体" w:eastAsia="宋体" w:cs="宋体"/>
          <w:lang w:eastAsia="zh-CN"/>
        </w:rPr>
        <w:t>稀</w:t>
      </w:r>
      <w:r>
        <w:rPr>
          <w:rFonts w:hint="eastAsia" w:ascii="宋体" w:hAnsi="宋体" w:eastAsia="宋体" w:cs="宋体"/>
          <w:kern w:val="2"/>
          <w:sz w:val="21"/>
          <w:szCs w:val="21"/>
          <w:lang w:val="en-US" w:eastAsia="zh-CN" w:bidi="ar-SA"/>
        </w:rPr>
        <w:t>土金属及其氧化物中非稀土杂质化学分析方法 第11部分：镁量的测定 火焰原子吸收光谱法</w:t>
      </w:r>
      <w:r>
        <w:rPr>
          <w:rFonts w:hint="eastAsia" w:ascii="宋体" w:hAnsi="宋体" w:eastAsia="宋体" w:cs="宋体"/>
        </w:rPr>
        <w:t>》系列标准研制时间表，202</w:t>
      </w:r>
      <w:r>
        <w:rPr>
          <w:rFonts w:hint="eastAsia" w:ascii="宋体" w:hAnsi="宋体" w:eastAsia="宋体" w:cs="宋体"/>
          <w:lang w:val="en-US" w:eastAsia="zh-CN"/>
        </w:rPr>
        <w:t>5</w:t>
      </w:r>
      <w:r>
        <w:rPr>
          <w:rFonts w:hint="eastAsia" w:ascii="宋体" w:hAnsi="宋体" w:eastAsia="宋体" w:cs="宋体"/>
        </w:rPr>
        <w:t>年</w:t>
      </w:r>
      <w:r>
        <w:rPr>
          <w:rFonts w:hint="eastAsia" w:ascii="宋体" w:hAnsi="宋体" w:eastAsia="宋体" w:cs="宋体"/>
          <w:lang w:val="en-US" w:eastAsia="zh-CN"/>
        </w:rPr>
        <w:t>3</w:t>
      </w:r>
      <w:r>
        <w:rPr>
          <w:rFonts w:hint="eastAsia" w:ascii="宋体" w:hAnsi="宋体" w:eastAsia="宋体" w:cs="宋体"/>
        </w:rPr>
        <w:t>月召开审定会。</w:t>
      </w:r>
    </w:p>
    <w:p w14:paraId="42F7B803">
      <w:pPr>
        <w:pStyle w:val="51"/>
        <w:spacing w:line="360" w:lineRule="auto"/>
        <w:ind w:firstLine="420"/>
        <w:rPr>
          <w:rFonts w:hint="eastAsia" w:ascii="宋体" w:hAnsi="宋体" w:eastAsia="宋体" w:cs="宋体"/>
        </w:rPr>
      </w:pPr>
      <w:r>
        <w:rPr>
          <w:rFonts w:hint="eastAsia" w:ascii="宋体" w:hAnsi="宋体" w:eastAsia="宋体" w:cs="宋体"/>
          <w:lang w:eastAsia="zh-CN"/>
        </w:rPr>
        <w:t>江阴加华新材料资源有限公司</w:t>
      </w:r>
      <w:r>
        <w:rPr>
          <w:rFonts w:hint="eastAsia" w:ascii="宋体" w:hAnsi="宋体" w:eastAsia="宋体" w:cs="宋体"/>
        </w:rPr>
        <w:t>接受任务后，立即成立了《</w:t>
      </w:r>
      <w:r>
        <w:rPr>
          <w:rFonts w:hint="eastAsia" w:ascii="宋体" w:hAnsi="宋体" w:eastAsia="宋体" w:cs="宋体"/>
          <w:lang w:eastAsia="zh-CN"/>
        </w:rPr>
        <w:t>稀</w:t>
      </w:r>
      <w:r>
        <w:rPr>
          <w:rFonts w:hint="eastAsia" w:ascii="宋体" w:hAnsi="宋体" w:eastAsia="宋体" w:cs="宋体"/>
          <w:kern w:val="2"/>
          <w:sz w:val="21"/>
          <w:szCs w:val="21"/>
          <w:lang w:val="en-US" w:eastAsia="zh-CN" w:bidi="ar-SA"/>
        </w:rPr>
        <w:t>土金属及其氧化物中非稀土杂质化学分析方法 第11部分：镁量的测定 火焰原子吸收光谱法</w:t>
      </w:r>
      <w:r>
        <w:rPr>
          <w:rFonts w:hint="eastAsia" w:ascii="宋体" w:hAnsi="宋体" w:eastAsia="宋体" w:cs="宋体"/>
        </w:rPr>
        <w:t>》</w:t>
      </w:r>
      <w:r>
        <w:rPr>
          <w:rFonts w:hint="eastAsia" w:ascii="宋体" w:hAnsi="宋体" w:eastAsia="宋体" w:cs="宋体"/>
          <w:lang w:eastAsia="zh-CN"/>
        </w:rPr>
        <w:t>起草编制实验</w:t>
      </w:r>
      <w:r>
        <w:rPr>
          <w:rFonts w:hint="eastAsia" w:ascii="宋体" w:hAnsi="宋体" w:eastAsia="宋体" w:cs="宋体"/>
        </w:rPr>
        <w:t>小组。</w:t>
      </w:r>
    </w:p>
    <w:p w14:paraId="16A328E8">
      <w:pPr>
        <w:pStyle w:val="51"/>
        <w:spacing w:line="360" w:lineRule="auto"/>
        <w:ind w:firstLine="420"/>
        <w:rPr>
          <w:rFonts w:hint="eastAsia" w:ascii="宋体" w:hAnsi="宋体" w:eastAsia="宋体" w:cs="宋体"/>
          <w:color w:val="auto"/>
          <w:lang w:val="en-US" w:eastAsia="zh-CN"/>
        </w:rPr>
      </w:pPr>
      <w:r>
        <w:rPr>
          <w:rFonts w:hint="eastAsia" w:ascii="宋体" w:hAnsi="宋体" w:eastAsia="宋体" w:cs="宋体"/>
          <w:color w:val="auto"/>
        </w:rPr>
        <w:t>202</w:t>
      </w:r>
      <w:r>
        <w:rPr>
          <w:rFonts w:hint="eastAsia" w:ascii="宋体" w:hAnsi="宋体" w:eastAsia="宋体" w:cs="宋体"/>
          <w:color w:val="auto"/>
          <w:lang w:val="en-US" w:eastAsia="zh-CN"/>
        </w:rPr>
        <w:t>4</w:t>
      </w:r>
      <w:r>
        <w:rPr>
          <w:rFonts w:hint="eastAsia" w:ascii="宋体" w:hAnsi="宋体" w:eastAsia="宋体" w:cs="宋体"/>
          <w:color w:val="auto"/>
        </w:rPr>
        <w:t>年2月</w:t>
      </w:r>
      <w:r>
        <w:rPr>
          <w:rFonts w:hint="eastAsia" w:ascii="宋体" w:hAnsi="宋体" w:eastAsia="宋体" w:cs="宋体"/>
          <w:color w:val="auto"/>
          <w:lang w:val="en-US" w:eastAsia="zh-CN"/>
        </w:rPr>
        <w:t>2</w:t>
      </w:r>
      <w:r>
        <w:rPr>
          <w:rFonts w:hint="eastAsia" w:ascii="宋体" w:hAnsi="宋体" w:eastAsia="宋体" w:cs="宋体"/>
          <w:color w:val="auto"/>
        </w:rPr>
        <w:t>8日，完成了统一样品的制备。统一样品情况——氧化</w:t>
      </w:r>
      <w:r>
        <w:rPr>
          <w:rFonts w:hint="eastAsia" w:ascii="宋体" w:hAnsi="宋体" w:eastAsia="宋体" w:cs="宋体"/>
          <w:color w:val="auto"/>
          <w:lang w:eastAsia="zh-CN"/>
        </w:rPr>
        <w:t>镧</w:t>
      </w:r>
      <w:r>
        <w:rPr>
          <w:rFonts w:hint="eastAsia" w:ascii="宋体" w:hAnsi="宋体" w:eastAsia="宋体" w:cs="宋体"/>
          <w:color w:val="auto"/>
          <w:lang w:val="en-US" w:eastAsia="zh-CN"/>
        </w:rPr>
        <w:t>3</w:t>
      </w:r>
      <w:r>
        <w:rPr>
          <w:rFonts w:hint="eastAsia" w:ascii="宋体" w:hAnsi="宋体" w:eastAsia="宋体" w:cs="宋体"/>
          <w:color w:val="auto"/>
        </w:rPr>
        <w:t>个（编号分别是</w:t>
      </w:r>
      <w:r>
        <w:rPr>
          <w:rFonts w:hint="eastAsia" w:ascii="宋体" w:hAnsi="宋体" w:eastAsia="宋体" w:cs="宋体"/>
          <w:color w:val="auto"/>
          <w:lang w:val="en-US" w:eastAsia="zh-CN"/>
        </w:rPr>
        <w:t>La-</w:t>
      </w:r>
      <w:r>
        <w:rPr>
          <w:rFonts w:hint="eastAsia" w:ascii="宋体" w:hAnsi="宋体" w:eastAsia="宋体" w:cs="宋体"/>
          <w:color w:val="auto"/>
        </w:rPr>
        <w:t>1#、</w:t>
      </w:r>
      <w:r>
        <w:rPr>
          <w:rFonts w:hint="eastAsia" w:ascii="宋体" w:hAnsi="宋体" w:eastAsia="宋体" w:cs="宋体"/>
          <w:color w:val="auto"/>
          <w:lang w:val="en-US" w:eastAsia="zh-CN"/>
        </w:rPr>
        <w:t>La-</w:t>
      </w:r>
      <w:r>
        <w:rPr>
          <w:rFonts w:hint="eastAsia" w:ascii="宋体" w:hAnsi="宋体" w:eastAsia="宋体" w:cs="宋体"/>
          <w:color w:val="auto"/>
        </w:rPr>
        <w:t>2#、</w:t>
      </w:r>
      <w:r>
        <w:rPr>
          <w:rFonts w:hint="eastAsia" w:ascii="宋体" w:hAnsi="宋体" w:eastAsia="宋体" w:cs="宋体"/>
          <w:color w:val="auto"/>
          <w:lang w:val="en-US" w:eastAsia="zh-CN"/>
        </w:rPr>
        <w:t>La-</w:t>
      </w:r>
      <w:r>
        <w:rPr>
          <w:rFonts w:hint="eastAsia" w:ascii="宋体" w:hAnsi="宋体" w:eastAsia="宋体" w:cs="宋体"/>
          <w:color w:val="auto"/>
        </w:rPr>
        <w:t>3#、）；</w:t>
      </w:r>
      <w:r>
        <w:rPr>
          <w:rFonts w:hint="eastAsia" w:ascii="宋体" w:hAnsi="宋体" w:eastAsia="宋体" w:cs="宋体"/>
          <w:color w:val="auto"/>
          <w:lang w:eastAsia="zh-CN"/>
        </w:rPr>
        <w:t>氧化钆</w:t>
      </w:r>
      <w:r>
        <w:rPr>
          <w:rFonts w:hint="eastAsia" w:ascii="宋体" w:hAnsi="宋体" w:eastAsia="宋体" w:cs="宋体"/>
          <w:color w:val="auto"/>
          <w:lang w:val="en-US" w:eastAsia="zh-CN"/>
        </w:rPr>
        <w:t>3个(</w:t>
      </w:r>
      <w:r>
        <w:rPr>
          <w:rFonts w:hint="eastAsia" w:ascii="宋体" w:hAnsi="宋体" w:eastAsia="宋体" w:cs="宋体"/>
          <w:color w:val="auto"/>
        </w:rPr>
        <w:t>编号分别是</w:t>
      </w:r>
      <w:r>
        <w:rPr>
          <w:rFonts w:hint="eastAsia" w:ascii="宋体" w:hAnsi="宋体" w:eastAsia="宋体" w:cs="宋体"/>
          <w:color w:val="auto"/>
          <w:lang w:val="en-US" w:eastAsia="zh-CN"/>
        </w:rPr>
        <w:t>Gd-</w:t>
      </w:r>
      <w:r>
        <w:rPr>
          <w:rFonts w:hint="eastAsia" w:ascii="宋体" w:hAnsi="宋体" w:eastAsia="宋体" w:cs="宋体"/>
          <w:color w:val="auto"/>
        </w:rPr>
        <w:t>1#、</w:t>
      </w:r>
      <w:r>
        <w:rPr>
          <w:rFonts w:hint="eastAsia" w:ascii="宋体" w:hAnsi="宋体" w:eastAsia="宋体" w:cs="宋体"/>
          <w:color w:val="auto"/>
          <w:lang w:val="en-US" w:eastAsia="zh-CN"/>
        </w:rPr>
        <w:t>Gd-</w:t>
      </w:r>
      <w:r>
        <w:rPr>
          <w:rFonts w:hint="eastAsia" w:ascii="宋体" w:hAnsi="宋体" w:eastAsia="宋体" w:cs="宋体"/>
          <w:color w:val="auto"/>
        </w:rPr>
        <w:t>2#、</w:t>
      </w:r>
      <w:r>
        <w:rPr>
          <w:rFonts w:hint="eastAsia" w:ascii="宋体" w:hAnsi="宋体" w:eastAsia="宋体" w:cs="宋体"/>
          <w:color w:val="auto"/>
          <w:lang w:val="en-US" w:eastAsia="zh-CN"/>
        </w:rPr>
        <w:t>Gd-</w:t>
      </w:r>
      <w:r>
        <w:rPr>
          <w:rFonts w:hint="eastAsia" w:ascii="宋体" w:hAnsi="宋体" w:eastAsia="宋体" w:cs="宋体"/>
          <w:color w:val="auto"/>
        </w:rPr>
        <w:t>3#</w:t>
      </w:r>
      <w:r>
        <w:rPr>
          <w:rFonts w:hint="eastAsia" w:ascii="宋体" w:hAnsi="宋体" w:eastAsia="宋体" w:cs="宋体"/>
          <w:color w:val="auto"/>
          <w:lang w:val="en-US" w:eastAsia="zh-CN"/>
        </w:rPr>
        <w:t>);氧化钬</w:t>
      </w:r>
      <w:r>
        <w:rPr>
          <w:rFonts w:hint="eastAsia" w:ascii="宋体" w:hAnsi="宋体" w:eastAsia="宋体" w:cs="宋体"/>
          <w:color w:val="auto"/>
        </w:rPr>
        <w:t>1个</w:t>
      </w:r>
      <w:r>
        <w:rPr>
          <w:rFonts w:hint="eastAsia" w:ascii="宋体" w:hAnsi="宋体" w:eastAsia="宋体" w:cs="宋体"/>
          <w:color w:val="auto"/>
          <w:lang w:eastAsia="zh-CN"/>
        </w:rPr>
        <w:t>；金属镨钕</w:t>
      </w:r>
      <w:r>
        <w:rPr>
          <w:rFonts w:hint="eastAsia" w:ascii="宋体" w:hAnsi="宋体" w:eastAsia="宋体" w:cs="宋体"/>
          <w:color w:val="auto"/>
          <w:lang w:val="en-US" w:eastAsia="zh-CN"/>
        </w:rPr>
        <w:t>1个；金属钇1个。</w:t>
      </w:r>
    </w:p>
    <w:p w14:paraId="1E8106EA">
      <w:pPr>
        <w:pStyle w:val="51"/>
        <w:spacing w:line="360" w:lineRule="auto"/>
        <w:ind w:firstLine="420"/>
        <w:rPr>
          <w:rFonts w:hint="eastAsia"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eastAsia="宋体" w:cs="宋体"/>
          <w:color w:val="auto"/>
          <w:lang w:val="en-US" w:eastAsia="zh-CN"/>
        </w:rPr>
        <w:t>4</w:t>
      </w:r>
      <w:r>
        <w:rPr>
          <w:rFonts w:hint="eastAsia" w:ascii="宋体" w:hAnsi="宋体" w:eastAsia="宋体" w:cs="宋体"/>
          <w:color w:val="auto"/>
        </w:rPr>
        <w:t>月11日，各参与单位</w:t>
      </w:r>
      <w:r>
        <w:rPr>
          <w:rFonts w:hint="eastAsia" w:ascii="宋体" w:hAnsi="宋体" w:eastAsia="宋体" w:cs="宋体"/>
          <w:color w:val="auto"/>
          <w:lang w:eastAsia="zh-CN"/>
        </w:rPr>
        <w:t>共同</w:t>
      </w:r>
      <w:r>
        <w:rPr>
          <w:rFonts w:hint="eastAsia" w:ascii="宋体" w:hAnsi="宋体" w:eastAsia="宋体" w:cs="宋体"/>
          <w:color w:val="auto"/>
        </w:rPr>
        <w:t>建立</w:t>
      </w:r>
      <w:r>
        <w:rPr>
          <w:rFonts w:hint="eastAsia" w:ascii="宋体" w:hAnsi="宋体" w:eastAsia="宋体" w:cs="宋体"/>
          <w:color w:val="auto"/>
          <w:lang w:eastAsia="zh-CN"/>
        </w:rPr>
        <w:t>项目</w:t>
      </w:r>
      <w:r>
        <w:rPr>
          <w:rFonts w:hint="eastAsia" w:ascii="宋体" w:hAnsi="宋体" w:eastAsia="宋体" w:cs="宋体"/>
          <w:color w:val="auto"/>
        </w:rPr>
        <w:t>交流</w:t>
      </w:r>
      <w:r>
        <w:rPr>
          <w:rFonts w:hint="eastAsia" w:ascii="宋体" w:hAnsi="宋体" w:eastAsia="宋体" w:cs="宋体"/>
          <w:color w:val="auto"/>
          <w:lang w:eastAsia="zh-CN"/>
        </w:rPr>
        <w:t>工作组微信</w:t>
      </w:r>
      <w:r>
        <w:rPr>
          <w:rFonts w:hint="eastAsia" w:ascii="宋体" w:hAnsi="宋体" w:eastAsia="宋体" w:cs="宋体"/>
          <w:color w:val="auto"/>
        </w:rPr>
        <w:t>群。</w:t>
      </w:r>
    </w:p>
    <w:p w14:paraId="6FD94EC8">
      <w:pPr>
        <w:pStyle w:val="51"/>
        <w:spacing w:line="360" w:lineRule="auto"/>
        <w:ind w:firstLine="420"/>
        <w:rPr>
          <w:rFonts w:hint="eastAsia"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eastAsia="宋体" w:cs="宋体"/>
          <w:color w:val="auto"/>
          <w:lang w:val="en-US" w:eastAsia="zh-CN"/>
        </w:rPr>
        <w:t>5</w:t>
      </w:r>
      <w:r>
        <w:rPr>
          <w:rFonts w:hint="eastAsia" w:ascii="宋体" w:hAnsi="宋体" w:eastAsia="宋体" w:cs="宋体"/>
          <w:color w:val="auto"/>
        </w:rPr>
        <w:t>月</w:t>
      </w:r>
      <w:r>
        <w:rPr>
          <w:rFonts w:hint="eastAsia" w:ascii="宋体" w:hAnsi="宋体" w:eastAsia="宋体" w:cs="宋体"/>
          <w:color w:val="auto"/>
          <w:lang w:val="en-US" w:eastAsia="zh-CN"/>
        </w:rPr>
        <w:t>2</w:t>
      </w:r>
      <w:r>
        <w:rPr>
          <w:rFonts w:hint="eastAsia" w:ascii="宋体" w:hAnsi="宋体" w:eastAsia="宋体" w:cs="宋体"/>
          <w:color w:val="auto"/>
        </w:rPr>
        <w:t>7日，完成了统一样品邮寄。</w:t>
      </w:r>
    </w:p>
    <w:p w14:paraId="2E03C8C9">
      <w:pPr>
        <w:pStyle w:val="51"/>
        <w:spacing w:line="360" w:lineRule="auto"/>
        <w:ind w:firstLine="420"/>
        <w:rPr>
          <w:rFonts w:hint="eastAsia" w:ascii="宋体" w:hAnsi="宋体" w:eastAsia="宋体" w:cs="宋体"/>
          <w:color w:val="FF0000"/>
        </w:rPr>
      </w:pPr>
      <w:r>
        <w:rPr>
          <w:rFonts w:hint="eastAsia" w:ascii="宋体" w:hAnsi="宋体" w:eastAsia="宋体" w:cs="宋体"/>
          <w:color w:val="auto"/>
        </w:rPr>
        <w:t>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eastAsia="宋体" w:cs="宋体"/>
          <w:color w:val="auto"/>
          <w:lang w:val="en-US" w:eastAsia="zh-CN"/>
        </w:rPr>
        <w:t>5</w:t>
      </w:r>
      <w:r>
        <w:rPr>
          <w:rFonts w:hint="eastAsia" w:ascii="宋体" w:hAnsi="宋体" w:eastAsia="宋体" w:cs="宋体"/>
          <w:color w:val="auto"/>
        </w:rPr>
        <w:t>月</w:t>
      </w:r>
      <w:r>
        <w:rPr>
          <w:rFonts w:hint="eastAsia" w:ascii="宋体" w:hAnsi="宋体" w:eastAsia="宋体" w:cs="宋体"/>
          <w:color w:val="auto"/>
          <w:lang w:val="en-US" w:eastAsia="zh-CN"/>
        </w:rPr>
        <w:t>30</w:t>
      </w:r>
      <w:r>
        <w:rPr>
          <w:rFonts w:hint="eastAsia" w:ascii="宋体" w:hAnsi="宋体" w:eastAsia="宋体" w:cs="宋体"/>
          <w:color w:val="auto"/>
        </w:rPr>
        <w:t>日，</w:t>
      </w:r>
      <w:r>
        <w:rPr>
          <w:rFonts w:hint="eastAsia" w:ascii="宋体" w:hAnsi="宋体" w:eastAsia="宋体" w:cs="宋体"/>
          <w:color w:val="auto"/>
          <w:lang w:eastAsia="zh-CN"/>
        </w:rPr>
        <w:t>江阴加华新材料资源</w:t>
      </w:r>
      <w:r>
        <w:rPr>
          <w:rFonts w:hint="eastAsia" w:ascii="宋体" w:hAnsi="宋体" w:eastAsia="宋体" w:cs="宋体"/>
          <w:color w:val="auto"/>
        </w:rPr>
        <w:t>有限公司完成了《</w:t>
      </w:r>
      <w:r>
        <w:rPr>
          <w:rFonts w:hint="eastAsia" w:ascii="宋体" w:hAnsi="宋体" w:eastAsia="宋体" w:cs="宋体"/>
          <w:color w:val="auto"/>
          <w:lang w:eastAsia="zh-CN"/>
        </w:rPr>
        <w:t>稀</w:t>
      </w:r>
      <w:r>
        <w:rPr>
          <w:rFonts w:hint="eastAsia" w:ascii="宋体" w:hAnsi="宋体" w:eastAsia="宋体" w:cs="宋体"/>
          <w:color w:val="auto"/>
          <w:kern w:val="2"/>
          <w:sz w:val="21"/>
          <w:szCs w:val="21"/>
          <w:lang w:val="en-US" w:eastAsia="zh-CN" w:bidi="ar-SA"/>
        </w:rPr>
        <w:t>土金属及其氧化物中非稀土杂质化学分析方法 第11部分：镁量的测定 火焰原子吸收光谱法</w:t>
      </w:r>
      <w:r>
        <w:rPr>
          <w:rFonts w:hint="eastAsia" w:ascii="宋体" w:hAnsi="宋体" w:eastAsia="宋体" w:cs="宋体"/>
          <w:color w:val="auto"/>
        </w:rPr>
        <w:t>》方法研究报告，并在标准验证群内发送给验证单位。</w:t>
      </w:r>
    </w:p>
    <w:p w14:paraId="62471375">
      <w:pPr>
        <w:pStyle w:val="51"/>
        <w:spacing w:line="360" w:lineRule="auto"/>
        <w:ind w:firstLine="420"/>
        <w:rPr>
          <w:rFonts w:hint="eastAsia"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eastAsia="宋体" w:cs="宋体"/>
          <w:color w:val="auto"/>
          <w:lang w:val="en-US" w:eastAsia="zh-CN"/>
        </w:rPr>
        <w:t>5</w:t>
      </w:r>
      <w:r>
        <w:rPr>
          <w:rFonts w:hint="eastAsia" w:ascii="宋体" w:hAnsi="宋体" w:eastAsia="宋体" w:cs="宋体"/>
          <w:color w:val="auto"/>
        </w:rPr>
        <w:t>月</w:t>
      </w:r>
      <w:r>
        <w:rPr>
          <w:rFonts w:hint="eastAsia" w:ascii="宋体" w:hAnsi="宋体" w:eastAsia="宋体" w:cs="宋体"/>
          <w:color w:val="auto"/>
          <w:lang w:val="en-US" w:eastAsia="zh-CN"/>
        </w:rPr>
        <w:t>30</w:t>
      </w:r>
      <w:r>
        <w:rPr>
          <w:rFonts w:hint="eastAsia" w:ascii="宋体" w:hAnsi="宋体" w:eastAsia="宋体" w:cs="宋体"/>
          <w:color w:val="auto"/>
        </w:rPr>
        <w:t>日，完成了验证单位统一样品签收确认。</w:t>
      </w:r>
    </w:p>
    <w:p w14:paraId="6445D02C">
      <w:pPr>
        <w:pStyle w:val="51"/>
        <w:spacing w:line="360" w:lineRule="auto"/>
        <w:ind w:firstLine="420"/>
        <w:rPr>
          <w:rFonts w:hint="eastAsia"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eastAsia="宋体" w:cs="宋体"/>
          <w:color w:val="auto"/>
          <w:lang w:val="en-US" w:eastAsia="zh-CN"/>
        </w:rPr>
        <w:t>6</w:t>
      </w:r>
      <w:r>
        <w:rPr>
          <w:rFonts w:hint="eastAsia" w:ascii="宋体" w:hAnsi="宋体" w:eastAsia="宋体" w:cs="宋体"/>
          <w:color w:val="auto"/>
        </w:rPr>
        <w:t>月</w:t>
      </w:r>
      <w:r>
        <w:rPr>
          <w:rFonts w:hint="eastAsia" w:ascii="宋体" w:hAnsi="宋体" w:eastAsia="宋体" w:cs="宋体"/>
          <w:color w:val="auto"/>
          <w:lang w:val="en-US" w:eastAsia="zh-CN"/>
        </w:rPr>
        <w:t>28</w:t>
      </w:r>
      <w:r>
        <w:rPr>
          <w:rFonts w:hint="eastAsia" w:ascii="宋体" w:hAnsi="宋体" w:eastAsia="宋体" w:cs="宋体"/>
          <w:color w:val="auto"/>
        </w:rPr>
        <w:t>日，</w:t>
      </w:r>
      <w:r>
        <w:rPr>
          <w:rFonts w:hint="eastAsia" w:ascii="宋体" w:hAnsi="宋体" w:eastAsia="宋体" w:cs="宋体"/>
          <w:color w:val="auto"/>
          <w:lang w:eastAsia="zh-CN"/>
        </w:rPr>
        <w:t>包头市三隆稀有金属材料有限责任</w:t>
      </w:r>
      <w:r>
        <w:rPr>
          <w:rFonts w:hint="eastAsia" w:ascii="宋体" w:hAnsi="宋体" w:eastAsia="宋体" w:cs="宋体"/>
          <w:color w:val="auto"/>
        </w:rPr>
        <w:t>公司，返回二验验证报告。</w:t>
      </w:r>
    </w:p>
    <w:p w14:paraId="18AB95F2">
      <w:pPr>
        <w:pStyle w:val="51"/>
        <w:spacing w:line="360" w:lineRule="auto"/>
        <w:ind w:firstLine="420"/>
        <w:rPr>
          <w:rFonts w:hint="eastAsia"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eastAsia="宋体" w:cs="宋体"/>
          <w:color w:val="auto"/>
          <w:lang w:val="en-US" w:eastAsia="zh-CN"/>
        </w:rPr>
        <w:t>7</w:t>
      </w:r>
      <w:r>
        <w:rPr>
          <w:rFonts w:hint="eastAsia" w:ascii="宋体" w:hAnsi="宋体" w:eastAsia="宋体" w:cs="宋体"/>
          <w:color w:val="auto"/>
        </w:rPr>
        <w:t>月1日，</w:t>
      </w:r>
      <w:r>
        <w:rPr>
          <w:rFonts w:hint="eastAsia" w:ascii="宋体" w:hAnsi="宋体" w:eastAsia="宋体" w:cs="宋体"/>
          <w:color w:val="auto"/>
          <w:lang w:eastAsia="zh-CN"/>
        </w:rPr>
        <w:t>中稀（凉山）稀土</w:t>
      </w:r>
      <w:r>
        <w:rPr>
          <w:rFonts w:hint="eastAsia" w:ascii="宋体" w:hAnsi="宋体" w:eastAsia="宋体" w:cs="宋体"/>
          <w:color w:val="auto"/>
        </w:rPr>
        <w:t>有限公司，返回一验验证报告。</w:t>
      </w:r>
    </w:p>
    <w:p w14:paraId="42D4627A">
      <w:pPr>
        <w:pStyle w:val="51"/>
        <w:spacing w:line="360" w:lineRule="auto"/>
        <w:ind w:firstLine="420"/>
        <w:rPr>
          <w:rFonts w:hint="eastAsia" w:ascii="宋体" w:hAnsi="宋体" w:eastAsia="宋体" w:cs="宋体"/>
          <w:color w:val="FF0000"/>
        </w:rPr>
      </w:pPr>
      <w:r>
        <w:rPr>
          <w:rFonts w:hint="eastAsia" w:ascii="宋体" w:hAnsi="宋体" w:eastAsia="宋体" w:cs="宋体"/>
          <w:color w:val="auto"/>
        </w:rPr>
        <w:t>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eastAsia="宋体" w:cs="宋体"/>
          <w:color w:val="auto"/>
          <w:lang w:val="en-US" w:eastAsia="zh-CN"/>
        </w:rPr>
        <w:t>7</w:t>
      </w:r>
      <w:r>
        <w:rPr>
          <w:rFonts w:hint="eastAsia" w:ascii="宋体" w:hAnsi="宋体" w:eastAsia="宋体" w:cs="宋体"/>
          <w:color w:val="auto"/>
        </w:rPr>
        <w:t>月1日，</w:t>
      </w:r>
      <w:r>
        <w:rPr>
          <w:rFonts w:hint="eastAsia" w:ascii="宋体" w:hAnsi="宋体" w:eastAsia="宋体" w:cs="宋体"/>
          <w:color w:val="auto"/>
          <w:lang w:eastAsia="zh-CN"/>
        </w:rPr>
        <w:t>包头市宏博特科技有限责任</w:t>
      </w:r>
      <w:r>
        <w:rPr>
          <w:rFonts w:hint="eastAsia" w:ascii="宋体" w:hAnsi="宋体" w:eastAsia="宋体" w:cs="宋体"/>
          <w:color w:val="auto"/>
        </w:rPr>
        <w:t>公司，返回二验验证报告。</w:t>
      </w:r>
    </w:p>
    <w:p w14:paraId="695F1815">
      <w:pPr>
        <w:pStyle w:val="51"/>
        <w:spacing w:line="360" w:lineRule="auto"/>
        <w:ind w:firstLine="420"/>
        <w:rPr>
          <w:rFonts w:hint="eastAsia"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eastAsia="宋体" w:cs="宋体"/>
          <w:color w:val="auto"/>
          <w:lang w:val="en-US" w:eastAsia="zh-CN"/>
        </w:rPr>
        <w:t>7</w:t>
      </w:r>
      <w:r>
        <w:rPr>
          <w:rFonts w:hint="eastAsia" w:ascii="宋体" w:hAnsi="宋体" w:eastAsia="宋体" w:cs="宋体"/>
          <w:color w:val="auto"/>
        </w:rPr>
        <w:t>月</w:t>
      </w:r>
      <w:r>
        <w:rPr>
          <w:rFonts w:hint="eastAsia" w:ascii="宋体" w:hAnsi="宋体" w:eastAsia="宋体" w:cs="宋体"/>
          <w:color w:val="auto"/>
          <w:lang w:val="en-US" w:eastAsia="zh-CN"/>
        </w:rPr>
        <w:t>8</w:t>
      </w:r>
      <w:r>
        <w:rPr>
          <w:rFonts w:hint="eastAsia" w:ascii="宋体" w:hAnsi="宋体" w:eastAsia="宋体" w:cs="宋体"/>
          <w:color w:val="auto"/>
        </w:rPr>
        <w:t>日</w:t>
      </w:r>
      <w:r>
        <w:rPr>
          <w:rFonts w:hint="eastAsia" w:ascii="宋体" w:hAnsi="宋体" w:eastAsia="宋体" w:cs="宋体"/>
          <w:b w:val="0"/>
          <w:bCs w:val="0"/>
          <w:color w:val="auto"/>
        </w:rPr>
        <w:t>，</w:t>
      </w:r>
      <w:r>
        <w:rPr>
          <w:rFonts w:hint="eastAsia" w:ascii="宋体" w:hAnsi="宋体" w:eastAsia="宋体" w:cs="宋体"/>
          <w:b w:val="0"/>
          <w:bCs w:val="0"/>
          <w:color w:val="auto"/>
          <w:szCs w:val="21"/>
          <w:lang w:val="en-US" w:eastAsia="zh-CN"/>
        </w:rPr>
        <w:t>国家钨与稀土产品质量监督检验中心</w:t>
      </w:r>
      <w:r>
        <w:rPr>
          <w:rFonts w:hint="eastAsia" w:ascii="宋体" w:hAnsi="宋体" w:eastAsia="宋体" w:cs="宋体"/>
          <w:color w:val="auto"/>
        </w:rPr>
        <w:t>，返回一验验证报告。</w:t>
      </w:r>
    </w:p>
    <w:p w14:paraId="3FDC3260">
      <w:pPr>
        <w:pStyle w:val="51"/>
        <w:spacing w:line="360" w:lineRule="auto"/>
        <w:ind w:firstLine="420"/>
        <w:rPr>
          <w:rFonts w:hint="eastAsia"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eastAsia="宋体" w:cs="宋体"/>
          <w:color w:val="auto"/>
          <w:lang w:val="en-US" w:eastAsia="zh-CN"/>
        </w:rPr>
        <w:t>7</w:t>
      </w:r>
      <w:r>
        <w:rPr>
          <w:rFonts w:hint="eastAsia" w:ascii="宋体" w:hAnsi="宋体" w:eastAsia="宋体" w:cs="宋体"/>
          <w:color w:val="auto"/>
        </w:rPr>
        <w:t>月</w:t>
      </w:r>
      <w:r>
        <w:rPr>
          <w:rFonts w:hint="eastAsia" w:ascii="宋体" w:hAnsi="宋体" w:eastAsia="宋体" w:cs="宋体"/>
          <w:color w:val="auto"/>
          <w:lang w:val="en-US" w:eastAsia="zh-CN"/>
        </w:rPr>
        <w:t>24</w:t>
      </w:r>
      <w:r>
        <w:rPr>
          <w:rFonts w:hint="eastAsia" w:ascii="宋体" w:hAnsi="宋体" w:eastAsia="宋体" w:cs="宋体"/>
          <w:color w:val="auto"/>
        </w:rPr>
        <w:t>日，定南大华新材料资源有限公司，返回二验验证报告。</w:t>
      </w:r>
    </w:p>
    <w:p w14:paraId="4EC0D6C4">
      <w:pPr>
        <w:pStyle w:val="51"/>
        <w:spacing w:line="360" w:lineRule="auto"/>
        <w:ind w:firstLine="420"/>
        <w:rPr>
          <w:rFonts w:hint="eastAsia"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eastAsia="宋体" w:cs="宋体"/>
          <w:color w:val="auto"/>
          <w:lang w:val="en-US" w:eastAsia="zh-CN"/>
        </w:rPr>
        <w:t>7</w:t>
      </w:r>
      <w:r>
        <w:rPr>
          <w:rFonts w:hint="eastAsia" w:ascii="宋体" w:hAnsi="宋体" w:eastAsia="宋体" w:cs="宋体"/>
          <w:color w:val="auto"/>
        </w:rPr>
        <w:t>月</w:t>
      </w:r>
      <w:r>
        <w:rPr>
          <w:rFonts w:hint="eastAsia" w:ascii="宋体" w:hAnsi="宋体" w:eastAsia="宋体" w:cs="宋体"/>
          <w:color w:val="auto"/>
          <w:lang w:val="en-US" w:eastAsia="zh-CN"/>
        </w:rPr>
        <w:t>29</w:t>
      </w:r>
      <w:r>
        <w:rPr>
          <w:rFonts w:hint="eastAsia" w:ascii="宋体" w:hAnsi="宋体" w:eastAsia="宋体" w:cs="宋体"/>
          <w:color w:val="auto"/>
        </w:rPr>
        <w:t>日，</w:t>
      </w:r>
      <w:r>
        <w:rPr>
          <w:rFonts w:hint="eastAsia" w:ascii="宋体" w:hAnsi="宋体" w:eastAsia="宋体" w:cs="宋体"/>
          <w:b w:val="0"/>
          <w:bCs w:val="0"/>
          <w:color w:val="auto"/>
          <w:szCs w:val="21"/>
          <w:lang w:val="en-US" w:eastAsia="zh-CN"/>
        </w:rPr>
        <w:t>国瑞科创稀土功能材料（赣州）有限公司</w:t>
      </w:r>
      <w:r>
        <w:rPr>
          <w:rFonts w:hint="eastAsia" w:ascii="宋体" w:hAnsi="宋体" w:eastAsia="宋体" w:cs="宋体"/>
          <w:color w:val="auto"/>
        </w:rPr>
        <w:t>，返回二验验证报告。</w:t>
      </w:r>
    </w:p>
    <w:p w14:paraId="73D3B078">
      <w:pPr>
        <w:pStyle w:val="51"/>
        <w:spacing w:line="360" w:lineRule="auto"/>
        <w:ind w:firstLine="420"/>
        <w:rPr>
          <w:rFonts w:hint="eastAsia" w:ascii="宋体" w:hAnsi="宋体" w:eastAsia="宋体" w:cs="宋体"/>
          <w:color w:val="auto"/>
        </w:rPr>
      </w:pPr>
      <w:r>
        <w:rPr>
          <w:rFonts w:hint="eastAsia" w:ascii="宋体" w:hAnsi="宋体" w:eastAsia="宋体" w:cs="宋体"/>
          <w:color w:val="auto"/>
        </w:rPr>
        <w:t>截止202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eastAsia="宋体" w:cs="宋体"/>
          <w:color w:val="auto"/>
          <w:lang w:val="en-US" w:eastAsia="zh-CN"/>
        </w:rPr>
        <w:t>7</w:t>
      </w:r>
      <w:r>
        <w:rPr>
          <w:rFonts w:hint="eastAsia" w:ascii="宋体" w:hAnsi="宋体" w:eastAsia="宋体" w:cs="宋体"/>
          <w:color w:val="auto"/>
        </w:rPr>
        <w:t>月</w:t>
      </w:r>
      <w:r>
        <w:rPr>
          <w:rFonts w:hint="eastAsia" w:ascii="宋体" w:hAnsi="宋体" w:eastAsia="宋体" w:cs="宋体"/>
          <w:color w:val="auto"/>
          <w:lang w:val="en-US" w:eastAsia="zh-CN"/>
        </w:rPr>
        <w:t>30</w:t>
      </w:r>
      <w:r>
        <w:rPr>
          <w:rFonts w:hint="eastAsia" w:ascii="宋体" w:hAnsi="宋体" w:eastAsia="宋体" w:cs="宋体"/>
          <w:color w:val="auto"/>
        </w:rPr>
        <w:t>日，各验证单位(2家一验,</w:t>
      </w:r>
      <w:r>
        <w:rPr>
          <w:rFonts w:hint="eastAsia" w:ascii="宋体" w:hAnsi="宋体" w:eastAsia="宋体" w:cs="宋体"/>
          <w:color w:val="auto"/>
          <w:lang w:val="en-US" w:eastAsia="zh-CN"/>
        </w:rPr>
        <w:t>4</w:t>
      </w:r>
      <w:r>
        <w:rPr>
          <w:rFonts w:hint="eastAsia" w:ascii="宋体" w:hAnsi="宋体" w:eastAsia="宋体" w:cs="宋体"/>
          <w:color w:val="auto"/>
        </w:rPr>
        <w:t>家二验)完成标准的验证工作并返回验证报告。</w:t>
      </w:r>
    </w:p>
    <w:p w14:paraId="23F56AEC">
      <w:pPr>
        <w:pStyle w:val="51"/>
        <w:spacing w:line="360" w:lineRule="auto"/>
        <w:ind w:firstLine="420"/>
        <w:rPr>
          <w:rFonts w:hint="eastAsia" w:ascii="宋体" w:hAnsi="宋体" w:eastAsia="宋体" w:cs="宋体"/>
          <w:color w:val="auto"/>
          <w:szCs w:val="24"/>
        </w:rPr>
      </w:pPr>
      <w:r>
        <w:rPr>
          <w:rFonts w:hint="eastAsia" w:ascii="宋体" w:hAnsi="宋体" w:eastAsia="宋体" w:cs="宋体"/>
          <w:color w:val="auto"/>
        </w:rPr>
        <w:t>在验证过程中，各验证单位提出意见如下表2</w:t>
      </w:r>
      <w:r>
        <w:rPr>
          <w:rFonts w:hint="eastAsia" w:ascii="宋体" w:hAnsi="宋体" w:eastAsia="宋体" w:cs="宋体"/>
          <w:color w:val="auto"/>
          <w:szCs w:val="24"/>
        </w:rPr>
        <w:t>：</w:t>
      </w:r>
    </w:p>
    <w:p w14:paraId="3019510F">
      <w:pPr>
        <w:pStyle w:val="54"/>
        <w:spacing w:before="0" w:beforeLines="0" w:after="0" w:afterLines="0"/>
        <w:rPr>
          <w:color w:val="auto"/>
        </w:rPr>
      </w:pPr>
      <w:bookmarkStart w:id="2" w:name="_Hlk99551138"/>
      <w:r>
        <w:rPr>
          <w:rFonts w:hint="eastAsia"/>
          <w:color w:val="auto"/>
        </w:rPr>
        <w:t>表2验证单位意见汇总处理</w:t>
      </w:r>
    </w:p>
    <w:bookmarkEnd w:id="2"/>
    <w:tbl>
      <w:tblPr>
        <w:tblStyle w:val="19"/>
        <w:tblW w:w="46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968"/>
        <w:gridCol w:w="2763"/>
        <w:gridCol w:w="2818"/>
        <w:gridCol w:w="1030"/>
        <w:gridCol w:w="694"/>
      </w:tblGrid>
      <w:tr w14:paraId="2C7A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34" w:type="pct"/>
            <w:vAlign w:val="center"/>
          </w:tcPr>
          <w:p w14:paraId="55DB19DE">
            <w:pPr>
              <w:jc w:val="center"/>
              <w:rPr>
                <w:rFonts w:hint="eastAsia" w:ascii="宋体" w:hAnsi="宋体" w:eastAsia="宋体" w:cs="宋体"/>
                <w:color w:val="auto"/>
                <w:sz w:val="18"/>
                <w:szCs w:val="18"/>
              </w:rPr>
            </w:pPr>
            <w:bookmarkStart w:id="3" w:name="_Hlk99551225"/>
            <w:r>
              <w:rPr>
                <w:rFonts w:hint="eastAsia" w:ascii="宋体" w:hAnsi="宋体" w:eastAsia="宋体" w:cs="宋体"/>
                <w:color w:val="auto"/>
                <w:sz w:val="18"/>
                <w:szCs w:val="18"/>
              </w:rPr>
              <w:t>序号</w:t>
            </w:r>
          </w:p>
        </w:tc>
        <w:tc>
          <w:tcPr>
            <w:tcW w:w="545" w:type="pct"/>
            <w:vAlign w:val="center"/>
          </w:tcPr>
          <w:p w14:paraId="77103958">
            <w:pPr>
              <w:ind w:hanging="2"/>
              <w:jc w:val="center"/>
              <w:rPr>
                <w:rFonts w:hint="eastAsia" w:ascii="宋体" w:hAnsi="宋体" w:eastAsia="宋体" w:cs="宋体"/>
                <w:color w:val="auto"/>
                <w:sz w:val="18"/>
                <w:szCs w:val="18"/>
              </w:rPr>
            </w:pPr>
            <w:r>
              <w:rPr>
                <w:rFonts w:hint="eastAsia" w:ascii="宋体" w:hAnsi="宋体" w:eastAsia="宋体" w:cs="宋体"/>
                <w:color w:val="auto"/>
                <w:sz w:val="18"/>
                <w:szCs w:val="18"/>
              </w:rPr>
              <w:t>标准章条编号</w:t>
            </w:r>
          </w:p>
        </w:tc>
        <w:tc>
          <w:tcPr>
            <w:tcW w:w="1558" w:type="pct"/>
            <w:vAlign w:val="center"/>
          </w:tcPr>
          <w:p w14:paraId="19368139">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意见内容</w:t>
            </w:r>
          </w:p>
        </w:tc>
        <w:tc>
          <w:tcPr>
            <w:tcW w:w="1589" w:type="pct"/>
            <w:vAlign w:val="center"/>
          </w:tcPr>
          <w:p w14:paraId="6E1B0A9A">
            <w:pPr>
              <w:ind w:firstLine="50" w:firstLineChars="28"/>
              <w:jc w:val="center"/>
              <w:rPr>
                <w:rFonts w:hint="eastAsia" w:ascii="宋体" w:hAnsi="宋体" w:eastAsia="宋体" w:cs="宋体"/>
                <w:color w:val="auto"/>
                <w:sz w:val="18"/>
                <w:szCs w:val="18"/>
              </w:rPr>
            </w:pPr>
            <w:r>
              <w:rPr>
                <w:rFonts w:hint="eastAsia" w:ascii="宋体" w:hAnsi="宋体" w:eastAsia="宋体" w:cs="宋体"/>
                <w:color w:val="auto"/>
                <w:sz w:val="18"/>
                <w:szCs w:val="18"/>
              </w:rPr>
              <w:t>提出单位</w:t>
            </w:r>
          </w:p>
        </w:tc>
        <w:tc>
          <w:tcPr>
            <w:tcW w:w="580" w:type="pct"/>
            <w:vAlign w:val="center"/>
          </w:tcPr>
          <w:p w14:paraId="2FCA4F43">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处理意见</w:t>
            </w:r>
          </w:p>
        </w:tc>
        <w:tc>
          <w:tcPr>
            <w:tcW w:w="391" w:type="pct"/>
            <w:vAlign w:val="center"/>
          </w:tcPr>
          <w:p w14:paraId="58C1864C">
            <w:pPr>
              <w:ind w:firstLine="25" w:firstLineChars="14"/>
              <w:jc w:val="center"/>
              <w:rPr>
                <w:rFonts w:hint="eastAsia" w:ascii="宋体" w:hAnsi="宋体" w:eastAsia="宋体" w:cs="宋体"/>
                <w:color w:val="auto"/>
                <w:sz w:val="18"/>
                <w:szCs w:val="18"/>
              </w:rPr>
            </w:pPr>
            <w:r>
              <w:rPr>
                <w:rFonts w:hint="eastAsia" w:ascii="宋体" w:hAnsi="宋体" w:eastAsia="宋体" w:cs="宋体"/>
                <w:color w:val="auto"/>
                <w:sz w:val="18"/>
                <w:szCs w:val="18"/>
              </w:rPr>
              <w:t>备注</w:t>
            </w:r>
          </w:p>
        </w:tc>
      </w:tr>
      <w:bookmarkEnd w:id="3"/>
      <w:tr w14:paraId="3CFB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34" w:type="pct"/>
            <w:tcBorders>
              <w:top w:val="single" w:color="auto" w:sz="4" w:space="0"/>
              <w:left w:val="single" w:color="auto" w:sz="4" w:space="0"/>
              <w:bottom w:val="single" w:color="auto" w:sz="4" w:space="0"/>
              <w:right w:val="single" w:color="auto" w:sz="4" w:space="0"/>
            </w:tcBorders>
            <w:vAlign w:val="center"/>
          </w:tcPr>
          <w:p w14:paraId="647EA927">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545" w:type="pct"/>
            <w:tcBorders>
              <w:top w:val="single" w:color="auto" w:sz="4" w:space="0"/>
              <w:left w:val="single" w:color="auto" w:sz="4" w:space="0"/>
              <w:bottom w:val="single" w:color="auto" w:sz="4" w:space="0"/>
              <w:right w:val="single" w:color="auto" w:sz="4" w:space="0"/>
            </w:tcBorders>
            <w:vAlign w:val="center"/>
          </w:tcPr>
          <w:p w14:paraId="7F514DD8">
            <w:pPr>
              <w:spacing w:line="240" w:lineRule="auto"/>
              <w:ind w:hanging="2"/>
              <w:jc w:val="center"/>
              <w:rPr>
                <w:rFonts w:hint="eastAsia" w:ascii="宋体" w:hAnsi="宋体" w:eastAsia="宋体" w:cs="宋体"/>
                <w:color w:val="FF0000"/>
                <w:sz w:val="18"/>
                <w:szCs w:val="18"/>
                <w:lang w:val="en-US" w:eastAsia="zh-CN"/>
              </w:rPr>
            </w:pPr>
            <w:r>
              <w:rPr>
                <w:rFonts w:hint="eastAsia" w:ascii="宋体" w:hAnsi="宋体" w:eastAsia="宋体" w:cs="宋体"/>
                <w:color w:val="auto"/>
                <w:sz w:val="18"/>
                <w:szCs w:val="18"/>
                <w:lang w:val="en-US" w:eastAsia="zh-CN"/>
              </w:rPr>
              <w:t>2.5.4</w:t>
            </w:r>
          </w:p>
        </w:tc>
        <w:tc>
          <w:tcPr>
            <w:tcW w:w="1558" w:type="pct"/>
            <w:tcBorders>
              <w:top w:val="single" w:color="auto" w:sz="4" w:space="0"/>
              <w:left w:val="single" w:color="auto" w:sz="4" w:space="0"/>
              <w:bottom w:val="single" w:color="auto" w:sz="4" w:space="0"/>
              <w:right w:val="single" w:color="auto" w:sz="4" w:space="0"/>
            </w:tcBorders>
            <w:vAlign w:val="center"/>
          </w:tcPr>
          <w:p w14:paraId="1F8F81E1">
            <w:pPr>
              <w:pStyle w:val="12"/>
              <w:spacing w:line="240" w:lineRule="auto"/>
              <w:ind w:firstLine="0"/>
              <w:jc w:val="center"/>
              <w:rPr>
                <w:rFonts w:hint="eastAsia" w:ascii="宋体" w:hAnsi="宋体" w:eastAsia="宋体" w:cs="宋体"/>
                <w:color w:val="FF0000"/>
                <w:sz w:val="18"/>
                <w:szCs w:val="18"/>
              </w:rPr>
            </w:pPr>
            <w:r>
              <w:rPr>
                <w:rFonts w:hint="eastAsia" w:ascii="宋体" w:hAnsi="宋体" w:eastAsia="宋体" w:cs="宋体"/>
                <w:b w:val="0"/>
                <w:bCs/>
                <w:sz w:val="18"/>
                <w:szCs w:val="18"/>
              </w:rPr>
              <w:t>建议0.05%~0.08%含量也可用标准曲线</w:t>
            </w:r>
          </w:p>
        </w:tc>
        <w:tc>
          <w:tcPr>
            <w:tcW w:w="1589" w:type="pct"/>
            <w:tcBorders>
              <w:top w:val="single" w:color="auto" w:sz="4" w:space="0"/>
              <w:left w:val="single" w:color="auto" w:sz="4" w:space="0"/>
              <w:bottom w:val="single" w:color="auto" w:sz="4" w:space="0"/>
              <w:right w:val="single" w:color="auto" w:sz="4" w:space="0"/>
            </w:tcBorders>
            <w:vAlign w:val="center"/>
          </w:tcPr>
          <w:p w14:paraId="0DA9E3C0">
            <w:pPr>
              <w:spacing w:line="240" w:lineRule="auto"/>
              <w:ind w:firstLine="50" w:firstLineChars="28"/>
              <w:jc w:val="center"/>
              <w:rPr>
                <w:rFonts w:hint="eastAsia" w:ascii="宋体" w:hAnsi="宋体" w:eastAsia="宋体" w:cs="宋体"/>
                <w:color w:val="FF0000"/>
                <w:sz w:val="18"/>
                <w:szCs w:val="18"/>
                <w:lang w:eastAsia="zh-CN"/>
              </w:rPr>
            </w:pPr>
            <w:r>
              <w:rPr>
                <w:rFonts w:hint="eastAsia" w:ascii="宋体" w:hAnsi="宋体" w:eastAsia="宋体" w:cs="宋体"/>
                <w:color w:val="auto"/>
                <w:sz w:val="18"/>
                <w:szCs w:val="18"/>
                <w:lang w:eastAsia="zh-CN"/>
              </w:rPr>
              <w:t>中稀（凉山）稀土有限公司</w:t>
            </w:r>
          </w:p>
        </w:tc>
        <w:tc>
          <w:tcPr>
            <w:tcW w:w="580" w:type="pct"/>
            <w:tcBorders>
              <w:top w:val="single" w:color="auto" w:sz="4" w:space="0"/>
              <w:left w:val="single" w:color="auto" w:sz="4" w:space="0"/>
              <w:bottom w:val="single" w:color="auto" w:sz="4" w:space="0"/>
              <w:right w:val="single" w:color="auto" w:sz="4" w:space="0"/>
            </w:tcBorders>
            <w:vAlign w:val="center"/>
          </w:tcPr>
          <w:p w14:paraId="33741DAC">
            <w:pPr>
              <w:spacing w:line="240" w:lineRule="auto"/>
              <w:jc w:val="center"/>
              <w:rPr>
                <w:rFonts w:hint="eastAsia" w:ascii="宋体" w:hAnsi="宋体" w:eastAsia="宋体" w:cs="宋体"/>
                <w:color w:val="FF0000"/>
                <w:sz w:val="18"/>
                <w:szCs w:val="18"/>
              </w:rPr>
            </w:pPr>
            <w:r>
              <w:rPr>
                <w:rFonts w:hint="eastAsia" w:ascii="宋体" w:hAnsi="宋体" w:eastAsia="宋体" w:cs="宋体"/>
                <w:color w:val="auto"/>
                <w:sz w:val="18"/>
                <w:szCs w:val="18"/>
              </w:rPr>
              <w:t>采纳</w:t>
            </w:r>
          </w:p>
        </w:tc>
        <w:tc>
          <w:tcPr>
            <w:tcW w:w="391" w:type="pct"/>
            <w:tcBorders>
              <w:top w:val="single" w:color="auto" w:sz="4" w:space="0"/>
              <w:left w:val="single" w:color="auto" w:sz="4" w:space="0"/>
              <w:bottom w:val="single" w:color="auto" w:sz="4" w:space="0"/>
              <w:right w:val="single" w:color="auto" w:sz="4" w:space="0"/>
            </w:tcBorders>
            <w:vAlign w:val="center"/>
          </w:tcPr>
          <w:p w14:paraId="1109922B">
            <w:pPr>
              <w:spacing w:line="240" w:lineRule="auto"/>
              <w:ind w:firstLine="25" w:firstLineChars="14"/>
              <w:jc w:val="center"/>
              <w:rPr>
                <w:rFonts w:hint="eastAsia" w:ascii="宋体" w:hAnsi="宋体" w:eastAsia="宋体" w:cs="宋体"/>
                <w:color w:val="FF0000"/>
                <w:sz w:val="18"/>
                <w:szCs w:val="18"/>
              </w:rPr>
            </w:pPr>
          </w:p>
        </w:tc>
      </w:tr>
      <w:tr w14:paraId="4A27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34" w:type="pct"/>
            <w:tcBorders>
              <w:top w:val="single" w:color="auto" w:sz="4" w:space="0"/>
              <w:left w:val="single" w:color="auto" w:sz="4" w:space="0"/>
              <w:bottom w:val="single" w:color="auto" w:sz="4" w:space="0"/>
              <w:right w:val="single" w:color="auto" w:sz="4" w:space="0"/>
            </w:tcBorders>
            <w:vAlign w:val="center"/>
          </w:tcPr>
          <w:p w14:paraId="452A1723">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545" w:type="pct"/>
            <w:tcBorders>
              <w:top w:val="single" w:color="auto" w:sz="4" w:space="0"/>
              <w:left w:val="single" w:color="auto" w:sz="4" w:space="0"/>
              <w:bottom w:val="single" w:color="auto" w:sz="4" w:space="0"/>
              <w:right w:val="single" w:color="auto" w:sz="4" w:space="0"/>
            </w:tcBorders>
            <w:vAlign w:val="center"/>
          </w:tcPr>
          <w:p w14:paraId="1914ED9B">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6</w:t>
            </w:r>
          </w:p>
        </w:tc>
        <w:tc>
          <w:tcPr>
            <w:tcW w:w="1558" w:type="pct"/>
            <w:tcBorders>
              <w:top w:val="single" w:color="auto" w:sz="4" w:space="0"/>
              <w:left w:val="single" w:color="auto" w:sz="4" w:space="0"/>
              <w:bottom w:val="single" w:color="auto" w:sz="4" w:space="0"/>
              <w:right w:val="single" w:color="auto" w:sz="4" w:space="0"/>
            </w:tcBorders>
            <w:vAlign w:val="center"/>
          </w:tcPr>
          <w:p w14:paraId="0F75920F">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统一样</w:t>
            </w:r>
            <w:r>
              <w:rPr>
                <w:rFonts w:hint="eastAsia" w:ascii="宋体" w:hAnsi="宋体" w:eastAsia="宋体" w:cs="宋体"/>
                <w:color w:val="auto"/>
                <w:sz w:val="18"/>
                <w:szCs w:val="18"/>
              </w:rPr>
              <w:t>La2O3-2#</w:t>
            </w:r>
            <w:r>
              <w:rPr>
                <w:rFonts w:hint="eastAsia" w:ascii="宋体" w:hAnsi="宋体" w:eastAsia="宋体" w:cs="宋体"/>
                <w:color w:val="auto"/>
                <w:sz w:val="18"/>
                <w:szCs w:val="18"/>
                <w:lang w:eastAsia="zh-CN"/>
              </w:rPr>
              <w:t>精密度数据有一个输入错误</w:t>
            </w:r>
            <w:r>
              <w:rPr>
                <w:rFonts w:hint="eastAsia" w:ascii="宋体" w:hAnsi="宋体" w:eastAsia="宋体" w:cs="宋体"/>
                <w:color w:val="auto"/>
                <w:sz w:val="18"/>
                <w:szCs w:val="18"/>
                <w:lang w:val="en-US" w:eastAsia="zh-CN"/>
              </w:rPr>
              <w:t>0.0995应改为0.00995</w:t>
            </w:r>
          </w:p>
        </w:tc>
        <w:tc>
          <w:tcPr>
            <w:tcW w:w="1589" w:type="pct"/>
            <w:vMerge w:val="restart"/>
            <w:tcBorders>
              <w:top w:val="single" w:color="auto" w:sz="4" w:space="0"/>
              <w:left w:val="single" w:color="auto" w:sz="4" w:space="0"/>
              <w:right w:val="single" w:color="auto" w:sz="4" w:space="0"/>
            </w:tcBorders>
            <w:vAlign w:val="center"/>
          </w:tcPr>
          <w:p w14:paraId="6D47FCFB">
            <w:pPr>
              <w:spacing w:line="240" w:lineRule="auto"/>
              <w:ind w:firstLine="50" w:firstLineChars="28"/>
              <w:jc w:val="center"/>
              <w:rPr>
                <w:rFonts w:hint="eastAsia" w:ascii="宋体" w:hAnsi="宋体" w:eastAsia="宋体" w:cs="宋体"/>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国瑞科创稀土功能材料（赣州）有限公司</w:t>
            </w:r>
          </w:p>
        </w:tc>
        <w:tc>
          <w:tcPr>
            <w:tcW w:w="580" w:type="pct"/>
            <w:tcBorders>
              <w:top w:val="single" w:color="auto" w:sz="4" w:space="0"/>
              <w:left w:val="single" w:color="auto" w:sz="4" w:space="0"/>
              <w:bottom w:val="single" w:color="auto" w:sz="4" w:space="0"/>
              <w:right w:val="single" w:color="auto" w:sz="4" w:space="0"/>
            </w:tcBorders>
            <w:vAlign w:val="center"/>
          </w:tcPr>
          <w:p w14:paraId="4B1BDD5A">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采纳</w:t>
            </w:r>
          </w:p>
        </w:tc>
        <w:tc>
          <w:tcPr>
            <w:tcW w:w="391" w:type="pct"/>
            <w:tcBorders>
              <w:top w:val="single" w:color="auto" w:sz="4" w:space="0"/>
              <w:left w:val="single" w:color="auto" w:sz="4" w:space="0"/>
              <w:bottom w:val="single" w:color="auto" w:sz="4" w:space="0"/>
              <w:right w:val="single" w:color="auto" w:sz="4" w:space="0"/>
            </w:tcBorders>
            <w:vAlign w:val="center"/>
          </w:tcPr>
          <w:p w14:paraId="7DED4DE4">
            <w:pPr>
              <w:spacing w:line="240" w:lineRule="auto"/>
              <w:ind w:firstLine="25" w:firstLineChars="14"/>
              <w:jc w:val="center"/>
              <w:rPr>
                <w:rFonts w:hint="eastAsia" w:ascii="宋体" w:hAnsi="宋体" w:eastAsia="宋体" w:cs="宋体"/>
                <w:color w:val="FF0000"/>
                <w:sz w:val="18"/>
                <w:szCs w:val="18"/>
              </w:rPr>
            </w:pPr>
          </w:p>
        </w:tc>
      </w:tr>
      <w:tr w14:paraId="7D07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34" w:type="pct"/>
            <w:tcBorders>
              <w:top w:val="single" w:color="auto" w:sz="4" w:space="0"/>
              <w:left w:val="single" w:color="auto" w:sz="4" w:space="0"/>
              <w:bottom w:val="single" w:color="auto" w:sz="4" w:space="0"/>
              <w:right w:val="single" w:color="auto" w:sz="4" w:space="0"/>
            </w:tcBorders>
            <w:vAlign w:val="center"/>
          </w:tcPr>
          <w:p w14:paraId="2ABBA120">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545" w:type="pct"/>
            <w:tcBorders>
              <w:top w:val="single" w:color="auto" w:sz="4" w:space="0"/>
              <w:left w:val="single" w:color="auto" w:sz="4" w:space="0"/>
              <w:bottom w:val="single" w:color="auto" w:sz="4" w:space="0"/>
              <w:right w:val="single" w:color="auto" w:sz="4" w:space="0"/>
            </w:tcBorders>
            <w:vAlign w:val="center"/>
          </w:tcPr>
          <w:p w14:paraId="041B4A25">
            <w:pPr>
              <w:spacing w:line="240" w:lineRule="auto"/>
              <w:ind w:hanging="2"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2.5.4.5</w:t>
            </w:r>
          </w:p>
        </w:tc>
        <w:tc>
          <w:tcPr>
            <w:tcW w:w="1558" w:type="pct"/>
            <w:tcBorders>
              <w:top w:val="single" w:color="auto" w:sz="4" w:space="0"/>
              <w:left w:val="single" w:color="auto" w:sz="4" w:space="0"/>
              <w:bottom w:val="single" w:color="auto" w:sz="4" w:space="0"/>
              <w:right w:val="single" w:color="auto" w:sz="4" w:space="0"/>
            </w:tcBorders>
            <w:vAlign w:val="center"/>
          </w:tcPr>
          <w:p w14:paraId="54667D66">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position w:val="-6"/>
                <w:sz w:val="18"/>
                <w:szCs w:val="18"/>
              </w:rPr>
              <w:t>标准曲线法为了适用于检测范围，建议增加一个浓度为0.25mg/L的标准曲线点</w:t>
            </w:r>
          </w:p>
        </w:tc>
        <w:tc>
          <w:tcPr>
            <w:tcW w:w="1589" w:type="pct"/>
            <w:vMerge w:val="continue"/>
            <w:tcBorders>
              <w:left w:val="single" w:color="auto" w:sz="4" w:space="0"/>
              <w:bottom w:val="single" w:color="auto" w:sz="4" w:space="0"/>
              <w:right w:val="single" w:color="auto" w:sz="4" w:space="0"/>
            </w:tcBorders>
            <w:vAlign w:val="center"/>
          </w:tcPr>
          <w:p w14:paraId="28E60393">
            <w:pPr>
              <w:spacing w:line="240" w:lineRule="auto"/>
              <w:ind w:firstLine="50" w:firstLineChars="28"/>
              <w:jc w:val="center"/>
              <w:rPr>
                <w:rFonts w:hint="eastAsia" w:ascii="宋体" w:hAnsi="宋体" w:eastAsia="宋体" w:cs="宋体"/>
                <w:color w:val="auto"/>
                <w:kern w:val="2"/>
                <w:sz w:val="18"/>
                <w:szCs w:val="18"/>
                <w:lang w:val="en-US" w:eastAsia="zh-CN" w:bidi="ar-SA"/>
              </w:rPr>
            </w:pPr>
          </w:p>
        </w:tc>
        <w:tc>
          <w:tcPr>
            <w:tcW w:w="580" w:type="pct"/>
            <w:tcBorders>
              <w:top w:val="single" w:color="auto" w:sz="4" w:space="0"/>
              <w:left w:val="single" w:color="auto" w:sz="4" w:space="0"/>
              <w:bottom w:val="single" w:color="auto" w:sz="4" w:space="0"/>
              <w:right w:val="single" w:color="auto" w:sz="4" w:space="0"/>
            </w:tcBorders>
            <w:vAlign w:val="center"/>
          </w:tcPr>
          <w:p w14:paraId="59929BEB">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采纳</w:t>
            </w:r>
          </w:p>
        </w:tc>
        <w:tc>
          <w:tcPr>
            <w:tcW w:w="391" w:type="pct"/>
            <w:tcBorders>
              <w:top w:val="single" w:color="auto" w:sz="4" w:space="0"/>
              <w:left w:val="single" w:color="auto" w:sz="4" w:space="0"/>
              <w:bottom w:val="single" w:color="auto" w:sz="4" w:space="0"/>
              <w:right w:val="single" w:color="auto" w:sz="4" w:space="0"/>
            </w:tcBorders>
            <w:vAlign w:val="center"/>
          </w:tcPr>
          <w:p w14:paraId="04CB5B48">
            <w:pPr>
              <w:spacing w:line="240" w:lineRule="auto"/>
              <w:ind w:firstLine="25" w:firstLineChars="14"/>
              <w:jc w:val="center"/>
              <w:rPr>
                <w:rFonts w:hint="eastAsia" w:ascii="宋体" w:hAnsi="宋体" w:eastAsia="宋体" w:cs="宋体"/>
                <w:color w:val="FF0000"/>
                <w:sz w:val="18"/>
                <w:szCs w:val="18"/>
              </w:rPr>
            </w:pPr>
          </w:p>
        </w:tc>
      </w:tr>
    </w:tbl>
    <w:p w14:paraId="4B0DC733">
      <w:pPr>
        <w:pStyle w:val="50"/>
        <w:spacing w:line="360" w:lineRule="auto"/>
        <w:rPr>
          <w:rFonts w:hint="eastAsia" w:ascii="宋体" w:hAnsi="宋体" w:eastAsia="宋体" w:cs="宋体"/>
          <w:color w:val="auto"/>
        </w:rPr>
      </w:pPr>
      <w:r>
        <w:rPr>
          <w:rFonts w:hint="eastAsia" w:ascii="宋体" w:hAnsi="宋体" w:eastAsia="宋体" w:cs="宋体"/>
          <w:color w:val="auto"/>
        </w:rPr>
        <w:t>综合各验证单位反馈的意见，起草单位对讨论稿及研究报告进行修改完善，形成了《</w:t>
      </w:r>
      <w:r>
        <w:rPr>
          <w:rFonts w:hint="eastAsia" w:ascii="宋体" w:hAnsi="宋体" w:eastAsia="宋体" w:cs="宋体"/>
          <w:color w:val="auto"/>
          <w:szCs w:val="21"/>
        </w:rPr>
        <w:t>稀土金属及其氧化物中非稀土杂质化学分析方法第</w:t>
      </w:r>
      <w:r>
        <w:rPr>
          <w:rFonts w:hint="eastAsia" w:ascii="宋体" w:hAnsi="宋体" w:eastAsia="宋体" w:cs="宋体"/>
          <w:color w:val="auto"/>
          <w:szCs w:val="21"/>
          <w:lang w:val="en-US" w:eastAsia="zh-CN"/>
        </w:rPr>
        <w:t>11</w:t>
      </w:r>
      <w:r>
        <w:rPr>
          <w:rFonts w:hint="eastAsia" w:ascii="宋体" w:hAnsi="宋体" w:eastAsia="宋体" w:cs="宋体"/>
          <w:color w:val="auto"/>
          <w:szCs w:val="21"/>
        </w:rPr>
        <w:t>部分：</w:t>
      </w:r>
      <w:r>
        <w:rPr>
          <w:rFonts w:hint="eastAsia" w:ascii="宋体" w:hAnsi="宋体" w:eastAsia="宋体" w:cs="宋体"/>
          <w:color w:val="auto"/>
          <w:szCs w:val="21"/>
          <w:lang w:eastAsia="zh-CN"/>
        </w:rPr>
        <w:t>镁</w:t>
      </w:r>
      <w:r>
        <w:rPr>
          <w:rFonts w:hint="eastAsia" w:ascii="宋体" w:hAnsi="宋体" w:eastAsia="宋体" w:cs="宋体"/>
          <w:color w:val="auto"/>
          <w:szCs w:val="21"/>
        </w:rPr>
        <w:t>量的测定</w:t>
      </w:r>
      <w:r>
        <w:rPr>
          <w:rFonts w:hint="eastAsia" w:ascii="宋体" w:hAnsi="宋体" w:eastAsia="宋体" w:cs="宋体"/>
          <w:color w:val="auto"/>
          <w:szCs w:val="21"/>
          <w:lang w:val="en-US" w:eastAsia="zh-CN"/>
        </w:rPr>
        <w:t xml:space="preserve"> 火焰原子吸收光谱法</w:t>
      </w:r>
      <w:r>
        <w:rPr>
          <w:rFonts w:hint="eastAsia" w:ascii="宋体" w:hAnsi="宋体" w:eastAsia="宋体" w:cs="宋体"/>
          <w:color w:val="auto"/>
        </w:rPr>
        <w:t>》（征求意见稿）。</w:t>
      </w:r>
    </w:p>
    <w:p w14:paraId="3BFDB2AA">
      <w:pPr>
        <w:pStyle w:val="50"/>
        <w:spacing w:line="360" w:lineRule="auto"/>
        <w:rPr>
          <w:rFonts w:hint="eastAsia" w:ascii="宋体" w:hAnsi="宋体" w:eastAsia="宋体" w:cs="宋体"/>
          <w:lang w:eastAsia="zh-CN"/>
        </w:rPr>
      </w:pPr>
      <w:r>
        <w:rPr>
          <w:rFonts w:hint="eastAsia" w:ascii="宋体" w:hAnsi="宋体" w:eastAsia="宋体" w:cs="宋体"/>
        </w:rPr>
        <w:t>通过邮件及微信方式征询意见。共发送单位</w:t>
      </w:r>
      <w:r>
        <w:rPr>
          <w:rFonts w:hint="eastAsia" w:ascii="宋体" w:hAnsi="宋体" w:eastAsia="宋体" w:cs="宋体"/>
          <w:lang w:val="en-US" w:eastAsia="zh-CN"/>
        </w:rPr>
        <w:t>10</w:t>
      </w:r>
      <w:r>
        <w:rPr>
          <w:rFonts w:hint="eastAsia" w:ascii="宋体" w:hAnsi="宋体" w:eastAsia="宋体" w:cs="宋体"/>
        </w:rPr>
        <w:t>家，其中回函</w:t>
      </w:r>
      <w:r>
        <w:rPr>
          <w:rFonts w:hint="eastAsia" w:ascii="宋体" w:hAnsi="宋体" w:eastAsia="宋体" w:cs="宋体"/>
          <w:lang w:val="en-US" w:eastAsia="zh-CN"/>
        </w:rPr>
        <w:t>6</w:t>
      </w:r>
      <w:r>
        <w:rPr>
          <w:rFonts w:hint="eastAsia" w:ascii="宋体" w:hAnsi="宋体" w:eastAsia="宋体" w:cs="宋体"/>
        </w:rPr>
        <w:t>家，回函有建议及意见</w:t>
      </w:r>
      <w:r>
        <w:rPr>
          <w:rFonts w:hint="eastAsia" w:ascii="宋体" w:hAnsi="宋体" w:eastAsia="宋体" w:cs="宋体"/>
          <w:lang w:val="en-US" w:eastAsia="zh-CN"/>
        </w:rPr>
        <w:t>6</w:t>
      </w:r>
      <w:r>
        <w:rPr>
          <w:rFonts w:hint="eastAsia" w:ascii="宋体" w:hAnsi="宋体" w:eastAsia="宋体" w:cs="宋体"/>
        </w:rPr>
        <w:t>家。具体内容</w:t>
      </w:r>
      <w:r>
        <w:rPr>
          <w:rFonts w:hint="eastAsia" w:ascii="宋体" w:hAnsi="宋体" w:eastAsia="宋体" w:cs="宋体"/>
          <w:lang w:eastAsia="zh-CN"/>
        </w:rPr>
        <w:t>见附件《标准征求意见稿》意见汇总处理表。</w:t>
      </w:r>
    </w:p>
    <w:p w14:paraId="07546184">
      <w:pPr>
        <w:pStyle w:val="50"/>
        <w:spacing w:line="360" w:lineRule="auto"/>
        <w:rPr>
          <w:rFonts w:hint="eastAsia" w:ascii="宋体" w:hAnsi="宋体" w:eastAsia="宋体" w:cs="宋体"/>
          <w:highlight w:val="none"/>
        </w:rPr>
      </w:pPr>
      <w:r>
        <w:rPr>
          <w:rFonts w:hint="eastAsia" w:ascii="宋体" w:hAnsi="宋体" w:eastAsia="宋体" w:cs="宋体"/>
          <w:highlight w:val="none"/>
          <w:lang w:eastAsia="zh-CN"/>
        </w:rPr>
        <w:t>结合</w:t>
      </w:r>
      <w:r>
        <w:rPr>
          <w:rFonts w:hint="eastAsia" w:ascii="宋体" w:hAnsi="宋体" w:eastAsia="宋体" w:cs="宋体"/>
          <w:highlight w:val="none"/>
        </w:rPr>
        <w:t>意见汇总</w:t>
      </w:r>
      <w:r>
        <w:rPr>
          <w:rFonts w:hint="eastAsia" w:ascii="宋体" w:hAnsi="宋体" w:eastAsia="宋体" w:cs="宋体"/>
          <w:highlight w:val="none"/>
          <w:lang w:eastAsia="zh-CN"/>
        </w:rPr>
        <w:t>情况</w:t>
      </w:r>
      <w:r>
        <w:rPr>
          <w:rFonts w:hint="eastAsia" w:ascii="宋体" w:hAnsi="宋体" w:eastAsia="宋体" w:cs="宋体"/>
          <w:highlight w:val="none"/>
        </w:rPr>
        <w:t>，起草单位对</w:t>
      </w:r>
      <w:r>
        <w:rPr>
          <w:rFonts w:hint="eastAsia" w:ascii="宋体" w:hAnsi="宋体" w:eastAsia="宋体" w:cs="宋体"/>
          <w:color w:val="auto"/>
          <w:highlight w:val="none"/>
        </w:rPr>
        <w:t>征求意见稿</w:t>
      </w:r>
      <w:r>
        <w:rPr>
          <w:rFonts w:hint="eastAsia" w:ascii="宋体" w:hAnsi="宋体" w:eastAsia="宋体" w:cs="宋体"/>
          <w:highlight w:val="none"/>
        </w:rPr>
        <w:t>进</w:t>
      </w:r>
      <w:r>
        <w:rPr>
          <w:rFonts w:hint="eastAsia" w:ascii="宋体" w:hAnsi="宋体" w:eastAsia="宋体" w:cs="宋体"/>
          <w:highlight w:val="none"/>
          <w:lang w:eastAsia="zh-CN"/>
        </w:rPr>
        <w:t>一步</w:t>
      </w:r>
      <w:r>
        <w:rPr>
          <w:rFonts w:hint="eastAsia" w:ascii="宋体" w:hAnsi="宋体" w:eastAsia="宋体" w:cs="宋体"/>
          <w:highlight w:val="none"/>
        </w:rPr>
        <w:t>修改完善，形成预审稿。</w:t>
      </w:r>
    </w:p>
    <w:p w14:paraId="65C11325">
      <w:pPr>
        <w:pStyle w:val="53"/>
        <w:numPr>
          <w:ilvl w:val="2"/>
          <w:numId w:val="0"/>
        </w:numPr>
        <w:spacing w:before="156" w:after="156" w:line="360" w:lineRule="auto"/>
        <w:ind w:left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4.4预审阶段</w:t>
      </w:r>
    </w:p>
    <w:p w14:paraId="1D2FDDC1">
      <w:pPr>
        <w:pStyle w:val="51"/>
        <w:spacing w:line="360" w:lineRule="auto"/>
        <w:ind w:firstLine="420"/>
        <w:rPr>
          <w:color w:val="auto"/>
          <w:sz w:val="21"/>
          <w:szCs w:val="21"/>
        </w:rPr>
      </w:pPr>
      <w:r>
        <w:rPr>
          <w:rFonts w:hint="eastAsia"/>
          <w:color w:val="auto"/>
          <w:sz w:val="21"/>
          <w:szCs w:val="21"/>
        </w:rPr>
        <w:t>全国稀土标准化技术委员会于202</w:t>
      </w:r>
      <w:r>
        <w:rPr>
          <w:rFonts w:hint="eastAsia"/>
          <w:color w:val="auto"/>
          <w:sz w:val="21"/>
          <w:szCs w:val="21"/>
          <w:lang w:val="en-US" w:eastAsia="zh-CN"/>
        </w:rPr>
        <w:t>4</w:t>
      </w:r>
      <w:r>
        <w:rPr>
          <w:rFonts w:hint="eastAsia"/>
          <w:color w:val="auto"/>
          <w:sz w:val="21"/>
          <w:szCs w:val="21"/>
        </w:rPr>
        <w:t>年</w:t>
      </w:r>
      <w:r>
        <w:rPr>
          <w:rFonts w:hint="eastAsia"/>
          <w:color w:val="auto"/>
          <w:sz w:val="21"/>
          <w:szCs w:val="21"/>
          <w:lang w:val="en-US" w:eastAsia="zh-CN"/>
        </w:rPr>
        <w:t>9</w:t>
      </w:r>
      <w:r>
        <w:rPr>
          <w:rFonts w:hint="eastAsia"/>
          <w:color w:val="auto"/>
          <w:sz w:val="21"/>
          <w:szCs w:val="21"/>
        </w:rPr>
        <w:t>月4日</w:t>
      </w:r>
      <w:r>
        <w:rPr>
          <w:rFonts w:hint="eastAsia" w:ascii="宋体" w:hAnsi="宋体" w:cs="宋体"/>
          <w:color w:val="auto"/>
          <w:sz w:val="21"/>
          <w:szCs w:val="21"/>
        </w:rPr>
        <w:t>在四川省乐山市召开了2024年度第六次稀土标准工作会议</w:t>
      </w:r>
      <w:r>
        <w:rPr>
          <w:rFonts w:hint="eastAsia"/>
          <w:color w:val="auto"/>
          <w:sz w:val="21"/>
          <w:szCs w:val="21"/>
        </w:rPr>
        <w:t>，会上对《</w:t>
      </w:r>
      <w:r>
        <w:rPr>
          <w:rFonts w:hint="eastAsia" w:ascii="宋体" w:hAnsi="宋体" w:eastAsia="宋体" w:cs="宋体"/>
          <w:color w:val="auto"/>
          <w:sz w:val="21"/>
          <w:szCs w:val="21"/>
        </w:rPr>
        <w:t>稀土金属及其氧化物中非稀土杂质化学分析方法第</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部分：</w:t>
      </w:r>
      <w:r>
        <w:rPr>
          <w:rFonts w:hint="eastAsia" w:ascii="宋体" w:hAnsi="宋体" w:eastAsia="宋体" w:cs="宋体"/>
          <w:color w:val="auto"/>
          <w:sz w:val="21"/>
          <w:szCs w:val="21"/>
          <w:lang w:eastAsia="zh-CN"/>
        </w:rPr>
        <w:t>镁</w:t>
      </w:r>
      <w:r>
        <w:rPr>
          <w:rFonts w:hint="eastAsia" w:ascii="宋体" w:hAnsi="宋体" w:eastAsia="宋体" w:cs="宋体"/>
          <w:color w:val="auto"/>
          <w:sz w:val="21"/>
          <w:szCs w:val="21"/>
        </w:rPr>
        <w:t>量的测定</w:t>
      </w:r>
      <w:r>
        <w:rPr>
          <w:rFonts w:hint="eastAsia" w:ascii="宋体" w:hAnsi="宋体" w:eastAsia="宋体" w:cs="宋体"/>
          <w:color w:val="auto"/>
          <w:sz w:val="21"/>
          <w:szCs w:val="21"/>
          <w:lang w:val="en-US" w:eastAsia="zh-CN"/>
        </w:rPr>
        <w:t xml:space="preserve"> 火焰原子吸收光谱法</w:t>
      </w:r>
      <w:r>
        <w:rPr>
          <w:rFonts w:hint="eastAsia"/>
          <w:color w:val="auto"/>
          <w:sz w:val="21"/>
          <w:szCs w:val="21"/>
        </w:rPr>
        <w:t>》进行了预审，与会代表对该标准的研究报告、验证报告、征求意见处理表、预审稿等预审阶段材料进行了认真的讨论，现将与会专家的意见和建议汇总如下：</w:t>
      </w:r>
    </w:p>
    <w:p w14:paraId="5EA5DE2F">
      <w:pPr>
        <w:pStyle w:val="50"/>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firstLine="420" w:firstLineChars="200"/>
        <w:jc w:val="left"/>
        <w:textAlignment w:val="auto"/>
        <w:rPr>
          <w:rFonts w:ascii="宋体" w:hAnsi="宋体"/>
          <w:sz w:val="21"/>
          <w:szCs w:val="21"/>
        </w:rPr>
      </w:pPr>
      <w:r>
        <w:rPr>
          <w:rFonts w:hint="eastAsia" w:ascii="宋体" w:hAnsi="宋体"/>
          <w:sz w:val="21"/>
          <w:szCs w:val="21"/>
          <w:lang w:val="en-US" w:eastAsia="zh-CN"/>
        </w:rPr>
        <w:t>1）</w:t>
      </w:r>
      <w:r>
        <w:rPr>
          <w:rFonts w:hint="eastAsia" w:ascii="宋体" w:hAnsi="宋体"/>
          <w:sz w:val="21"/>
          <w:szCs w:val="21"/>
          <w:lang w:eastAsia="zh-CN"/>
        </w:rPr>
        <w:t>在基体浓度试验中发现基体浓度较低时有一定的增感作用，会议决定增加一个低基体浓度时的回收率试验，以观测是否由于增感作用</w:t>
      </w:r>
      <w:r>
        <w:rPr>
          <w:rFonts w:hint="default" w:ascii="宋体" w:hAnsi="宋体"/>
          <w:sz w:val="21"/>
          <w:szCs w:val="21"/>
          <w:lang w:eastAsia="zh-CN"/>
        </w:rPr>
        <w:t>而对测定</w:t>
      </w:r>
      <w:r>
        <w:rPr>
          <w:rFonts w:hint="eastAsia" w:ascii="宋体" w:hAnsi="宋体"/>
          <w:sz w:val="21"/>
          <w:szCs w:val="21"/>
          <w:lang w:eastAsia="zh-CN"/>
        </w:rPr>
        <w:t>带来影响。</w:t>
      </w:r>
    </w:p>
    <w:p w14:paraId="5F566634">
      <w:pPr>
        <w:pStyle w:val="5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ascii="宋体" w:hAnsi="宋体"/>
          <w:sz w:val="21"/>
          <w:szCs w:val="21"/>
        </w:rPr>
      </w:pPr>
      <w:r>
        <w:rPr>
          <w:rFonts w:hint="eastAsia" w:ascii="宋体" w:hAnsi="宋体"/>
          <w:sz w:val="21"/>
          <w:szCs w:val="21"/>
          <w:lang w:val="en-US" w:eastAsia="zh-CN"/>
        </w:rPr>
        <w:t>2）无基体情况下，试验了Fe、Ni、Cu、Zn、Pb、K、Ca、Na</w:t>
      </w:r>
      <w:r>
        <w:rPr>
          <w:rFonts w:hint="eastAsia" w:ascii="宋体" w:hAnsi="宋体"/>
          <w:sz w:val="21"/>
          <w:szCs w:val="21"/>
          <w:lang w:eastAsia="zh-CN"/>
        </w:rPr>
        <w:t>非稀土元素</w:t>
      </w:r>
      <w:r>
        <w:rPr>
          <w:rFonts w:hint="eastAsia" w:ascii="宋体" w:hAnsi="宋体"/>
          <w:sz w:val="21"/>
          <w:szCs w:val="21"/>
          <w:lang w:val="en-US" w:eastAsia="zh-CN"/>
        </w:rPr>
        <w:t>对镁测定的影响，会议决定</w:t>
      </w:r>
      <w:r>
        <w:rPr>
          <w:rFonts w:hint="default" w:ascii="宋体" w:hAnsi="宋体"/>
          <w:sz w:val="21"/>
          <w:szCs w:val="21"/>
          <w:lang w:eastAsia="zh-CN"/>
        </w:rPr>
        <w:t>补充有基体</w:t>
      </w:r>
      <w:r>
        <w:rPr>
          <w:rFonts w:hint="eastAsia" w:ascii="宋体" w:hAnsi="宋体"/>
          <w:sz w:val="21"/>
          <w:szCs w:val="21"/>
          <w:lang w:eastAsia="zh-CN"/>
        </w:rPr>
        <w:t>情况下这些非稀土元素</w:t>
      </w:r>
      <w:r>
        <w:rPr>
          <w:rFonts w:hint="default" w:ascii="宋体" w:hAnsi="宋体"/>
          <w:sz w:val="21"/>
          <w:szCs w:val="21"/>
          <w:lang w:eastAsia="zh-CN"/>
        </w:rPr>
        <w:t>的干扰实验</w:t>
      </w:r>
      <w:r>
        <w:rPr>
          <w:rFonts w:hint="eastAsia" w:ascii="宋体" w:hAnsi="宋体"/>
          <w:sz w:val="21"/>
          <w:szCs w:val="21"/>
          <w:lang w:eastAsia="zh-CN"/>
        </w:rPr>
        <w:t>。</w:t>
      </w:r>
    </w:p>
    <w:p w14:paraId="509FA30B">
      <w:pPr>
        <w:pStyle w:val="5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ascii="宋体" w:hAnsi="宋体"/>
          <w:sz w:val="21"/>
          <w:szCs w:val="21"/>
        </w:rPr>
      </w:pPr>
      <w:r>
        <w:rPr>
          <w:rFonts w:hint="eastAsia" w:ascii="宋体" w:hAnsi="宋体"/>
          <w:sz w:val="21"/>
          <w:szCs w:val="21"/>
          <w:lang w:val="en-US" w:eastAsia="zh-CN"/>
        </w:rPr>
        <w:t>3）</w:t>
      </w:r>
      <w:r>
        <w:rPr>
          <w:rFonts w:hint="eastAsia" w:ascii="宋体" w:hAnsi="宋体"/>
          <w:sz w:val="21"/>
          <w:szCs w:val="21"/>
          <w:lang w:eastAsia="zh-CN"/>
        </w:rPr>
        <w:t>预审稿前言中</w:t>
      </w:r>
      <w:r>
        <w:rPr>
          <w:rFonts w:hint="eastAsia" w:ascii="宋体" w:hAnsi="宋体"/>
          <w:sz w:val="21"/>
          <w:szCs w:val="21"/>
        </w:rPr>
        <w:t>出现"更改"时须加上原来版本的部分:格式为:"将..."更改为".....</w:t>
      </w:r>
      <w:r>
        <w:rPr>
          <w:rFonts w:hint="eastAsia" w:ascii="宋体" w:hAnsi="宋体"/>
          <w:sz w:val="21"/>
          <w:szCs w:val="21"/>
          <w:lang w:eastAsia="zh-CN"/>
        </w:rPr>
        <w:t>（原版编号）</w:t>
      </w:r>
    </w:p>
    <w:p w14:paraId="194F68D0">
      <w:pPr>
        <w:pStyle w:val="5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ascii="宋体" w:hAnsi="宋体"/>
          <w:sz w:val="21"/>
          <w:szCs w:val="21"/>
        </w:rPr>
      </w:pPr>
      <w:r>
        <w:rPr>
          <w:rFonts w:hint="eastAsia" w:ascii="宋体" w:hAnsi="宋体"/>
          <w:sz w:val="21"/>
          <w:szCs w:val="21"/>
          <w:lang w:val="en-US" w:eastAsia="zh-CN"/>
        </w:rPr>
        <w:t>4）</w:t>
      </w:r>
      <w:r>
        <w:rPr>
          <w:rFonts w:hint="eastAsia" w:ascii="宋体" w:hAnsi="宋体"/>
          <w:sz w:val="21"/>
          <w:szCs w:val="21"/>
          <w:lang w:eastAsia="zh-CN"/>
        </w:rPr>
        <w:t>按照惯例，稀土分析标准方法中一般不写“警示”的，会议讨论后建议删除</w:t>
      </w:r>
      <w:r>
        <w:rPr>
          <w:rFonts w:hint="eastAsia" w:ascii="宋体" w:hAnsi="宋体"/>
          <w:sz w:val="21"/>
          <w:szCs w:val="21"/>
        </w:rPr>
        <w:t>。</w:t>
      </w:r>
    </w:p>
    <w:p w14:paraId="5A861BE8">
      <w:pPr>
        <w:pStyle w:val="5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ascii="宋体" w:hAnsi="宋体"/>
          <w:sz w:val="21"/>
          <w:szCs w:val="21"/>
        </w:rPr>
      </w:pPr>
      <w:r>
        <w:rPr>
          <w:rFonts w:hint="eastAsia" w:asciiTheme="minorEastAsia" w:hAnsiTheme="minorEastAsia"/>
          <w:sz w:val="21"/>
          <w:szCs w:val="21"/>
          <w:lang w:val="en-US" w:eastAsia="zh-CN"/>
        </w:rPr>
        <w:t>5) 样品中 稀土氧化物样品前处理参考GB/T14635标准方法，分成三种处理方式；稀土金属样品将金属铈、金属镧铈分开描述，其他放一起描述</w:t>
      </w:r>
      <w:r>
        <w:rPr>
          <w:rFonts w:hint="eastAsia" w:asciiTheme="minorEastAsia" w:hAnsiTheme="minorEastAsia"/>
          <w:sz w:val="21"/>
          <w:szCs w:val="21"/>
        </w:rPr>
        <w:t>。</w:t>
      </w:r>
    </w:p>
    <w:p w14:paraId="2333C24E">
      <w:pPr>
        <w:pStyle w:val="5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ascii="宋体" w:hAnsi="宋体"/>
          <w:sz w:val="21"/>
          <w:szCs w:val="21"/>
        </w:rPr>
      </w:pPr>
      <w:r>
        <w:rPr>
          <w:rFonts w:hint="eastAsia" w:ascii="宋体" w:hAnsi="宋体"/>
          <w:sz w:val="21"/>
          <w:szCs w:val="21"/>
          <w:lang w:val="en-US" w:eastAsia="zh-CN"/>
        </w:rPr>
        <w:t>6) 8.4测定中按8.4.1 分析试液的制备；8.4.2 工作曲线的绘制及测定两个大点格式编写</w:t>
      </w:r>
      <w:r>
        <w:rPr>
          <w:rFonts w:hint="eastAsia" w:ascii="宋体" w:hAnsi="宋体"/>
          <w:sz w:val="21"/>
          <w:szCs w:val="21"/>
        </w:rPr>
        <w:t>。</w:t>
      </w:r>
    </w:p>
    <w:p w14:paraId="189A5AB1">
      <w:pPr>
        <w:pStyle w:val="5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sz w:val="21"/>
          <w:szCs w:val="21"/>
        </w:rPr>
      </w:pPr>
      <w:r>
        <w:rPr>
          <w:rFonts w:hint="eastAsia" w:ascii="宋体" w:hAnsi="宋体"/>
          <w:sz w:val="21"/>
          <w:szCs w:val="21"/>
          <w:lang w:val="en-US" w:eastAsia="zh-CN"/>
        </w:rPr>
        <w:t>7) 9</w:t>
      </w:r>
      <w:r>
        <w:rPr>
          <w:rFonts w:hint="eastAsia" w:ascii="宋体" w:hAnsi="宋体"/>
          <w:sz w:val="21"/>
          <w:szCs w:val="21"/>
        </w:rPr>
        <w:t>试验数据处理</w:t>
      </w:r>
      <w:r>
        <w:rPr>
          <w:rFonts w:hint="eastAsia" w:ascii="宋体" w:hAnsi="宋体"/>
          <w:sz w:val="21"/>
          <w:szCs w:val="21"/>
          <w:lang w:val="en-US" w:eastAsia="zh-CN"/>
        </w:rPr>
        <w:t xml:space="preserve"> </w:t>
      </w:r>
      <w:r>
        <w:rPr>
          <w:rFonts w:hint="eastAsia" w:ascii="宋体" w:hAnsi="宋体"/>
          <w:sz w:val="21"/>
          <w:szCs w:val="21"/>
        </w:rPr>
        <w:t>公式部分</w:t>
      </w:r>
      <w:r>
        <w:rPr>
          <w:rFonts w:hint="eastAsia" w:ascii="宋体" w:hAnsi="宋体"/>
          <w:i/>
          <w:iCs/>
          <w:sz w:val="21"/>
          <w:szCs w:val="21"/>
        </w:rPr>
        <w:t>V</w:t>
      </w:r>
      <w:r>
        <w:rPr>
          <w:rFonts w:hint="eastAsia" w:ascii="宋体" w:hAnsi="宋体"/>
          <w:sz w:val="21"/>
          <w:szCs w:val="21"/>
          <w:vertAlign w:val="subscript"/>
        </w:rPr>
        <w:t>2</w:t>
      </w:r>
      <w:r>
        <w:rPr>
          <w:rFonts w:hint="eastAsia" w:ascii="宋体" w:hAnsi="宋体"/>
          <w:sz w:val="21"/>
          <w:szCs w:val="21"/>
          <w:vertAlign w:val="baseline"/>
          <w:lang w:eastAsia="zh-CN"/>
        </w:rPr>
        <w:t>、</w:t>
      </w:r>
      <w:r>
        <w:rPr>
          <w:rFonts w:hint="eastAsia" w:ascii="宋体" w:hAnsi="宋体"/>
          <w:sz w:val="21"/>
          <w:szCs w:val="21"/>
        </w:rPr>
        <w:t>m、</w:t>
      </w:r>
      <w:r>
        <w:rPr>
          <w:rFonts w:hint="eastAsia" w:ascii="宋体" w:hAnsi="宋体"/>
          <w:i/>
          <w:iCs/>
          <w:sz w:val="21"/>
          <w:szCs w:val="21"/>
        </w:rPr>
        <w:t>V</w:t>
      </w:r>
      <w:r>
        <w:rPr>
          <w:rFonts w:hint="eastAsia" w:ascii="宋体" w:hAnsi="宋体"/>
          <w:sz w:val="21"/>
          <w:szCs w:val="21"/>
          <w:vertAlign w:val="subscript"/>
        </w:rPr>
        <w:t>1</w:t>
      </w:r>
      <w:r>
        <w:rPr>
          <w:rFonts w:hint="eastAsia" w:ascii="宋体" w:hAnsi="宋体"/>
          <w:sz w:val="21"/>
          <w:szCs w:val="21"/>
        </w:rPr>
        <w:t>的顺序按公式中的位置</w:t>
      </w:r>
      <w:r>
        <w:rPr>
          <w:rFonts w:hint="eastAsia" w:ascii="宋体" w:hAnsi="宋体"/>
          <w:sz w:val="21"/>
          <w:szCs w:val="21"/>
          <w:lang w:eastAsia="zh-CN"/>
        </w:rPr>
        <w:t>排序</w:t>
      </w:r>
      <w:r>
        <w:rPr>
          <w:rFonts w:hint="eastAsia" w:ascii="宋体" w:hAnsi="宋体"/>
          <w:sz w:val="21"/>
          <w:szCs w:val="21"/>
          <w:lang w:val="en-US" w:eastAsia="zh-CN"/>
        </w:rPr>
        <w:t>。</w:t>
      </w:r>
      <w:r>
        <w:rPr>
          <w:rFonts w:hint="eastAsia" w:ascii="宋体" w:hAnsi="宋体"/>
          <w:sz w:val="21"/>
          <w:szCs w:val="21"/>
          <w:lang w:eastAsia="zh-CN"/>
        </w:rPr>
        <w:t>字母前空两格和“式中”对齐</w:t>
      </w:r>
      <w:r>
        <w:rPr>
          <w:rFonts w:hint="eastAsia" w:ascii="宋体" w:hAnsi="宋体"/>
          <w:sz w:val="21"/>
          <w:szCs w:val="21"/>
        </w:rPr>
        <w:t>。</w:t>
      </w:r>
    </w:p>
    <w:p w14:paraId="51302C3C">
      <w:pPr>
        <w:pStyle w:val="5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sz w:val="21"/>
          <w:szCs w:val="21"/>
          <w:lang w:val="en-US" w:eastAsia="zh-CN"/>
        </w:rPr>
      </w:pPr>
      <w:r>
        <w:rPr>
          <w:rFonts w:hint="eastAsia"/>
        </w:rPr>
        <w:t>2</w:t>
      </w:r>
      <w:r>
        <w:t>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19</w:t>
      </w:r>
      <w:r>
        <w:rPr>
          <w:rFonts w:hint="eastAsia"/>
        </w:rPr>
        <w:t>日，送审稿及编制说明，并向各验证单位征求意见</w:t>
      </w:r>
      <w:r>
        <w:rPr>
          <w:rFonts w:hint="eastAsia"/>
          <w:lang w:eastAsia="zh-CN"/>
        </w:rPr>
        <w:t>。</w:t>
      </w:r>
    </w:p>
    <w:p w14:paraId="34B0C282">
      <w:pPr>
        <w:pStyle w:val="51"/>
        <w:ind w:firstLine="420"/>
      </w:pPr>
      <w:r>
        <w:rPr>
          <w:rFonts w:hint="eastAsia"/>
        </w:rPr>
        <w:t>截至202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26</w:t>
      </w:r>
      <w:r>
        <w:rPr>
          <w:rFonts w:hint="eastAsia"/>
        </w:rPr>
        <w:t>日，参与单位意见全部返回。验证单位意见汇总处理详情见表3。</w:t>
      </w:r>
    </w:p>
    <w:p w14:paraId="163BD915">
      <w:pPr>
        <w:pStyle w:val="54"/>
        <w:spacing w:before="0" w:beforeLines="0" w:after="0" w:afterLines="0"/>
      </w:pPr>
      <w:r>
        <w:rPr>
          <w:rFonts w:hint="eastAsia"/>
        </w:rPr>
        <w:t>表</w:t>
      </w:r>
      <w:r>
        <w:t>3</w:t>
      </w:r>
      <w:r>
        <w:rPr>
          <w:rFonts w:hint="eastAsia"/>
        </w:rPr>
        <w:t>验证单位意见汇总处理</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
        <w:gridCol w:w="760"/>
        <w:gridCol w:w="3815"/>
        <w:gridCol w:w="2339"/>
        <w:gridCol w:w="1019"/>
        <w:gridCol w:w="1238"/>
      </w:tblGrid>
      <w:tr w14:paraId="7D0E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 w:type="pct"/>
            <w:vAlign w:val="center"/>
          </w:tcPr>
          <w:p w14:paraId="665C9915">
            <w:pPr>
              <w:jc w:val="center"/>
              <w:rPr>
                <w:sz w:val="18"/>
                <w:szCs w:val="18"/>
              </w:rPr>
            </w:pPr>
            <w:r>
              <w:rPr>
                <w:sz w:val="18"/>
                <w:szCs w:val="18"/>
              </w:rPr>
              <w:t>序号</w:t>
            </w:r>
          </w:p>
        </w:tc>
        <w:tc>
          <w:tcPr>
            <w:tcW w:w="397" w:type="pct"/>
            <w:vAlign w:val="center"/>
          </w:tcPr>
          <w:p w14:paraId="09699A2B">
            <w:pPr>
              <w:ind w:hanging="2"/>
              <w:jc w:val="center"/>
              <w:rPr>
                <w:sz w:val="18"/>
                <w:szCs w:val="18"/>
              </w:rPr>
            </w:pPr>
            <w:r>
              <w:rPr>
                <w:sz w:val="18"/>
                <w:szCs w:val="18"/>
              </w:rPr>
              <w:t>标准章条编号</w:t>
            </w:r>
          </w:p>
        </w:tc>
        <w:tc>
          <w:tcPr>
            <w:tcW w:w="1992" w:type="pct"/>
            <w:vAlign w:val="center"/>
          </w:tcPr>
          <w:p w14:paraId="334C0770">
            <w:pPr>
              <w:jc w:val="center"/>
              <w:rPr>
                <w:sz w:val="18"/>
                <w:szCs w:val="18"/>
              </w:rPr>
            </w:pPr>
            <w:r>
              <w:rPr>
                <w:sz w:val="18"/>
                <w:szCs w:val="18"/>
              </w:rPr>
              <w:t>意见内容</w:t>
            </w:r>
          </w:p>
        </w:tc>
        <w:tc>
          <w:tcPr>
            <w:tcW w:w="1221" w:type="pct"/>
            <w:vAlign w:val="center"/>
          </w:tcPr>
          <w:p w14:paraId="06C626C9">
            <w:pPr>
              <w:ind w:firstLine="50" w:firstLineChars="28"/>
              <w:jc w:val="center"/>
              <w:rPr>
                <w:sz w:val="18"/>
                <w:szCs w:val="18"/>
              </w:rPr>
            </w:pPr>
            <w:r>
              <w:rPr>
                <w:sz w:val="18"/>
                <w:szCs w:val="18"/>
              </w:rPr>
              <w:t>提出单位</w:t>
            </w:r>
          </w:p>
        </w:tc>
        <w:tc>
          <w:tcPr>
            <w:tcW w:w="532" w:type="pct"/>
            <w:vAlign w:val="center"/>
          </w:tcPr>
          <w:p w14:paraId="7ACAB15A">
            <w:pPr>
              <w:jc w:val="center"/>
              <w:rPr>
                <w:sz w:val="18"/>
                <w:szCs w:val="18"/>
              </w:rPr>
            </w:pPr>
            <w:r>
              <w:rPr>
                <w:sz w:val="18"/>
                <w:szCs w:val="18"/>
              </w:rPr>
              <w:t>处理意见</w:t>
            </w:r>
          </w:p>
        </w:tc>
        <w:tc>
          <w:tcPr>
            <w:tcW w:w="646" w:type="pct"/>
            <w:vAlign w:val="center"/>
          </w:tcPr>
          <w:p w14:paraId="4D02BCB6">
            <w:pPr>
              <w:ind w:firstLine="25" w:firstLineChars="14"/>
              <w:jc w:val="center"/>
              <w:rPr>
                <w:sz w:val="18"/>
                <w:szCs w:val="18"/>
              </w:rPr>
            </w:pPr>
            <w:r>
              <w:rPr>
                <w:sz w:val="18"/>
                <w:szCs w:val="18"/>
              </w:rPr>
              <w:t>备注</w:t>
            </w:r>
          </w:p>
        </w:tc>
      </w:tr>
      <w:tr w14:paraId="5E1A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 w:type="pct"/>
            <w:tcBorders>
              <w:top w:val="single" w:color="auto" w:sz="4" w:space="0"/>
              <w:left w:val="single" w:color="auto" w:sz="4" w:space="0"/>
              <w:bottom w:val="single" w:color="auto" w:sz="4" w:space="0"/>
              <w:right w:val="single" w:color="auto" w:sz="4" w:space="0"/>
            </w:tcBorders>
            <w:vAlign w:val="center"/>
          </w:tcPr>
          <w:p w14:paraId="2C47F393">
            <w:pPr>
              <w:jc w:val="left"/>
              <w:rPr>
                <w:sz w:val="18"/>
                <w:szCs w:val="18"/>
              </w:rPr>
            </w:pPr>
            <w:r>
              <w:rPr>
                <w:sz w:val="18"/>
                <w:szCs w:val="18"/>
              </w:rPr>
              <w:t>1</w:t>
            </w:r>
          </w:p>
        </w:tc>
        <w:tc>
          <w:tcPr>
            <w:tcW w:w="397" w:type="pct"/>
            <w:vMerge w:val="restart"/>
            <w:tcBorders>
              <w:top w:val="single" w:color="auto" w:sz="4" w:space="0"/>
              <w:left w:val="single" w:color="auto" w:sz="4" w:space="0"/>
              <w:right w:val="single" w:color="auto" w:sz="4" w:space="0"/>
            </w:tcBorders>
            <w:vAlign w:val="center"/>
          </w:tcPr>
          <w:p w14:paraId="5F582372">
            <w:pPr>
              <w:jc w:val="left"/>
              <w:rPr>
                <w:rFonts w:hint="eastAsia"/>
                <w:sz w:val="18"/>
                <w:szCs w:val="18"/>
                <w:lang w:val="en-US" w:eastAsia="zh-CN"/>
              </w:rPr>
            </w:pPr>
            <w:r>
              <w:rPr>
                <w:rFonts w:hint="eastAsia"/>
                <w:sz w:val="18"/>
                <w:szCs w:val="18"/>
                <w:lang w:val="en-US" w:eastAsia="zh-CN"/>
              </w:rPr>
              <w:t>引言</w:t>
            </w:r>
          </w:p>
          <w:p w14:paraId="7E210B98">
            <w:pPr>
              <w:jc w:val="left"/>
              <w:rPr>
                <w:sz w:val="18"/>
                <w:szCs w:val="18"/>
              </w:rPr>
            </w:pPr>
          </w:p>
        </w:tc>
        <w:tc>
          <w:tcPr>
            <w:tcW w:w="1992" w:type="pct"/>
            <w:tcBorders>
              <w:top w:val="single" w:color="auto" w:sz="4" w:space="0"/>
              <w:left w:val="single" w:color="auto" w:sz="4" w:space="0"/>
              <w:bottom w:val="single" w:color="auto" w:sz="4" w:space="0"/>
              <w:right w:val="single" w:color="auto" w:sz="4" w:space="0"/>
            </w:tcBorders>
            <w:vAlign w:val="center"/>
          </w:tcPr>
          <w:p w14:paraId="5354AC79">
            <w:pPr>
              <w:jc w:val="left"/>
              <w:rPr>
                <w:rFonts w:hint="eastAsia" w:eastAsia="宋体"/>
                <w:sz w:val="18"/>
                <w:szCs w:val="18"/>
                <w:lang w:eastAsia="zh-CN"/>
              </w:rPr>
            </w:pPr>
            <w:r>
              <w:rPr>
                <w:rFonts w:hint="eastAsia" w:ascii="宋体" w:hAnsi="宋体" w:eastAsia="宋体" w:cs="宋体"/>
                <w:sz w:val="18"/>
                <w:szCs w:val="18"/>
                <w:lang w:val="en-US" w:eastAsia="zh-CN"/>
              </w:rPr>
              <w:t>最后形成对所有稀土金属及其氧化物中非稀土杂质的综合“分析标准”，经整合后的系列</w:t>
            </w:r>
            <w:r>
              <w:rPr>
                <w:rFonts w:hint="eastAsia" w:ascii="宋体" w:hAnsi="宋体" w:eastAsia="宋体" w:cs="宋体"/>
                <w:color w:val="auto"/>
                <w:sz w:val="18"/>
                <w:szCs w:val="18"/>
                <w:lang w:val="en-US" w:eastAsia="zh-CN"/>
              </w:rPr>
              <w:t>“方法标</w:t>
            </w:r>
            <w:r>
              <w:rPr>
                <w:rFonts w:hint="eastAsia" w:ascii="宋体" w:hAnsi="宋体" w:cs="宋体"/>
                <w:color w:val="auto"/>
                <w:sz w:val="18"/>
                <w:szCs w:val="18"/>
                <w:lang w:val="en-US" w:eastAsia="zh-CN"/>
              </w:rPr>
              <w:t>准</w:t>
            </w:r>
            <w:r>
              <w:rPr>
                <w:rFonts w:hint="eastAsia" w:ascii="宋体" w:hAnsi="宋体" w:eastAsia="宋体" w:cs="宋体"/>
                <w:color w:val="auto"/>
                <w:sz w:val="18"/>
                <w:szCs w:val="18"/>
                <w:lang w:val="en-US" w:eastAsia="zh-CN"/>
              </w:rPr>
              <w:t>”引用了先进的检测方法，建议改为“</w:t>
            </w:r>
            <w:r>
              <w:rPr>
                <w:rFonts w:hint="eastAsia" w:ascii="宋体" w:hAnsi="宋体" w:eastAsia="宋体" w:cs="宋体"/>
                <w:color w:val="auto"/>
                <w:sz w:val="18"/>
                <w:szCs w:val="18"/>
              </w:rPr>
              <w:t>检测标准</w:t>
            </w:r>
            <w:r>
              <w:rPr>
                <w:rFonts w:hint="eastAsia" w:ascii="宋体" w:hAnsi="宋体" w:eastAsia="宋体" w:cs="宋体"/>
                <w:color w:val="auto"/>
                <w:sz w:val="18"/>
                <w:szCs w:val="18"/>
                <w:lang w:eastAsia="zh-CN"/>
              </w:rPr>
              <w:t>”和“</w:t>
            </w:r>
            <w:r>
              <w:rPr>
                <w:rFonts w:hint="eastAsia" w:ascii="宋体" w:hAnsi="宋体" w:eastAsia="宋体" w:cs="宋体"/>
                <w:color w:val="auto"/>
                <w:sz w:val="18"/>
                <w:szCs w:val="18"/>
              </w:rPr>
              <w:t>标准方法</w:t>
            </w:r>
            <w:r>
              <w:rPr>
                <w:rFonts w:hint="eastAsia" w:ascii="宋体" w:hAnsi="宋体" w:eastAsia="宋体" w:cs="宋体"/>
                <w:color w:val="auto"/>
                <w:sz w:val="18"/>
                <w:szCs w:val="18"/>
                <w:lang w:eastAsia="zh-CN"/>
              </w:rPr>
              <w:t>”</w:t>
            </w:r>
          </w:p>
        </w:tc>
        <w:tc>
          <w:tcPr>
            <w:tcW w:w="1221" w:type="pct"/>
            <w:vMerge w:val="restart"/>
            <w:tcBorders>
              <w:top w:val="single" w:color="auto" w:sz="4" w:space="0"/>
              <w:left w:val="single" w:color="auto" w:sz="4" w:space="0"/>
              <w:right w:val="single" w:color="auto" w:sz="4" w:space="0"/>
            </w:tcBorders>
            <w:vAlign w:val="center"/>
          </w:tcPr>
          <w:p w14:paraId="7269728C">
            <w:pPr>
              <w:ind w:firstLine="50" w:firstLineChars="28"/>
              <w:jc w:val="left"/>
              <w:rPr>
                <w:rFonts w:hint="eastAsia" w:eastAsia="宋体"/>
                <w:sz w:val="18"/>
                <w:szCs w:val="18"/>
                <w:lang w:eastAsia="zh-CN"/>
              </w:rPr>
            </w:pPr>
            <w:r>
              <w:rPr>
                <w:rFonts w:hint="eastAsia" w:ascii="宋体" w:hAnsi="宋体" w:eastAsia="宋体" w:cs="宋体"/>
                <w:color w:val="auto"/>
                <w:sz w:val="18"/>
                <w:szCs w:val="18"/>
                <w:lang w:eastAsia="zh-CN"/>
              </w:rPr>
              <w:t>包头市宏博特科技有限责任</w:t>
            </w:r>
            <w:r>
              <w:rPr>
                <w:rFonts w:hint="eastAsia" w:ascii="宋体" w:hAnsi="宋体" w:eastAsia="宋体" w:cs="宋体"/>
                <w:color w:val="auto"/>
                <w:sz w:val="18"/>
                <w:szCs w:val="18"/>
              </w:rPr>
              <w:t>公司</w:t>
            </w:r>
          </w:p>
        </w:tc>
        <w:tc>
          <w:tcPr>
            <w:tcW w:w="532" w:type="pct"/>
            <w:tcBorders>
              <w:top w:val="single" w:color="auto" w:sz="4" w:space="0"/>
              <w:left w:val="single" w:color="auto" w:sz="4" w:space="0"/>
              <w:bottom w:val="single" w:color="auto" w:sz="4" w:space="0"/>
              <w:right w:val="single" w:color="auto" w:sz="4" w:space="0"/>
            </w:tcBorders>
            <w:vAlign w:val="center"/>
          </w:tcPr>
          <w:p w14:paraId="525C67D5">
            <w:pPr>
              <w:jc w:val="left"/>
              <w:rPr>
                <w:sz w:val="18"/>
                <w:szCs w:val="18"/>
              </w:rPr>
            </w:pPr>
            <w:r>
              <w:rPr>
                <w:rFonts w:hint="eastAsia"/>
                <w:sz w:val="18"/>
                <w:szCs w:val="18"/>
                <w:lang w:eastAsia="zh-CN"/>
              </w:rPr>
              <w:t>未</w:t>
            </w:r>
            <w:r>
              <w:rPr>
                <w:sz w:val="18"/>
                <w:szCs w:val="18"/>
              </w:rPr>
              <w:t>采纳</w:t>
            </w:r>
          </w:p>
        </w:tc>
        <w:tc>
          <w:tcPr>
            <w:tcW w:w="646" w:type="pct"/>
            <w:tcBorders>
              <w:top w:val="single" w:color="auto" w:sz="4" w:space="0"/>
              <w:left w:val="single" w:color="auto" w:sz="4" w:space="0"/>
              <w:bottom w:val="single" w:color="auto" w:sz="4" w:space="0"/>
              <w:right w:val="single" w:color="auto" w:sz="4" w:space="0"/>
            </w:tcBorders>
            <w:vAlign w:val="center"/>
          </w:tcPr>
          <w:p w14:paraId="3E0843B3">
            <w:pPr>
              <w:ind w:firstLine="25" w:firstLineChars="14"/>
              <w:jc w:val="left"/>
              <w:rPr>
                <w:rFonts w:hint="eastAsia" w:eastAsia="宋体"/>
                <w:sz w:val="18"/>
                <w:szCs w:val="18"/>
                <w:lang w:eastAsia="zh-CN"/>
              </w:rPr>
            </w:pPr>
            <w:r>
              <w:rPr>
                <w:rFonts w:hint="eastAsia"/>
                <w:sz w:val="18"/>
                <w:szCs w:val="18"/>
                <w:lang w:eastAsia="zh-CN"/>
              </w:rPr>
              <w:t>按现统一格式书写</w:t>
            </w:r>
          </w:p>
        </w:tc>
      </w:tr>
      <w:tr w14:paraId="352B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 w:type="pct"/>
            <w:tcBorders>
              <w:top w:val="single" w:color="auto" w:sz="4" w:space="0"/>
              <w:left w:val="single" w:color="auto" w:sz="4" w:space="0"/>
              <w:bottom w:val="single" w:color="auto" w:sz="4" w:space="0"/>
              <w:right w:val="single" w:color="auto" w:sz="4" w:space="0"/>
            </w:tcBorders>
            <w:vAlign w:val="center"/>
          </w:tcPr>
          <w:p w14:paraId="62646C6E">
            <w:pPr>
              <w:jc w:val="left"/>
              <w:rPr>
                <w:sz w:val="18"/>
                <w:szCs w:val="18"/>
              </w:rPr>
            </w:pPr>
            <w:r>
              <w:rPr>
                <w:sz w:val="18"/>
                <w:szCs w:val="18"/>
              </w:rPr>
              <w:t>2</w:t>
            </w:r>
          </w:p>
        </w:tc>
        <w:tc>
          <w:tcPr>
            <w:tcW w:w="397" w:type="pct"/>
            <w:vMerge w:val="continue"/>
            <w:tcBorders>
              <w:left w:val="single" w:color="auto" w:sz="4" w:space="0"/>
              <w:bottom w:val="single" w:color="auto" w:sz="4" w:space="0"/>
              <w:right w:val="single" w:color="auto" w:sz="4" w:space="0"/>
            </w:tcBorders>
            <w:vAlign w:val="center"/>
          </w:tcPr>
          <w:p w14:paraId="41A098B2">
            <w:pPr>
              <w:jc w:val="left"/>
              <w:rPr>
                <w:sz w:val="18"/>
                <w:szCs w:val="18"/>
              </w:rPr>
            </w:pPr>
          </w:p>
        </w:tc>
        <w:tc>
          <w:tcPr>
            <w:tcW w:w="1992" w:type="pct"/>
            <w:tcBorders>
              <w:top w:val="single" w:color="auto" w:sz="4" w:space="0"/>
              <w:left w:val="single" w:color="auto" w:sz="4" w:space="0"/>
              <w:bottom w:val="single" w:color="auto" w:sz="4" w:space="0"/>
              <w:right w:val="single" w:color="auto" w:sz="4" w:space="0"/>
            </w:tcBorders>
            <w:vAlign w:val="center"/>
          </w:tcPr>
          <w:p w14:paraId="490EAB3F">
            <w:pPr>
              <w:jc w:val="left"/>
              <w:rPr>
                <w:rFonts w:hint="eastAsia" w:eastAsia="宋体"/>
                <w:sz w:val="18"/>
                <w:szCs w:val="18"/>
                <w:lang w:eastAsia="zh-CN"/>
              </w:rPr>
            </w:pPr>
            <w:r>
              <w:rPr>
                <w:rFonts w:hint="eastAsia" w:ascii="宋体" w:hAnsi="宋体" w:eastAsia="宋体" w:cs="宋体"/>
                <w:color w:val="auto"/>
                <w:sz w:val="18"/>
                <w:szCs w:val="18"/>
                <w:lang w:val="en-US" w:eastAsia="zh-CN"/>
              </w:rPr>
              <w:t>最后一段</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本次修订</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建议改为本次</w:t>
            </w:r>
            <w:r>
              <w:rPr>
                <w:rFonts w:hint="eastAsia" w:ascii="宋体" w:hAnsi="宋体" w:eastAsia="宋体" w:cs="宋体"/>
                <w:color w:val="auto"/>
                <w:sz w:val="18"/>
                <w:szCs w:val="18"/>
              </w:rPr>
              <w:t>针对《第11部分：镁量的测定 火焰原子吸收光谱法》修订</w:t>
            </w:r>
          </w:p>
        </w:tc>
        <w:tc>
          <w:tcPr>
            <w:tcW w:w="1221" w:type="pct"/>
            <w:vMerge w:val="continue"/>
            <w:tcBorders>
              <w:left w:val="single" w:color="auto" w:sz="4" w:space="0"/>
              <w:right w:val="single" w:color="auto" w:sz="4" w:space="0"/>
            </w:tcBorders>
            <w:vAlign w:val="center"/>
          </w:tcPr>
          <w:p w14:paraId="52CC6DC5">
            <w:pPr>
              <w:ind w:firstLine="50" w:firstLineChars="28"/>
              <w:jc w:val="left"/>
              <w:rPr>
                <w:sz w:val="18"/>
                <w:szCs w:val="18"/>
              </w:rPr>
            </w:pPr>
          </w:p>
        </w:tc>
        <w:tc>
          <w:tcPr>
            <w:tcW w:w="532" w:type="pct"/>
            <w:tcBorders>
              <w:top w:val="single" w:color="auto" w:sz="4" w:space="0"/>
              <w:left w:val="single" w:color="auto" w:sz="4" w:space="0"/>
              <w:bottom w:val="single" w:color="auto" w:sz="4" w:space="0"/>
              <w:right w:val="single" w:color="auto" w:sz="4" w:space="0"/>
            </w:tcBorders>
            <w:vAlign w:val="center"/>
          </w:tcPr>
          <w:p w14:paraId="079C0F43">
            <w:pPr>
              <w:jc w:val="left"/>
              <w:rPr>
                <w:sz w:val="18"/>
                <w:szCs w:val="18"/>
              </w:rPr>
            </w:pPr>
            <w:r>
              <w:rPr>
                <w:sz w:val="18"/>
                <w:szCs w:val="18"/>
              </w:rPr>
              <w:t>采纳</w:t>
            </w:r>
          </w:p>
        </w:tc>
        <w:tc>
          <w:tcPr>
            <w:tcW w:w="646" w:type="pct"/>
            <w:tcBorders>
              <w:top w:val="single" w:color="auto" w:sz="4" w:space="0"/>
              <w:left w:val="single" w:color="auto" w:sz="4" w:space="0"/>
              <w:bottom w:val="single" w:color="auto" w:sz="4" w:space="0"/>
              <w:right w:val="single" w:color="auto" w:sz="4" w:space="0"/>
            </w:tcBorders>
            <w:vAlign w:val="center"/>
          </w:tcPr>
          <w:p w14:paraId="09023803">
            <w:pPr>
              <w:ind w:firstLine="25" w:firstLineChars="14"/>
              <w:jc w:val="left"/>
              <w:rPr>
                <w:sz w:val="18"/>
                <w:szCs w:val="18"/>
              </w:rPr>
            </w:pPr>
          </w:p>
        </w:tc>
      </w:tr>
      <w:tr w14:paraId="1E2A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 w:type="pct"/>
            <w:tcBorders>
              <w:top w:val="single" w:color="auto" w:sz="4" w:space="0"/>
              <w:left w:val="single" w:color="auto" w:sz="4" w:space="0"/>
              <w:bottom w:val="single" w:color="auto" w:sz="4" w:space="0"/>
              <w:right w:val="single" w:color="auto" w:sz="4" w:space="0"/>
            </w:tcBorders>
            <w:vAlign w:val="center"/>
          </w:tcPr>
          <w:p w14:paraId="1F2F15C1">
            <w:pPr>
              <w:jc w:val="left"/>
              <w:rPr>
                <w:sz w:val="18"/>
                <w:szCs w:val="18"/>
              </w:rPr>
            </w:pPr>
            <w:r>
              <w:rPr>
                <w:sz w:val="18"/>
                <w:szCs w:val="18"/>
              </w:rPr>
              <w:t>3</w:t>
            </w:r>
          </w:p>
        </w:tc>
        <w:tc>
          <w:tcPr>
            <w:tcW w:w="397" w:type="pct"/>
            <w:tcBorders>
              <w:top w:val="single" w:color="auto" w:sz="4" w:space="0"/>
              <w:left w:val="single" w:color="auto" w:sz="4" w:space="0"/>
              <w:bottom w:val="single" w:color="auto" w:sz="4" w:space="0"/>
              <w:right w:val="single" w:color="auto" w:sz="4" w:space="0"/>
            </w:tcBorders>
            <w:vAlign w:val="center"/>
          </w:tcPr>
          <w:p w14:paraId="6C625E42">
            <w:pPr>
              <w:jc w:val="left"/>
              <w:rPr>
                <w:rFonts w:hint="default" w:eastAsia="宋体"/>
                <w:sz w:val="18"/>
                <w:szCs w:val="18"/>
                <w:lang w:val="en-US" w:eastAsia="zh-CN"/>
              </w:rPr>
            </w:pPr>
            <w:r>
              <w:rPr>
                <w:rFonts w:hint="eastAsia"/>
                <w:sz w:val="18"/>
                <w:szCs w:val="18"/>
                <w:lang w:val="en-US" w:eastAsia="zh-CN"/>
              </w:rPr>
              <w:t>2、6</w:t>
            </w:r>
          </w:p>
        </w:tc>
        <w:tc>
          <w:tcPr>
            <w:tcW w:w="1992" w:type="pct"/>
            <w:tcBorders>
              <w:top w:val="single" w:color="auto" w:sz="4" w:space="0"/>
              <w:left w:val="single" w:color="auto" w:sz="4" w:space="0"/>
              <w:bottom w:val="single" w:color="auto" w:sz="4" w:space="0"/>
              <w:right w:val="single" w:color="auto" w:sz="4" w:space="0"/>
            </w:tcBorders>
            <w:vAlign w:val="center"/>
          </w:tcPr>
          <w:p w14:paraId="14C6FF51">
            <w:pPr>
              <w:jc w:val="left"/>
              <w:rPr>
                <w:rFonts w:hint="eastAsia" w:eastAsia="宋体"/>
                <w:sz w:val="18"/>
                <w:szCs w:val="18"/>
                <w:lang w:eastAsia="zh-CN"/>
              </w:rPr>
            </w:pPr>
            <w:r>
              <w:rPr>
                <w:rFonts w:ascii="宋体" w:hAnsi="宋体" w:cs="宋体"/>
                <w:bCs/>
                <w:sz w:val="18"/>
                <w:szCs w:val="18"/>
              </w:rPr>
              <w:t>“</w:t>
            </w:r>
            <w:r>
              <w:rPr>
                <w:rFonts w:hint="eastAsia" w:ascii="宋体" w:hAnsi="宋体" w:cs="宋体"/>
                <w:bCs/>
                <w:sz w:val="18"/>
                <w:szCs w:val="18"/>
              </w:rPr>
              <w:t>GB/T6682</w:t>
            </w:r>
            <w:r>
              <w:rPr>
                <w:rFonts w:ascii="宋体" w:hAnsi="宋体" w:cs="宋体"/>
                <w:bCs/>
                <w:sz w:val="18"/>
                <w:szCs w:val="18"/>
              </w:rPr>
              <w:t>”</w:t>
            </w:r>
            <w:r>
              <w:rPr>
                <w:rFonts w:hint="eastAsia" w:ascii="宋体" w:hAnsi="宋体" w:cs="宋体"/>
                <w:bCs/>
                <w:sz w:val="18"/>
                <w:szCs w:val="18"/>
              </w:rPr>
              <w:t>中间缺少空格</w:t>
            </w:r>
            <w:r>
              <w:rPr>
                <w:rFonts w:hint="eastAsia" w:ascii="宋体" w:hAnsi="宋体" w:cs="宋体"/>
                <w:bCs/>
                <w:sz w:val="18"/>
                <w:szCs w:val="18"/>
                <w:lang w:eastAsia="zh-CN"/>
              </w:rPr>
              <w:t>；冒号和文字间缺少空格</w:t>
            </w:r>
          </w:p>
        </w:tc>
        <w:tc>
          <w:tcPr>
            <w:tcW w:w="1221" w:type="pct"/>
            <w:vMerge w:val="continue"/>
            <w:tcBorders>
              <w:left w:val="single" w:color="auto" w:sz="4" w:space="0"/>
              <w:right w:val="single" w:color="auto" w:sz="4" w:space="0"/>
            </w:tcBorders>
            <w:vAlign w:val="center"/>
          </w:tcPr>
          <w:p w14:paraId="313D8B49">
            <w:pPr>
              <w:ind w:firstLine="50" w:firstLineChars="28"/>
              <w:jc w:val="left"/>
              <w:rPr>
                <w:sz w:val="18"/>
                <w:szCs w:val="18"/>
              </w:rPr>
            </w:pPr>
          </w:p>
        </w:tc>
        <w:tc>
          <w:tcPr>
            <w:tcW w:w="532" w:type="pct"/>
            <w:tcBorders>
              <w:top w:val="single" w:color="auto" w:sz="4" w:space="0"/>
              <w:left w:val="single" w:color="auto" w:sz="4" w:space="0"/>
              <w:bottom w:val="single" w:color="auto" w:sz="4" w:space="0"/>
              <w:right w:val="single" w:color="auto" w:sz="4" w:space="0"/>
            </w:tcBorders>
            <w:vAlign w:val="center"/>
          </w:tcPr>
          <w:p w14:paraId="21154697">
            <w:pPr>
              <w:jc w:val="left"/>
              <w:rPr>
                <w:sz w:val="18"/>
                <w:szCs w:val="18"/>
              </w:rPr>
            </w:pPr>
            <w:r>
              <w:rPr>
                <w:sz w:val="18"/>
                <w:szCs w:val="18"/>
              </w:rPr>
              <w:t>采纳</w:t>
            </w:r>
          </w:p>
        </w:tc>
        <w:tc>
          <w:tcPr>
            <w:tcW w:w="646" w:type="pct"/>
            <w:tcBorders>
              <w:top w:val="single" w:color="auto" w:sz="4" w:space="0"/>
              <w:left w:val="single" w:color="auto" w:sz="4" w:space="0"/>
              <w:bottom w:val="single" w:color="auto" w:sz="4" w:space="0"/>
              <w:right w:val="single" w:color="auto" w:sz="4" w:space="0"/>
            </w:tcBorders>
            <w:vAlign w:val="center"/>
          </w:tcPr>
          <w:p w14:paraId="4841C4E1">
            <w:pPr>
              <w:ind w:firstLine="25" w:firstLineChars="14"/>
              <w:jc w:val="left"/>
              <w:rPr>
                <w:sz w:val="18"/>
                <w:szCs w:val="18"/>
              </w:rPr>
            </w:pPr>
            <w:r>
              <w:rPr>
                <w:bCs/>
                <w:sz w:val="18"/>
                <w:szCs w:val="18"/>
              </w:rPr>
              <w:t>已统一修改</w:t>
            </w:r>
          </w:p>
        </w:tc>
      </w:tr>
      <w:tr w14:paraId="23B1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 w:type="pct"/>
            <w:tcBorders>
              <w:top w:val="single" w:color="auto" w:sz="4" w:space="0"/>
              <w:left w:val="single" w:color="auto" w:sz="4" w:space="0"/>
              <w:bottom w:val="single" w:color="auto" w:sz="4" w:space="0"/>
              <w:right w:val="single" w:color="auto" w:sz="4" w:space="0"/>
            </w:tcBorders>
            <w:vAlign w:val="center"/>
          </w:tcPr>
          <w:p w14:paraId="27274C6B">
            <w:pPr>
              <w:jc w:val="left"/>
              <w:rPr>
                <w:sz w:val="18"/>
                <w:szCs w:val="18"/>
              </w:rPr>
            </w:pPr>
            <w:r>
              <w:rPr>
                <w:sz w:val="18"/>
                <w:szCs w:val="18"/>
              </w:rPr>
              <w:t>4</w:t>
            </w:r>
          </w:p>
        </w:tc>
        <w:tc>
          <w:tcPr>
            <w:tcW w:w="397" w:type="pct"/>
            <w:tcBorders>
              <w:top w:val="single" w:color="auto" w:sz="4" w:space="0"/>
              <w:left w:val="single" w:color="auto" w:sz="4" w:space="0"/>
              <w:bottom w:val="single" w:color="auto" w:sz="4" w:space="0"/>
              <w:right w:val="single" w:color="auto" w:sz="4" w:space="0"/>
            </w:tcBorders>
            <w:vAlign w:val="center"/>
          </w:tcPr>
          <w:p w14:paraId="29AB616A">
            <w:pPr>
              <w:ind w:hanging="2"/>
              <w:jc w:val="left"/>
              <w:rPr>
                <w:rFonts w:hint="default" w:eastAsia="宋体"/>
                <w:sz w:val="18"/>
                <w:szCs w:val="18"/>
                <w:lang w:val="en-US" w:eastAsia="zh-CN"/>
              </w:rPr>
            </w:pPr>
            <w:r>
              <w:rPr>
                <w:rFonts w:hint="eastAsia"/>
                <w:sz w:val="18"/>
                <w:szCs w:val="18"/>
                <w:lang w:val="en-US" w:eastAsia="zh-CN"/>
              </w:rPr>
              <w:t>8.1</w:t>
            </w:r>
          </w:p>
        </w:tc>
        <w:tc>
          <w:tcPr>
            <w:tcW w:w="1992" w:type="pct"/>
            <w:tcBorders>
              <w:top w:val="single" w:color="auto" w:sz="4" w:space="0"/>
              <w:left w:val="single" w:color="auto" w:sz="4" w:space="0"/>
              <w:bottom w:val="single" w:color="auto" w:sz="4" w:space="0"/>
              <w:right w:val="single" w:color="auto" w:sz="4" w:space="0"/>
            </w:tcBorders>
            <w:vAlign w:val="center"/>
          </w:tcPr>
          <w:p w14:paraId="2EC4F05B">
            <w:pPr>
              <w:jc w:val="left"/>
              <w:rPr>
                <w:rFonts w:hint="default" w:eastAsia="宋体"/>
                <w:sz w:val="18"/>
                <w:szCs w:val="18"/>
                <w:lang w:val="en-US" w:eastAsia="zh-CN"/>
              </w:rPr>
            </w:pPr>
            <w:r>
              <w:rPr>
                <w:rFonts w:hint="eastAsia"/>
                <w:sz w:val="18"/>
                <w:szCs w:val="18"/>
                <w:lang w:eastAsia="zh-CN"/>
              </w:rPr>
              <w:t>表</w:t>
            </w:r>
            <w:r>
              <w:rPr>
                <w:rFonts w:hint="eastAsia"/>
                <w:sz w:val="18"/>
                <w:szCs w:val="18"/>
                <w:lang w:val="en-US" w:eastAsia="zh-CN"/>
              </w:rPr>
              <w:t>1中数字字体修改为新罗马</w:t>
            </w:r>
          </w:p>
        </w:tc>
        <w:tc>
          <w:tcPr>
            <w:tcW w:w="1221" w:type="pct"/>
            <w:vMerge w:val="continue"/>
            <w:tcBorders>
              <w:left w:val="single" w:color="auto" w:sz="4" w:space="0"/>
              <w:bottom w:val="single" w:color="auto" w:sz="4" w:space="0"/>
              <w:right w:val="single" w:color="auto" w:sz="4" w:space="0"/>
            </w:tcBorders>
            <w:vAlign w:val="center"/>
          </w:tcPr>
          <w:p w14:paraId="5445AC86">
            <w:pPr>
              <w:ind w:firstLine="50" w:firstLineChars="28"/>
              <w:jc w:val="left"/>
              <w:rPr>
                <w:sz w:val="18"/>
                <w:szCs w:val="18"/>
              </w:rPr>
            </w:pPr>
          </w:p>
        </w:tc>
        <w:tc>
          <w:tcPr>
            <w:tcW w:w="532" w:type="pct"/>
            <w:tcBorders>
              <w:top w:val="single" w:color="auto" w:sz="4" w:space="0"/>
              <w:left w:val="single" w:color="auto" w:sz="4" w:space="0"/>
              <w:bottom w:val="single" w:color="auto" w:sz="4" w:space="0"/>
              <w:right w:val="single" w:color="auto" w:sz="4" w:space="0"/>
            </w:tcBorders>
            <w:vAlign w:val="center"/>
          </w:tcPr>
          <w:p w14:paraId="0FF865E0">
            <w:pPr>
              <w:jc w:val="left"/>
              <w:rPr>
                <w:sz w:val="18"/>
                <w:szCs w:val="18"/>
              </w:rPr>
            </w:pPr>
            <w:r>
              <w:rPr>
                <w:sz w:val="18"/>
                <w:szCs w:val="18"/>
              </w:rPr>
              <w:t>采纳</w:t>
            </w:r>
          </w:p>
        </w:tc>
        <w:tc>
          <w:tcPr>
            <w:tcW w:w="646" w:type="pct"/>
            <w:tcBorders>
              <w:top w:val="single" w:color="auto" w:sz="4" w:space="0"/>
              <w:left w:val="single" w:color="auto" w:sz="4" w:space="0"/>
              <w:bottom w:val="single" w:color="auto" w:sz="4" w:space="0"/>
              <w:right w:val="single" w:color="auto" w:sz="4" w:space="0"/>
            </w:tcBorders>
            <w:vAlign w:val="center"/>
          </w:tcPr>
          <w:p w14:paraId="47690A02">
            <w:pPr>
              <w:ind w:firstLine="25" w:firstLineChars="14"/>
              <w:jc w:val="left"/>
              <w:rPr>
                <w:sz w:val="18"/>
                <w:szCs w:val="18"/>
              </w:rPr>
            </w:pPr>
            <w:r>
              <w:rPr>
                <w:bCs/>
                <w:sz w:val="18"/>
                <w:szCs w:val="18"/>
              </w:rPr>
              <w:t>已统一修改</w:t>
            </w:r>
          </w:p>
        </w:tc>
      </w:tr>
      <w:tr w14:paraId="5753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 w:type="pct"/>
            <w:tcBorders>
              <w:top w:val="single" w:color="auto" w:sz="4" w:space="0"/>
              <w:left w:val="single" w:color="auto" w:sz="4" w:space="0"/>
              <w:bottom w:val="single" w:color="auto" w:sz="4" w:space="0"/>
              <w:right w:val="single" w:color="auto" w:sz="4" w:space="0"/>
            </w:tcBorders>
            <w:vAlign w:val="center"/>
          </w:tcPr>
          <w:p w14:paraId="2D99B8A6">
            <w:pPr>
              <w:jc w:val="left"/>
              <w:rPr>
                <w:rFonts w:hint="eastAsia" w:eastAsia="宋体"/>
                <w:sz w:val="18"/>
                <w:szCs w:val="18"/>
                <w:lang w:val="en-US" w:eastAsia="zh-CN"/>
              </w:rPr>
            </w:pPr>
            <w:r>
              <w:rPr>
                <w:rFonts w:hint="eastAsia"/>
                <w:sz w:val="18"/>
                <w:szCs w:val="18"/>
                <w:lang w:val="en-US" w:eastAsia="zh-CN"/>
              </w:rPr>
              <w:t>5</w:t>
            </w:r>
          </w:p>
        </w:tc>
        <w:tc>
          <w:tcPr>
            <w:tcW w:w="397" w:type="pct"/>
            <w:tcBorders>
              <w:top w:val="single" w:color="auto" w:sz="4" w:space="0"/>
              <w:left w:val="single" w:color="auto" w:sz="4" w:space="0"/>
              <w:bottom w:val="single" w:color="auto" w:sz="4" w:space="0"/>
              <w:right w:val="single" w:color="auto" w:sz="4" w:space="0"/>
            </w:tcBorders>
            <w:vAlign w:val="center"/>
          </w:tcPr>
          <w:p w14:paraId="7D4D9477">
            <w:pPr>
              <w:ind w:hanging="2"/>
              <w:jc w:val="left"/>
              <w:rPr>
                <w:sz w:val="18"/>
                <w:szCs w:val="18"/>
              </w:rPr>
            </w:pPr>
          </w:p>
        </w:tc>
        <w:tc>
          <w:tcPr>
            <w:tcW w:w="1992" w:type="pct"/>
            <w:tcBorders>
              <w:top w:val="single" w:color="auto" w:sz="4" w:space="0"/>
              <w:left w:val="single" w:color="auto" w:sz="4" w:space="0"/>
              <w:bottom w:val="single" w:color="auto" w:sz="4" w:space="0"/>
              <w:right w:val="single" w:color="auto" w:sz="4" w:space="0"/>
            </w:tcBorders>
            <w:vAlign w:val="center"/>
          </w:tcPr>
          <w:p w14:paraId="2445831B">
            <w:pPr>
              <w:jc w:val="left"/>
              <w:rPr>
                <w:sz w:val="18"/>
                <w:szCs w:val="18"/>
              </w:rPr>
            </w:pPr>
            <w:r>
              <w:rPr>
                <w:sz w:val="18"/>
                <w:szCs w:val="18"/>
              </w:rPr>
              <w:t>回函无意见。</w:t>
            </w:r>
          </w:p>
        </w:tc>
        <w:tc>
          <w:tcPr>
            <w:tcW w:w="1221" w:type="pct"/>
            <w:tcBorders>
              <w:top w:val="single" w:color="auto" w:sz="4" w:space="0"/>
              <w:left w:val="single" w:color="auto" w:sz="4" w:space="0"/>
              <w:bottom w:val="single" w:color="auto" w:sz="4" w:space="0"/>
              <w:right w:val="single" w:color="auto" w:sz="4" w:space="0"/>
            </w:tcBorders>
            <w:vAlign w:val="center"/>
          </w:tcPr>
          <w:p w14:paraId="19C36F9D">
            <w:pPr>
              <w:ind w:firstLine="50" w:firstLineChars="28"/>
              <w:jc w:val="left"/>
              <w:rPr>
                <w:sz w:val="18"/>
                <w:szCs w:val="18"/>
              </w:rPr>
            </w:pPr>
            <w:r>
              <w:rPr>
                <w:rFonts w:hint="eastAsia" w:ascii="宋体" w:hAnsi="宋体" w:eastAsia="宋体" w:cs="宋体"/>
                <w:b w:val="0"/>
                <w:bCs w:val="0"/>
                <w:color w:val="auto"/>
                <w:sz w:val="18"/>
                <w:szCs w:val="18"/>
                <w:lang w:val="en-US" w:eastAsia="zh-CN"/>
              </w:rPr>
              <w:t>国瑞科创稀土功能材料（赣州）有限公司</w:t>
            </w:r>
          </w:p>
        </w:tc>
        <w:tc>
          <w:tcPr>
            <w:tcW w:w="532" w:type="pct"/>
            <w:tcBorders>
              <w:top w:val="single" w:color="auto" w:sz="4" w:space="0"/>
              <w:left w:val="single" w:color="auto" w:sz="4" w:space="0"/>
              <w:bottom w:val="single" w:color="auto" w:sz="4" w:space="0"/>
              <w:right w:val="single" w:color="auto" w:sz="4" w:space="0"/>
            </w:tcBorders>
            <w:vAlign w:val="center"/>
          </w:tcPr>
          <w:p w14:paraId="799D947A">
            <w:pPr>
              <w:jc w:val="left"/>
              <w:rPr>
                <w:sz w:val="18"/>
                <w:szCs w:val="18"/>
              </w:rPr>
            </w:pPr>
          </w:p>
        </w:tc>
        <w:tc>
          <w:tcPr>
            <w:tcW w:w="646" w:type="pct"/>
            <w:tcBorders>
              <w:top w:val="single" w:color="auto" w:sz="4" w:space="0"/>
              <w:left w:val="single" w:color="auto" w:sz="4" w:space="0"/>
              <w:bottom w:val="single" w:color="auto" w:sz="4" w:space="0"/>
              <w:right w:val="single" w:color="auto" w:sz="4" w:space="0"/>
            </w:tcBorders>
            <w:vAlign w:val="center"/>
          </w:tcPr>
          <w:p w14:paraId="2D56003C">
            <w:pPr>
              <w:ind w:firstLine="25" w:firstLineChars="14"/>
              <w:jc w:val="left"/>
              <w:rPr>
                <w:sz w:val="18"/>
                <w:szCs w:val="18"/>
              </w:rPr>
            </w:pPr>
          </w:p>
        </w:tc>
      </w:tr>
      <w:tr w14:paraId="23F1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 w:type="pct"/>
            <w:tcBorders>
              <w:top w:val="single" w:color="auto" w:sz="4" w:space="0"/>
              <w:left w:val="single" w:color="auto" w:sz="4" w:space="0"/>
              <w:bottom w:val="single" w:color="auto" w:sz="4" w:space="0"/>
              <w:right w:val="single" w:color="auto" w:sz="4" w:space="0"/>
            </w:tcBorders>
            <w:vAlign w:val="center"/>
          </w:tcPr>
          <w:p w14:paraId="65975906">
            <w:pPr>
              <w:jc w:val="left"/>
              <w:rPr>
                <w:rFonts w:hint="eastAsia" w:eastAsia="宋体"/>
                <w:sz w:val="18"/>
                <w:szCs w:val="18"/>
                <w:lang w:val="en-US" w:eastAsia="zh-CN"/>
              </w:rPr>
            </w:pPr>
            <w:r>
              <w:rPr>
                <w:rFonts w:hint="eastAsia"/>
                <w:sz w:val="18"/>
                <w:szCs w:val="18"/>
                <w:lang w:val="en-US" w:eastAsia="zh-CN"/>
              </w:rPr>
              <w:t>6</w:t>
            </w:r>
          </w:p>
        </w:tc>
        <w:tc>
          <w:tcPr>
            <w:tcW w:w="397" w:type="pct"/>
            <w:tcBorders>
              <w:top w:val="single" w:color="auto" w:sz="4" w:space="0"/>
              <w:left w:val="single" w:color="auto" w:sz="4" w:space="0"/>
              <w:bottom w:val="single" w:color="auto" w:sz="4" w:space="0"/>
              <w:right w:val="single" w:color="auto" w:sz="4" w:space="0"/>
            </w:tcBorders>
            <w:vAlign w:val="center"/>
          </w:tcPr>
          <w:p w14:paraId="7A3F2979">
            <w:pPr>
              <w:ind w:hanging="2"/>
              <w:jc w:val="left"/>
              <w:rPr>
                <w:sz w:val="18"/>
                <w:szCs w:val="18"/>
              </w:rPr>
            </w:pPr>
          </w:p>
        </w:tc>
        <w:tc>
          <w:tcPr>
            <w:tcW w:w="1992" w:type="pct"/>
            <w:tcBorders>
              <w:top w:val="single" w:color="auto" w:sz="4" w:space="0"/>
              <w:left w:val="single" w:color="auto" w:sz="4" w:space="0"/>
              <w:bottom w:val="single" w:color="auto" w:sz="4" w:space="0"/>
              <w:right w:val="single" w:color="auto" w:sz="4" w:space="0"/>
            </w:tcBorders>
            <w:vAlign w:val="center"/>
          </w:tcPr>
          <w:p w14:paraId="6426EF2E">
            <w:pPr>
              <w:jc w:val="left"/>
              <w:rPr>
                <w:sz w:val="18"/>
                <w:szCs w:val="18"/>
              </w:rPr>
            </w:pPr>
            <w:r>
              <w:rPr>
                <w:sz w:val="18"/>
                <w:szCs w:val="18"/>
              </w:rPr>
              <w:t>回函无意见。</w:t>
            </w:r>
          </w:p>
        </w:tc>
        <w:tc>
          <w:tcPr>
            <w:tcW w:w="1221" w:type="pct"/>
            <w:tcBorders>
              <w:top w:val="single" w:color="auto" w:sz="4" w:space="0"/>
              <w:left w:val="single" w:color="auto" w:sz="4" w:space="0"/>
              <w:bottom w:val="single" w:color="auto" w:sz="4" w:space="0"/>
              <w:right w:val="single" w:color="auto" w:sz="4" w:space="0"/>
            </w:tcBorders>
            <w:vAlign w:val="center"/>
          </w:tcPr>
          <w:p w14:paraId="44B2AB07">
            <w:pPr>
              <w:ind w:firstLine="50" w:firstLineChars="28"/>
              <w:jc w:val="left"/>
              <w:rPr>
                <w:sz w:val="18"/>
                <w:szCs w:val="18"/>
              </w:rPr>
            </w:pPr>
            <w:r>
              <w:rPr>
                <w:rFonts w:hint="eastAsia" w:ascii="宋体" w:hAnsi="宋体" w:eastAsia="宋体" w:cs="宋体"/>
                <w:color w:val="auto"/>
                <w:sz w:val="18"/>
                <w:szCs w:val="18"/>
                <w:lang w:eastAsia="zh-CN"/>
              </w:rPr>
              <w:t>中稀（凉山）稀土</w:t>
            </w:r>
            <w:r>
              <w:rPr>
                <w:rFonts w:hint="eastAsia" w:ascii="宋体" w:hAnsi="宋体" w:eastAsia="宋体" w:cs="宋体"/>
                <w:color w:val="auto"/>
                <w:sz w:val="18"/>
                <w:szCs w:val="18"/>
              </w:rPr>
              <w:t>有限公司</w:t>
            </w:r>
          </w:p>
        </w:tc>
        <w:tc>
          <w:tcPr>
            <w:tcW w:w="532" w:type="pct"/>
            <w:tcBorders>
              <w:top w:val="single" w:color="auto" w:sz="4" w:space="0"/>
              <w:left w:val="single" w:color="auto" w:sz="4" w:space="0"/>
              <w:bottom w:val="single" w:color="auto" w:sz="4" w:space="0"/>
              <w:right w:val="single" w:color="auto" w:sz="4" w:space="0"/>
            </w:tcBorders>
            <w:vAlign w:val="center"/>
          </w:tcPr>
          <w:p w14:paraId="1557F3ED">
            <w:pPr>
              <w:jc w:val="left"/>
              <w:rPr>
                <w:sz w:val="18"/>
                <w:szCs w:val="18"/>
              </w:rPr>
            </w:pPr>
          </w:p>
        </w:tc>
        <w:tc>
          <w:tcPr>
            <w:tcW w:w="646" w:type="pct"/>
            <w:tcBorders>
              <w:top w:val="single" w:color="auto" w:sz="4" w:space="0"/>
              <w:left w:val="single" w:color="auto" w:sz="4" w:space="0"/>
              <w:bottom w:val="single" w:color="auto" w:sz="4" w:space="0"/>
              <w:right w:val="single" w:color="auto" w:sz="4" w:space="0"/>
            </w:tcBorders>
            <w:vAlign w:val="center"/>
          </w:tcPr>
          <w:p w14:paraId="6A359067">
            <w:pPr>
              <w:ind w:firstLine="25" w:firstLineChars="14"/>
              <w:jc w:val="left"/>
              <w:rPr>
                <w:sz w:val="18"/>
                <w:szCs w:val="18"/>
              </w:rPr>
            </w:pPr>
          </w:p>
        </w:tc>
      </w:tr>
      <w:tr w14:paraId="6585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 w:type="pct"/>
            <w:tcBorders>
              <w:top w:val="single" w:color="auto" w:sz="4" w:space="0"/>
              <w:left w:val="single" w:color="auto" w:sz="4" w:space="0"/>
              <w:bottom w:val="single" w:color="auto" w:sz="4" w:space="0"/>
              <w:right w:val="single" w:color="auto" w:sz="4" w:space="0"/>
            </w:tcBorders>
            <w:vAlign w:val="center"/>
          </w:tcPr>
          <w:p w14:paraId="7462CBA0">
            <w:pPr>
              <w:jc w:val="left"/>
              <w:rPr>
                <w:rFonts w:hint="eastAsia" w:eastAsia="宋体"/>
                <w:sz w:val="18"/>
                <w:szCs w:val="18"/>
                <w:lang w:val="en-US" w:eastAsia="zh-CN"/>
              </w:rPr>
            </w:pPr>
            <w:r>
              <w:rPr>
                <w:rFonts w:hint="eastAsia"/>
                <w:sz w:val="18"/>
                <w:szCs w:val="18"/>
                <w:lang w:val="en-US" w:eastAsia="zh-CN"/>
              </w:rPr>
              <w:t>7</w:t>
            </w:r>
          </w:p>
        </w:tc>
        <w:tc>
          <w:tcPr>
            <w:tcW w:w="397" w:type="pct"/>
            <w:tcBorders>
              <w:top w:val="single" w:color="auto" w:sz="4" w:space="0"/>
              <w:left w:val="single" w:color="auto" w:sz="4" w:space="0"/>
              <w:bottom w:val="single" w:color="auto" w:sz="4" w:space="0"/>
              <w:right w:val="single" w:color="auto" w:sz="4" w:space="0"/>
            </w:tcBorders>
            <w:vAlign w:val="center"/>
          </w:tcPr>
          <w:p w14:paraId="0D2A9F68">
            <w:pPr>
              <w:ind w:hanging="2"/>
              <w:jc w:val="left"/>
              <w:rPr>
                <w:sz w:val="18"/>
                <w:szCs w:val="18"/>
              </w:rPr>
            </w:pPr>
          </w:p>
        </w:tc>
        <w:tc>
          <w:tcPr>
            <w:tcW w:w="1992" w:type="pct"/>
            <w:tcBorders>
              <w:top w:val="single" w:color="auto" w:sz="4" w:space="0"/>
              <w:left w:val="single" w:color="auto" w:sz="4" w:space="0"/>
              <w:bottom w:val="single" w:color="auto" w:sz="4" w:space="0"/>
              <w:right w:val="single" w:color="auto" w:sz="4" w:space="0"/>
            </w:tcBorders>
            <w:vAlign w:val="center"/>
          </w:tcPr>
          <w:p w14:paraId="37320A03">
            <w:pPr>
              <w:jc w:val="left"/>
              <w:rPr>
                <w:sz w:val="18"/>
                <w:szCs w:val="18"/>
              </w:rPr>
            </w:pPr>
            <w:r>
              <w:rPr>
                <w:sz w:val="18"/>
                <w:szCs w:val="18"/>
              </w:rPr>
              <w:t>回函无意见。</w:t>
            </w:r>
          </w:p>
        </w:tc>
        <w:tc>
          <w:tcPr>
            <w:tcW w:w="1221" w:type="pct"/>
            <w:tcBorders>
              <w:top w:val="single" w:color="auto" w:sz="4" w:space="0"/>
              <w:left w:val="single" w:color="auto" w:sz="4" w:space="0"/>
              <w:bottom w:val="single" w:color="auto" w:sz="4" w:space="0"/>
              <w:right w:val="single" w:color="auto" w:sz="4" w:space="0"/>
            </w:tcBorders>
            <w:vAlign w:val="center"/>
          </w:tcPr>
          <w:p w14:paraId="15B6D588">
            <w:pPr>
              <w:ind w:firstLine="50" w:firstLineChars="28"/>
              <w:jc w:val="left"/>
              <w:rPr>
                <w:sz w:val="18"/>
                <w:szCs w:val="18"/>
              </w:rPr>
            </w:pPr>
            <w:r>
              <w:rPr>
                <w:rFonts w:hint="eastAsia" w:ascii="宋体" w:hAnsi="宋体" w:eastAsia="宋体" w:cs="宋体"/>
                <w:b w:val="0"/>
                <w:bCs w:val="0"/>
                <w:color w:val="auto"/>
                <w:sz w:val="18"/>
                <w:szCs w:val="18"/>
                <w:lang w:val="en-US" w:eastAsia="zh-CN"/>
              </w:rPr>
              <w:t>国家钨与稀土产品质量监督检验中心</w:t>
            </w:r>
          </w:p>
        </w:tc>
        <w:tc>
          <w:tcPr>
            <w:tcW w:w="532" w:type="pct"/>
            <w:tcBorders>
              <w:top w:val="single" w:color="auto" w:sz="4" w:space="0"/>
              <w:left w:val="single" w:color="auto" w:sz="4" w:space="0"/>
              <w:bottom w:val="single" w:color="auto" w:sz="4" w:space="0"/>
              <w:right w:val="single" w:color="auto" w:sz="4" w:space="0"/>
            </w:tcBorders>
            <w:vAlign w:val="center"/>
          </w:tcPr>
          <w:p w14:paraId="222A7DFA">
            <w:pPr>
              <w:jc w:val="left"/>
              <w:rPr>
                <w:sz w:val="18"/>
                <w:szCs w:val="18"/>
              </w:rPr>
            </w:pPr>
          </w:p>
        </w:tc>
        <w:tc>
          <w:tcPr>
            <w:tcW w:w="646" w:type="pct"/>
            <w:tcBorders>
              <w:top w:val="single" w:color="auto" w:sz="4" w:space="0"/>
              <w:left w:val="single" w:color="auto" w:sz="4" w:space="0"/>
              <w:bottom w:val="single" w:color="auto" w:sz="4" w:space="0"/>
              <w:right w:val="single" w:color="auto" w:sz="4" w:space="0"/>
            </w:tcBorders>
            <w:vAlign w:val="center"/>
          </w:tcPr>
          <w:p w14:paraId="532FA2CE">
            <w:pPr>
              <w:ind w:firstLine="25" w:firstLineChars="14"/>
              <w:jc w:val="left"/>
              <w:rPr>
                <w:sz w:val="18"/>
                <w:szCs w:val="18"/>
              </w:rPr>
            </w:pPr>
          </w:p>
        </w:tc>
      </w:tr>
      <w:tr w14:paraId="7FC8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 w:type="pct"/>
            <w:tcBorders>
              <w:top w:val="single" w:color="auto" w:sz="4" w:space="0"/>
              <w:left w:val="single" w:color="auto" w:sz="4" w:space="0"/>
              <w:bottom w:val="single" w:color="auto" w:sz="4" w:space="0"/>
              <w:right w:val="single" w:color="auto" w:sz="4" w:space="0"/>
            </w:tcBorders>
            <w:vAlign w:val="center"/>
          </w:tcPr>
          <w:p w14:paraId="5291EEEA">
            <w:pPr>
              <w:jc w:val="left"/>
              <w:rPr>
                <w:rFonts w:hint="eastAsia" w:eastAsia="宋体"/>
                <w:sz w:val="18"/>
                <w:szCs w:val="18"/>
                <w:lang w:val="en-US" w:eastAsia="zh-CN"/>
              </w:rPr>
            </w:pPr>
            <w:r>
              <w:rPr>
                <w:rFonts w:hint="eastAsia"/>
                <w:sz w:val="18"/>
                <w:szCs w:val="18"/>
                <w:lang w:val="en-US" w:eastAsia="zh-CN"/>
              </w:rPr>
              <w:t>8</w:t>
            </w:r>
          </w:p>
        </w:tc>
        <w:tc>
          <w:tcPr>
            <w:tcW w:w="397" w:type="pct"/>
            <w:tcBorders>
              <w:top w:val="single" w:color="auto" w:sz="4" w:space="0"/>
              <w:left w:val="single" w:color="auto" w:sz="4" w:space="0"/>
              <w:bottom w:val="single" w:color="auto" w:sz="4" w:space="0"/>
              <w:right w:val="single" w:color="auto" w:sz="4" w:space="0"/>
            </w:tcBorders>
            <w:vAlign w:val="center"/>
          </w:tcPr>
          <w:p w14:paraId="4387560F">
            <w:pPr>
              <w:ind w:hanging="2"/>
              <w:jc w:val="left"/>
              <w:rPr>
                <w:sz w:val="18"/>
                <w:szCs w:val="18"/>
              </w:rPr>
            </w:pPr>
          </w:p>
        </w:tc>
        <w:tc>
          <w:tcPr>
            <w:tcW w:w="1992" w:type="pct"/>
            <w:tcBorders>
              <w:top w:val="single" w:color="auto" w:sz="4" w:space="0"/>
              <w:left w:val="single" w:color="auto" w:sz="4" w:space="0"/>
              <w:bottom w:val="single" w:color="auto" w:sz="4" w:space="0"/>
              <w:right w:val="single" w:color="auto" w:sz="4" w:space="0"/>
            </w:tcBorders>
            <w:vAlign w:val="center"/>
          </w:tcPr>
          <w:p w14:paraId="39FD4921">
            <w:pPr>
              <w:jc w:val="left"/>
              <w:rPr>
                <w:sz w:val="18"/>
                <w:szCs w:val="18"/>
              </w:rPr>
            </w:pPr>
            <w:r>
              <w:rPr>
                <w:sz w:val="18"/>
                <w:szCs w:val="18"/>
              </w:rPr>
              <w:t>回函无意见。</w:t>
            </w:r>
          </w:p>
        </w:tc>
        <w:tc>
          <w:tcPr>
            <w:tcW w:w="1221" w:type="pct"/>
            <w:tcBorders>
              <w:top w:val="single" w:color="auto" w:sz="4" w:space="0"/>
              <w:left w:val="single" w:color="auto" w:sz="4" w:space="0"/>
              <w:bottom w:val="single" w:color="auto" w:sz="4" w:space="0"/>
              <w:right w:val="single" w:color="auto" w:sz="4" w:space="0"/>
            </w:tcBorders>
            <w:vAlign w:val="center"/>
          </w:tcPr>
          <w:p w14:paraId="44EB3BFF">
            <w:pPr>
              <w:ind w:firstLine="50" w:firstLineChars="28"/>
              <w:jc w:val="left"/>
              <w:rPr>
                <w:sz w:val="18"/>
                <w:szCs w:val="18"/>
              </w:rPr>
            </w:pPr>
            <w:r>
              <w:rPr>
                <w:rFonts w:hint="eastAsia" w:ascii="宋体" w:hAnsi="宋体" w:eastAsia="宋体" w:cs="宋体"/>
                <w:color w:val="auto"/>
                <w:sz w:val="18"/>
                <w:szCs w:val="18"/>
                <w:lang w:eastAsia="zh-CN"/>
              </w:rPr>
              <w:t>包头市三隆稀有金属材料有限责任</w:t>
            </w:r>
            <w:r>
              <w:rPr>
                <w:rFonts w:hint="eastAsia" w:ascii="宋体" w:hAnsi="宋体" w:eastAsia="宋体" w:cs="宋体"/>
                <w:color w:val="auto"/>
                <w:sz w:val="18"/>
                <w:szCs w:val="18"/>
              </w:rPr>
              <w:t>公司</w:t>
            </w:r>
          </w:p>
        </w:tc>
        <w:tc>
          <w:tcPr>
            <w:tcW w:w="532" w:type="pct"/>
            <w:tcBorders>
              <w:top w:val="single" w:color="auto" w:sz="4" w:space="0"/>
              <w:left w:val="single" w:color="auto" w:sz="4" w:space="0"/>
              <w:bottom w:val="single" w:color="auto" w:sz="4" w:space="0"/>
              <w:right w:val="single" w:color="auto" w:sz="4" w:space="0"/>
            </w:tcBorders>
            <w:vAlign w:val="center"/>
          </w:tcPr>
          <w:p w14:paraId="0F698AA5">
            <w:pPr>
              <w:jc w:val="left"/>
              <w:rPr>
                <w:sz w:val="18"/>
                <w:szCs w:val="18"/>
              </w:rPr>
            </w:pPr>
          </w:p>
        </w:tc>
        <w:tc>
          <w:tcPr>
            <w:tcW w:w="646" w:type="pct"/>
            <w:tcBorders>
              <w:top w:val="single" w:color="auto" w:sz="4" w:space="0"/>
              <w:left w:val="single" w:color="auto" w:sz="4" w:space="0"/>
              <w:bottom w:val="single" w:color="auto" w:sz="4" w:space="0"/>
              <w:right w:val="single" w:color="auto" w:sz="4" w:space="0"/>
            </w:tcBorders>
            <w:vAlign w:val="center"/>
          </w:tcPr>
          <w:p w14:paraId="5EF889B9">
            <w:pPr>
              <w:ind w:firstLine="25" w:firstLineChars="14"/>
              <w:jc w:val="left"/>
              <w:rPr>
                <w:sz w:val="18"/>
                <w:szCs w:val="18"/>
              </w:rPr>
            </w:pPr>
          </w:p>
        </w:tc>
      </w:tr>
      <w:tr w14:paraId="0550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 w:type="pct"/>
            <w:tcBorders>
              <w:top w:val="single" w:color="auto" w:sz="4" w:space="0"/>
              <w:left w:val="single" w:color="auto" w:sz="4" w:space="0"/>
              <w:bottom w:val="single" w:color="auto" w:sz="4" w:space="0"/>
              <w:right w:val="single" w:color="auto" w:sz="4" w:space="0"/>
            </w:tcBorders>
            <w:vAlign w:val="center"/>
          </w:tcPr>
          <w:p w14:paraId="43CCB732">
            <w:pPr>
              <w:jc w:val="left"/>
              <w:rPr>
                <w:rFonts w:hint="eastAsia" w:eastAsia="宋体"/>
                <w:sz w:val="18"/>
                <w:szCs w:val="18"/>
                <w:lang w:val="en-US" w:eastAsia="zh-CN"/>
              </w:rPr>
            </w:pPr>
            <w:r>
              <w:rPr>
                <w:rFonts w:hint="eastAsia"/>
                <w:sz w:val="18"/>
                <w:szCs w:val="18"/>
                <w:lang w:val="en-US" w:eastAsia="zh-CN"/>
              </w:rPr>
              <w:t>9</w:t>
            </w:r>
          </w:p>
        </w:tc>
        <w:tc>
          <w:tcPr>
            <w:tcW w:w="397" w:type="pct"/>
            <w:tcBorders>
              <w:top w:val="single" w:color="auto" w:sz="4" w:space="0"/>
              <w:left w:val="single" w:color="auto" w:sz="4" w:space="0"/>
              <w:bottom w:val="single" w:color="auto" w:sz="4" w:space="0"/>
              <w:right w:val="single" w:color="auto" w:sz="4" w:space="0"/>
            </w:tcBorders>
            <w:vAlign w:val="center"/>
          </w:tcPr>
          <w:p w14:paraId="1F9CD15B">
            <w:pPr>
              <w:ind w:hanging="2"/>
              <w:jc w:val="left"/>
              <w:rPr>
                <w:sz w:val="18"/>
                <w:szCs w:val="18"/>
              </w:rPr>
            </w:pPr>
          </w:p>
        </w:tc>
        <w:tc>
          <w:tcPr>
            <w:tcW w:w="1992" w:type="pct"/>
            <w:tcBorders>
              <w:top w:val="single" w:color="auto" w:sz="4" w:space="0"/>
              <w:left w:val="single" w:color="auto" w:sz="4" w:space="0"/>
              <w:bottom w:val="single" w:color="auto" w:sz="4" w:space="0"/>
              <w:right w:val="single" w:color="auto" w:sz="4" w:space="0"/>
            </w:tcBorders>
            <w:vAlign w:val="center"/>
          </w:tcPr>
          <w:p w14:paraId="5E1861E1">
            <w:pPr>
              <w:jc w:val="left"/>
              <w:rPr>
                <w:sz w:val="18"/>
                <w:szCs w:val="18"/>
              </w:rPr>
            </w:pPr>
            <w:r>
              <w:rPr>
                <w:sz w:val="18"/>
                <w:szCs w:val="18"/>
              </w:rPr>
              <w:t>回函无意见。</w:t>
            </w:r>
          </w:p>
        </w:tc>
        <w:tc>
          <w:tcPr>
            <w:tcW w:w="1221" w:type="pct"/>
            <w:tcBorders>
              <w:top w:val="single" w:color="auto" w:sz="4" w:space="0"/>
              <w:left w:val="single" w:color="auto" w:sz="4" w:space="0"/>
              <w:bottom w:val="single" w:color="auto" w:sz="4" w:space="0"/>
              <w:right w:val="single" w:color="auto" w:sz="4" w:space="0"/>
            </w:tcBorders>
            <w:vAlign w:val="center"/>
          </w:tcPr>
          <w:p w14:paraId="686FDC10">
            <w:pPr>
              <w:ind w:firstLine="50" w:firstLineChars="28"/>
              <w:jc w:val="left"/>
              <w:rPr>
                <w:sz w:val="18"/>
                <w:szCs w:val="18"/>
              </w:rPr>
            </w:pPr>
            <w:r>
              <w:rPr>
                <w:rFonts w:hint="eastAsia" w:ascii="宋体" w:hAnsi="宋体" w:eastAsia="宋体" w:cs="宋体"/>
                <w:color w:val="auto"/>
                <w:sz w:val="18"/>
                <w:szCs w:val="18"/>
              </w:rPr>
              <w:t>定南大华新材料资源有限公司</w:t>
            </w:r>
          </w:p>
        </w:tc>
        <w:tc>
          <w:tcPr>
            <w:tcW w:w="532" w:type="pct"/>
            <w:tcBorders>
              <w:top w:val="single" w:color="auto" w:sz="4" w:space="0"/>
              <w:left w:val="single" w:color="auto" w:sz="4" w:space="0"/>
              <w:bottom w:val="single" w:color="auto" w:sz="4" w:space="0"/>
              <w:right w:val="single" w:color="auto" w:sz="4" w:space="0"/>
            </w:tcBorders>
            <w:vAlign w:val="center"/>
          </w:tcPr>
          <w:p w14:paraId="265A3E29">
            <w:pPr>
              <w:jc w:val="left"/>
              <w:rPr>
                <w:sz w:val="18"/>
                <w:szCs w:val="18"/>
              </w:rPr>
            </w:pPr>
          </w:p>
        </w:tc>
        <w:tc>
          <w:tcPr>
            <w:tcW w:w="646" w:type="pct"/>
            <w:tcBorders>
              <w:top w:val="single" w:color="auto" w:sz="4" w:space="0"/>
              <w:left w:val="single" w:color="auto" w:sz="4" w:space="0"/>
              <w:bottom w:val="single" w:color="auto" w:sz="4" w:space="0"/>
              <w:right w:val="single" w:color="auto" w:sz="4" w:space="0"/>
            </w:tcBorders>
            <w:vAlign w:val="center"/>
          </w:tcPr>
          <w:p w14:paraId="3F6448FD">
            <w:pPr>
              <w:ind w:firstLine="25" w:firstLineChars="14"/>
              <w:jc w:val="left"/>
              <w:rPr>
                <w:sz w:val="18"/>
                <w:szCs w:val="18"/>
              </w:rPr>
            </w:pPr>
          </w:p>
        </w:tc>
      </w:tr>
    </w:tbl>
    <w:p w14:paraId="621B6E7B">
      <w:pPr>
        <w:pStyle w:val="51"/>
        <w:spacing w:line="360" w:lineRule="auto"/>
        <w:ind w:firstLine="420"/>
      </w:pPr>
      <w:r>
        <w:rPr>
          <w:rFonts w:hint="eastAsia"/>
        </w:rPr>
        <w:t>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19</w:t>
      </w:r>
      <w:r>
        <w:rPr>
          <w:rFonts w:hint="eastAsia"/>
        </w:rPr>
        <w:t>日，向</w:t>
      </w:r>
      <w:r>
        <w:rPr>
          <w:rFonts w:hint="eastAsia" w:ascii="宋体" w:hAnsi="宋体" w:eastAsia="宋体" w:cs="宋体"/>
          <w:sz w:val="21"/>
          <w:szCs w:val="21"/>
          <w:lang w:eastAsia="zh-CN"/>
        </w:rPr>
        <w:t>虔东稀土集团股份有限公司、</w:t>
      </w:r>
      <w:r>
        <w:rPr>
          <w:rFonts w:hint="eastAsia"/>
          <w:lang w:eastAsia="zh-CN"/>
        </w:rPr>
        <w:t>包头稀土研究院、</w:t>
      </w:r>
      <w:r>
        <w:t>江西南方稀土高技术股份有限公司</w:t>
      </w:r>
      <w:r>
        <w:rPr>
          <w:rFonts w:hint="eastAsia"/>
        </w:rPr>
        <w:t>、</w:t>
      </w:r>
      <w:r>
        <w:rPr>
          <w:rFonts w:hint="eastAsia" w:ascii="宋体" w:hAnsi="宋体" w:eastAsia="宋体" w:cs="宋体"/>
          <w:sz w:val="21"/>
          <w:szCs w:val="21"/>
        </w:rPr>
        <w:t>赣州晨光稀土新材料有限公司</w:t>
      </w:r>
      <w:r>
        <w:rPr>
          <w:rFonts w:hint="eastAsia" w:ascii="宋体" w:hAnsi="宋体" w:eastAsia="宋体" w:cs="宋体"/>
          <w:sz w:val="21"/>
          <w:szCs w:val="21"/>
          <w:lang w:eastAsia="zh-CN"/>
        </w:rPr>
        <w:t>、</w:t>
      </w:r>
      <w:r>
        <w:rPr>
          <w:rFonts w:hint="eastAsia" w:ascii="宋体" w:hAnsi="宋体" w:eastAsia="宋体" w:cs="宋体"/>
          <w:sz w:val="21"/>
          <w:szCs w:val="21"/>
        </w:rPr>
        <w:t>四川省乐山锐丰冶金有限公司</w:t>
      </w:r>
      <w:r>
        <w:rPr>
          <w:rFonts w:hint="eastAsia" w:ascii="宋体" w:hAnsi="宋体" w:eastAsia="宋体" w:cs="宋体"/>
          <w:sz w:val="21"/>
          <w:szCs w:val="21"/>
          <w:lang w:eastAsia="zh-CN"/>
        </w:rPr>
        <w:t>、</w:t>
      </w:r>
      <w:r>
        <w:rPr>
          <w:rFonts w:hint="eastAsia"/>
        </w:rPr>
        <w:t>福建省长汀金龙稀土有限公司、湖南稀土金属材料研究院有限责任公司、国标（北京）检验认证有限公司、包头华美稀土高科有限公司</w:t>
      </w:r>
      <w:r>
        <w:rPr>
          <w:rFonts w:hint="eastAsia"/>
          <w:lang w:eastAsia="zh-CN"/>
        </w:rPr>
        <w:t>、江西理工大学、淄博加华新材料资源有限公司</w:t>
      </w:r>
      <w:r>
        <w:rPr>
          <w:rFonts w:hint="eastAsia"/>
          <w:lang w:val="en-US" w:eastAsia="zh-CN"/>
        </w:rPr>
        <w:t>11</w:t>
      </w:r>
      <w:r>
        <w:rPr>
          <w:rFonts w:hint="eastAsia"/>
        </w:rPr>
        <w:t>家单位征求意见。各单位对送审稿的反馈意见详见《意见汇总处理表》。</w:t>
      </w:r>
    </w:p>
    <w:p w14:paraId="7742E744">
      <w:pPr>
        <w:pStyle w:val="53"/>
        <w:numPr>
          <w:ilvl w:val="2"/>
          <w:numId w:val="0"/>
        </w:numPr>
        <w:spacing w:before="156" w:after="156" w:line="360" w:lineRule="auto"/>
        <w:ind w:leftChars="0" w:firstLine="420" w:firstLineChars="200"/>
        <w:rPr>
          <w:rFonts w:hint="eastAsia" w:ascii="宋体" w:hAnsi="宋体" w:eastAsia="宋体" w:cs="宋体"/>
          <w:b/>
          <w:bCs/>
        </w:rPr>
      </w:pPr>
      <w:r>
        <w:rPr>
          <w:rFonts w:hint="eastAsia" w:ascii="宋体" w:hAnsi="宋体" w:eastAsia="宋体" w:cs="宋体"/>
        </w:rPr>
        <w:t>202</w:t>
      </w:r>
      <w:r>
        <w:rPr>
          <w:rFonts w:hint="eastAsia" w:ascii="宋体" w:hAnsi="宋体" w:eastAsia="宋体" w:cs="宋体"/>
          <w:lang w:val="en-US" w:eastAsia="zh-CN"/>
        </w:rPr>
        <w:t>4</w:t>
      </w:r>
      <w:r>
        <w:rPr>
          <w:rFonts w:hint="eastAsia" w:ascii="宋体" w:hAnsi="宋体" w:eastAsia="宋体" w:cs="宋体"/>
        </w:rPr>
        <w:t>年</w:t>
      </w:r>
      <w:r>
        <w:rPr>
          <w:rFonts w:hint="eastAsia" w:ascii="宋体" w:hAnsi="宋体" w:eastAsia="宋体" w:cs="宋体"/>
          <w:lang w:val="en-US" w:eastAsia="zh-CN"/>
        </w:rPr>
        <w:t>10</w:t>
      </w:r>
      <w:r>
        <w:rPr>
          <w:rFonts w:hint="eastAsia" w:ascii="宋体" w:hAnsi="宋体" w:eastAsia="宋体" w:cs="宋体"/>
        </w:rPr>
        <w:t>月</w:t>
      </w:r>
      <w:r>
        <w:rPr>
          <w:rFonts w:hint="eastAsia" w:ascii="宋体" w:hAnsi="宋体" w:eastAsia="宋体" w:cs="宋体"/>
          <w:lang w:val="en-US" w:eastAsia="zh-CN"/>
        </w:rPr>
        <w:t>31</w:t>
      </w:r>
      <w:r>
        <w:rPr>
          <w:rFonts w:hint="eastAsia" w:ascii="宋体" w:hAnsi="宋体" w:eastAsia="宋体" w:cs="宋体"/>
        </w:rPr>
        <w:t>日，《</w:t>
      </w:r>
      <w:r>
        <w:rPr>
          <w:rFonts w:hint="eastAsia" w:ascii="宋体" w:hAnsi="宋体" w:eastAsia="宋体" w:cs="宋体"/>
          <w:lang w:eastAsia="zh-CN"/>
        </w:rPr>
        <w:t>稀土金属及其氧化物中非稀土杂质化学分析方法</w:t>
      </w:r>
      <w:r>
        <w:rPr>
          <w:rFonts w:hint="eastAsia" w:ascii="宋体" w:hAnsi="宋体" w:eastAsia="宋体" w:cs="宋体"/>
          <w:lang w:val="en-US" w:eastAsia="zh-CN"/>
        </w:rPr>
        <w:t xml:space="preserve"> 第11部分：镁量的测定 火焰原子吸收光谱法</w:t>
      </w:r>
      <w:r>
        <w:rPr>
          <w:rFonts w:hint="eastAsia" w:ascii="宋体" w:hAnsi="宋体" w:eastAsia="宋体" w:cs="宋体"/>
        </w:rPr>
        <w:t>》送审稿及编制说</w:t>
      </w:r>
      <w:bookmarkStart w:id="4" w:name="_GoBack"/>
      <w:bookmarkEnd w:id="4"/>
      <w:r>
        <w:rPr>
          <w:rFonts w:hint="eastAsia" w:ascii="宋体" w:hAnsi="宋体" w:eastAsia="宋体" w:cs="宋体"/>
        </w:rPr>
        <w:t>明在中国有色金属标准质量信息网上公开征求意见。</w:t>
      </w:r>
    </w:p>
    <w:p w14:paraId="32D351C3">
      <w:pPr>
        <w:pStyle w:val="53"/>
        <w:numPr>
          <w:ilvl w:val="2"/>
          <w:numId w:val="0"/>
        </w:numPr>
        <w:spacing w:before="156" w:after="156" w:line="480" w:lineRule="auto"/>
        <w:ind w:leftChars="0"/>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4.5审定阶段</w:t>
      </w:r>
    </w:p>
    <w:p w14:paraId="05FAE6E2">
      <w:pPr>
        <w:pStyle w:val="53"/>
        <w:numPr>
          <w:ilvl w:val="2"/>
          <w:numId w:val="0"/>
        </w:numPr>
        <w:spacing w:before="156" w:after="156" w:line="480" w:lineRule="auto"/>
        <w:ind w:leftChars="0"/>
        <w:rPr>
          <w:rFonts w:hint="eastAsia" w:asciiTheme="majorEastAsia" w:hAnsiTheme="majorEastAsia" w:eastAsiaTheme="majorEastAsia" w:cstheme="majorEastAsia"/>
          <w:b/>
          <w:bCs/>
          <w:highlight w:val="none"/>
        </w:rPr>
      </w:pPr>
      <w:r>
        <w:rPr>
          <w:rFonts w:hint="eastAsia" w:asciiTheme="majorEastAsia" w:hAnsiTheme="majorEastAsia" w:eastAsiaTheme="majorEastAsia" w:cstheme="majorEastAsia"/>
          <w:b/>
          <w:bCs/>
        </w:rPr>
        <w:t>4.6报批</w:t>
      </w:r>
    </w:p>
    <w:p w14:paraId="335EF7F4">
      <w:pPr>
        <w:pStyle w:val="52"/>
        <w:numPr>
          <w:ilvl w:val="1"/>
          <w:numId w:val="0"/>
        </w:numPr>
        <w:spacing w:before="156" w:after="156" w:line="240" w:lineRule="auto"/>
        <w:ind w:leftChars="0"/>
        <w:rPr>
          <w:rFonts w:hint="eastAsia" w:ascii="宋体" w:hAnsi="宋体" w:eastAsia="宋体" w:cs="宋体"/>
          <w:b/>
          <w:bCs/>
        </w:rPr>
      </w:pPr>
      <w:r>
        <w:rPr>
          <w:rFonts w:hint="eastAsia" w:ascii="宋体" w:hAnsi="宋体" w:eastAsia="宋体" w:cs="宋体"/>
          <w:b/>
          <w:bCs/>
        </w:rPr>
        <w:t>二、标准编制原则、主要内容及其确定依据</w:t>
      </w:r>
    </w:p>
    <w:p w14:paraId="350DB3E8">
      <w:pPr>
        <w:pStyle w:val="52"/>
        <w:numPr>
          <w:ilvl w:val="1"/>
          <w:numId w:val="0"/>
        </w:numPr>
        <w:spacing w:before="156" w:after="156" w:line="240" w:lineRule="auto"/>
        <w:ind w:leftChars="0"/>
        <w:rPr>
          <w:rFonts w:hint="eastAsia" w:ascii="宋体" w:hAnsi="宋体" w:eastAsia="宋体" w:cs="宋体"/>
          <w:b/>
          <w:bCs/>
        </w:rPr>
      </w:pPr>
      <w:r>
        <w:rPr>
          <w:rFonts w:hint="eastAsia" w:ascii="宋体" w:hAnsi="宋体" w:eastAsia="宋体" w:cs="宋体"/>
          <w:b/>
          <w:bCs/>
        </w:rPr>
        <w:t>1、编制原则</w:t>
      </w:r>
    </w:p>
    <w:p w14:paraId="3E3649A5">
      <w:pPr>
        <w:pStyle w:val="51"/>
        <w:spacing w:line="360" w:lineRule="auto"/>
        <w:ind w:firstLine="420"/>
      </w:pPr>
      <w:r>
        <w:rPr>
          <w:rFonts w:hint="eastAsia"/>
        </w:rPr>
        <w:t>本标准起草过程中遵循以下原则：</w:t>
      </w:r>
      <w:r>
        <w:rPr>
          <w:rFonts w:hint="eastAsia"/>
        </w:rPr>
        <w:tab/>
      </w:r>
    </w:p>
    <w:p w14:paraId="2C70BF34">
      <w:pPr>
        <w:pStyle w:val="51"/>
        <w:spacing w:line="360" w:lineRule="auto"/>
        <w:ind w:firstLine="420"/>
        <w:rPr>
          <w:rFonts w:hint="eastAsia" w:ascii="宋体" w:hAnsi="宋体" w:eastAsia="宋体" w:cs="宋体"/>
        </w:rPr>
      </w:pPr>
      <w:r>
        <w:rPr>
          <w:rFonts w:hint="eastAsia" w:ascii="宋体" w:hAnsi="宋体" w:eastAsia="宋体" w:cs="宋体"/>
        </w:rPr>
        <w:t>1.规范性原则：本标准是根据GB/T 1.1《标准化工作导则 第1部分：标准化文件的结构和起草规则》和GB/T 20001.4《标准编写规则 第4部分：试验方法标准》的要求进行编写的；</w:t>
      </w:r>
    </w:p>
    <w:p w14:paraId="436A658F">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2.先进性：</w:t>
      </w:r>
      <w:r>
        <w:rPr>
          <w:rFonts w:hint="eastAsia" w:ascii="宋体" w:hAnsi="宋体" w:eastAsia="宋体" w:cs="宋体"/>
          <w:szCs w:val="21"/>
        </w:rPr>
        <w:t>根据目前稀土金属及其氧化物的生产、应用和贸易要求确定分析方法及测定范围。</w:t>
      </w:r>
      <w:r>
        <w:rPr>
          <w:rFonts w:hint="eastAsia" w:ascii="宋体" w:hAnsi="宋体" w:eastAsia="宋体" w:cs="宋体"/>
        </w:rPr>
        <w:t>制定的标准适用于</w:t>
      </w:r>
      <w:r>
        <w:rPr>
          <w:rFonts w:hint="eastAsia" w:ascii="宋体" w:hAnsi="宋体" w:eastAsia="宋体" w:cs="宋体"/>
          <w:lang w:eastAsia="zh-CN"/>
        </w:rPr>
        <w:t>稀土金属及其氧化物中镁量</w:t>
      </w:r>
      <w:r>
        <w:rPr>
          <w:rFonts w:hint="eastAsia" w:ascii="宋体" w:hAnsi="宋体" w:eastAsia="宋体" w:cs="宋体"/>
        </w:rPr>
        <w:t>的测定；</w:t>
      </w:r>
    </w:p>
    <w:p w14:paraId="43394D67">
      <w:pPr>
        <w:pStyle w:val="51"/>
        <w:spacing w:line="360" w:lineRule="auto"/>
        <w:ind w:firstLine="420"/>
        <w:rPr>
          <w:rFonts w:hint="eastAsia" w:ascii="宋体" w:hAnsi="宋体" w:eastAsia="宋体" w:cs="宋体"/>
        </w:rPr>
      </w:pPr>
      <w:r>
        <w:rPr>
          <w:rFonts w:hint="eastAsia" w:ascii="宋体" w:hAnsi="宋体" w:eastAsia="宋体" w:cs="宋体"/>
        </w:rPr>
        <w:t>3.适用性：本标准以满足我国稀土产品实际检测需求为原则，易于应用，能够满足企业需求。</w:t>
      </w:r>
    </w:p>
    <w:p w14:paraId="010D686F">
      <w:pPr>
        <w:pStyle w:val="51"/>
        <w:spacing w:line="360" w:lineRule="auto"/>
        <w:ind w:firstLine="420"/>
        <w:rPr>
          <w:rFonts w:hint="eastAsia" w:ascii="宋体" w:hAnsi="宋体" w:eastAsia="宋体" w:cs="宋体"/>
          <w:b/>
          <w:bCs/>
        </w:rPr>
      </w:pPr>
      <w:r>
        <w:rPr>
          <w:rFonts w:hint="eastAsia" w:ascii="宋体" w:hAnsi="宋体" w:eastAsia="宋体" w:cs="宋体"/>
        </w:rPr>
        <w:t>4.充分考虑国家法律、安全、卫生、环保法规的要求。</w:t>
      </w:r>
    </w:p>
    <w:p w14:paraId="0A0A7D02">
      <w:pPr>
        <w:pStyle w:val="52"/>
        <w:numPr>
          <w:ilvl w:val="1"/>
          <w:numId w:val="0"/>
        </w:numPr>
        <w:spacing w:before="156" w:after="156" w:line="240" w:lineRule="auto"/>
        <w:ind w:leftChars="0"/>
        <w:rPr>
          <w:rFonts w:hint="eastAsia" w:ascii="宋体" w:hAnsi="宋体" w:eastAsia="宋体" w:cs="宋体"/>
          <w:b/>
          <w:bCs/>
        </w:rPr>
      </w:pPr>
      <w:r>
        <w:rPr>
          <w:rFonts w:hint="eastAsia" w:ascii="宋体" w:hAnsi="宋体" w:eastAsia="宋体" w:cs="宋体"/>
          <w:b/>
          <w:bCs/>
        </w:rPr>
        <w:t>2</w:t>
      </w:r>
      <w:r>
        <w:rPr>
          <w:rFonts w:hint="eastAsia" w:ascii="宋体" w:hAnsi="宋体" w:eastAsia="宋体" w:cs="宋体"/>
          <w:b/>
          <w:bCs/>
          <w:lang w:eastAsia="zh-CN"/>
        </w:rPr>
        <w:t>、</w:t>
      </w:r>
      <w:r>
        <w:rPr>
          <w:rFonts w:hint="eastAsia" w:ascii="宋体" w:hAnsi="宋体" w:eastAsia="宋体" w:cs="宋体"/>
          <w:b/>
          <w:bCs/>
        </w:rPr>
        <w:t>标准技术内容及其确定依据</w:t>
      </w:r>
    </w:p>
    <w:p w14:paraId="17C408A7">
      <w:pPr>
        <w:tabs>
          <w:tab w:val="left" w:pos="0"/>
        </w:tabs>
        <w:spacing w:line="360" w:lineRule="auto"/>
        <w:rPr>
          <w:rFonts w:hint="eastAsia" w:ascii="宋体" w:hAnsi="宋体"/>
          <w:lang w:val="en-US" w:eastAsia="zh-CN"/>
        </w:rPr>
      </w:pPr>
      <w:r>
        <w:rPr>
          <w:rFonts w:hint="eastAsia" w:ascii="宋体" w:hAnsi="宋体"/>
          <w:lang w:val="en-US" w:eastAsia="zh-CN"/>
        </w:rPr>
        <w:t>2.1方法原理及测试范围</w:t>
      </w:r>
    </w:p>
    <w:p w14:paraId="04DE68EA">
      <w:pPr>
        <w:tabs>
          <w:tab w:val="left" w:pos="0"/>
        </w:tabs>
        <w:spacing w:line="360" w:lineRule="auto"/>
        <w:ind w:firstLine="420" w:firstLineChars="200"/>
        <w:rPr>
          <w:rFonts w:ascii="Arial" w:hAnsi="Arial" w:cs="Arial" w:eastAsiaTheme="minorEastAsia"/>
          <w:szCs w:val="21"/>
        </w:rPr>
      </w:pPr>
      <w:r>
        <w:rPr>
          <w:rFonts w:hint="eastAsia" w:ascii="宋体" w:hAnsi="宋体"/>
        </w:rPr>
        <w:t>试</w:t>
      </w:r>
      <w:r>
        <w:rPr>
          <w:rFonts w:hint="eastAsia" w:ascii="宋体" w:hAnsi="宋体"/>
          <w:lang w:eastAsia="zh-CN"/>
        </w:rPr>
        <w:t>样经</w:t>
      </w:r>
      <w:r>
        <w:rPr>
          <w:rFonts w:hint="eastAsia" w:ascii="宋体" w:hAnsi="宋体"/>
        </w:rPr>
        <w:t>盐酸或硝酸溶解，在稀酸介质中，</w:t>
      </w:r>
      <w:r>
        <w:rPr>
          <w:rFonts w:hint="eastAsia" w:ascii="宋体" w:hAnsi="宋体"/>
          <w:lang w:eastAsia="zh-CN"/>
        </w:rPr>
        <w:t>使用空气</w:t>
      </w:r>
      <w:r>
        <w:rPr>
          <w:rFonts w:hint="eastAsia" w:ascii="宋体" w:hAnsi="宋体"/>
          <w:lang w:val="en-US" w:eastAsia="zh-CN"/>
        </w:rPr>
        <w:t>-乙炔火焰，于原子吸收分光光度计波长285.2nm处测定氧化镁的吸光度，</w:t>
      </w:r>
      <w:r>
        <w:rPr>
          <w:rFonts w:hint="eastAsia" w:ascii="宋体" w:hAnsi="宋体" w:cs="宋体"/>
          <w:color w:val="000000"/>
          <w:lang w:eastAsia="zh-CN"/>
        </w:rPr>
        <w:t>用</w:t>
      </w:r>
      <w:r>
        <w:rPr>
          <w:rFonts w:hint="eastAsia" w:ascii="宋体" w:hAnsi="宋体" w:cs="宋体"/>
          <w:color w:val="000000"/>
        </w:rPr>
        <w:t>标准加入法</w:t>
      </w:r>
      <w:r>
        <w:rPr>
          <w:rFonts w:hint="eastAsia" w:ascii="宋体" w:hAnsi="宋体" w:cs="宋体"/>
          <w:color w:val="auto"/>
          <w:lang w:eastAsia="zh-CN"/>
        </w:rPr>
        <w:t>或工作曲线法</w:t>
      </w:r>
      <w:r>
        <w:rPr>
          <w:rFonts w:hint="eastAsia" w:ascii="宋体" w:hAnsi="宋体" w:cs="宋体"/>
          <w:color w:val="000000"/>
          <w:lang w:eastAsia="zh-CN"/>
        </w:rPr>
        <w:t>计算镁的含量。</w:t>
      </w:r>
    </w:p>
    <w:p w14:paraId="6DE7EE3B">
      <w:pPr>
        <w:adjustRightInd w:val="0"/>
        <w:snapToGrid w:val="0"/>
        <w:spacing w:line="360" w:lineRule="auto"/>
        <w:ind w:firstLine="420" w:firstLineChars="200"/>
        <w:rPr>
          <w:rFonts w:hint="eastAsia" w:asciiTheme="majorEastAsia" w:hAnsiTheme="majorEastAsia" w:eastAsiaTheme="majorEastAsia" w:cstheme="majorEastAsia"/>
          <w:lang w:val="en-US" w:eastAsia="zh-CN"/>
        </w:rPr>
      </w:pPr>
      <w:r>
        <w:rPr>
          <w:rFonts w:hint="eastAsia" w:ascii="Arial" w:hAnsi="Arial" w:cs="Arial" w:eastAsiaTheme="minorEastAsia"/>
          <w:szCs w:val="21"/>
          <w:lang w:eastAsia="zh-CN"/>
        </w:rPr>
        <w:t>本方法测定范围：</w:t>
      </w:r>
      <w:r>
        <w:rPr>
          <w:rFonts w:hint="eastAsia"/>
          <w:lang w:val="en-US" w:eastAsia="zh-CN"/>
        </w:rPr>
        <w:t xml:space="preserve"> </w:t>
      </w:r>
      <w:r>
        <w:rPr>
          <w:rFonts w:hint="eastAsia" w:asciiTheme="majorEastAsia" w:hAnsiTheme="majorEastAsia" w:eastAsiaTheme="majorEastAsia" w:cstheme="majorEastAsia"/>
          <w:lang w:val="en-US" w:eastAsia="zh-CN"/>
        </w:rPr>
        <w:t>0.0005%～0.30%</w:t>
      </w:r>
    </w:p>
    <w:p w14:paraId="6B06197D">
      <w:pPr>
        <w:spacing w:line="360" w:lineRule="auto"/>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2.2</w:t>
      </w:r>
      <w:r>
        <w:rPr>
          <w:rFonts w:hint="eastAsia"/>
          <w:color w:val="000000" w:themeColor="text1"/>
          <w:szCs w:val="21"/>
          <w:lang w:eastAsia="zh-CN"/>
          <w14:textFill>
            <w14:solidFill>
              <w14:schemeClr w14:val="tx1"/>
            </w14:solidFill>
          </w14:textFill>
        </w:rPr>
        <w:t>酸介质及酸度的影响</w:t>
      </w:r>
    </w:p>
    <w:p w14:paraId="51C5C233">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rPr>
      </w:pPr>
      <w:r>
        <w:rPr>
          <w:rFonts w:hint="eastAsia" w:ascii="宋体" w:hAnsi="宋体"/>
          <w:szCs w:val="21"/>
          <w:highlight w:val="none"/>
          <w:lang w:eastAsia="zh-CN"/>
        </w:rPr>
        <w:t>原国家标准方法起草报告中对高氯酸介质也进行了试验，实质在日常样品测试中只是用到盐酸或硝酸即可，所以本项目取消了高氯酸介质条件试验内容。</w:t>
      </w:r>
      <w:r>
        <w:rPr>
          <w:rFonts w:hint="eastAsia" w:ascii="宋体" w:hAnsi="宋体"/>
          <w:szCs w:val="21"/>
          <w:lang w:eastAsia="zh-CN"/>
        </w:rPr>
        <w:t>试验准确移取</w:t>
      </w:r>
      <w:r>
        <w:rPr>
          <w:rFonts w:hint="eastAsia" w:ascii="宋体" w:hAnsi="宋体" w:eastAsia="宋体" w:cs="宋体"/>
          <w:color w:val="auto"/>
          <w:lang w:val="en-US" w:eastAsia="zh-CN"/>
        </w:rPr>
        <w:t>5.0</w:t>
      </w:r>
      <w:r>
        <w:rPr>
          <w:rFonts w:hint="eastAsia" w:ascii="Batang" w:hAnsi="Batang" w:eastAsia="Batang" w:cs="Batang"/>
        </w:rPr>
        <w:t>μg</w:t>
      </w:r>
      <w:r>
        <w:rPr>
          <w:rFonts w:hint="eastAsia" w:ascii="Batang" w:hAnsi="Batang" w:eastAsia="宋体" w:cs="Batang"/>
          <w:lang w:val="en-US" w:eastAsia="zh-CN"/>
        </w:rPr>
        <w:t>/</w:t>
      </w:r>
      <w:r>
        <w:rPr>
          <w:rFonts w:hint="eastAsia" w:ascii="宋体" w:hAnsi="宋体" w:eastAsia="宋体" w:cs="宋体"/>
          <w:lang w:val="en-US" w:eastAsia="zh-CN"/>
        </w:rPr>
        <w:t>mL</w:t>
      </w:r>
      <w:r>
        <w:rPr>
          <w:rFonts w:hint="eastAsia" w:ascii="宋体" w:hAnsi="宋体"/>
          <w:szCs w:val="21"/>
          <w:lang w:eastAsia="zh-CN"/>
        </w:rPr>
        <w:t>镁标准溶液</w:t>
      </w:r>
      <w:r>
        <w:rPr>
          <w:rFonts w:hint="eastAsia" w:ascii="宋体" w:hAnsi="宋体" w:eastAsia="宋体" w:cs="宋体"/>
          <w:lang w:val="en-US" w:eastAsia="zh-CN"/>
        </w:rPr>
        <w:t>1.00</w:t>
      </w:r>
      <w:r>
        <w:rPr>
          <w:rFonts w:hint="eastAsia" w:ascii="宋体" w:hAnsi="宋体" w:eastAsia="宋体" w:cs="宋体"/>
        </w:rPr>
        <w:t>mL</w:t>
      </w:r>
      <w:r>
        <w:rPr>
          <w:rFonts w:hint="eastAsia" w:ascii="宋体" w:hAnsi="宋体" w:eastAsia="宋体" w:cs="宋体"/>
          <w:lang w:eastAsia="zh-CN"/>
        </w:rPr>
        <w:t>于一组</w:t>
      </w:r>
      <w:r>
        <w:rPr>
          <w:rFonts w:hint="eastAsia" w:ascii="宋体" w:hAnsi="宋体" w:eastAsia="宋体" w:cs="宋体"/>
          <w:lang w:val="en-US" w:eastAsia="zh-CN"/>
        </w:rPr>
        <w:t>50mL容量瓶中，</w:t>
      </w:r>
      <w:r>
        <w:rPr>
          <w:rFonts w:hint="eastAsia" w:ascii="宋体" w:hAnsi="宋体" w:eastAsia="宋体" w:cs="宋体"/>
          <w:szCs w:val="21"/>
        </w:rPr>
        <w:t>加入一定量的</w:t>
      </w:r>
      <w:r>
        <w:rPr>
          <w:rFonts w:hint="eastAsia" w:ascii="宋体" w:hAnsi="宋体" w:eastAsia="宋体" w:cs="宋体"/>
          <w:szCs w:val="21"/>
          <w:lang w:eastAsia="zh-CN"/>
        </w:rPr>
        <w:t>盐酸、</w:t>
      </w:r>
      <w:r>
        <w:rPr>
          <w:rFonts w:hint="eastAsia" w:ascii="宋体" w:hAnsi="宋体" w:eastAsia="宋体" w:cs="宋体"/>
          <w:szCs w:val="21"/>
        </w:rPr>
        <w:t>硝酸， 使其酸度分别为</w:t>
      </w:r>
      <w:r>
        <w:rPr>
          <w:rFonts w:hint="eastAsia" w:ascii="宋体" w:hAnsi="宋体" w:eastAsia="宋体" w:cs="宋体"/>
          <w:szCs w:val="21"/>
          <w:lang w:val="en-US" w:eastAsia="zh-CN"/>
        </w:rPr>
        <w:t>0.1%、0.5%、1%、</w:t>
      </w:r>
      <w:r>
        <w:rPr>
          <w:rFonts w:hint="eastAsia" w:ascii="宋体" w:hAnsi="宋体" w:eastAsia="宋体" w:cs="宋体"/>
          <w:szCs w:val="21"/>
        </w:rPr>
        <w:t>2%、</w:t>
      </w:r>
      <w:r>
        <w:rPr>
          <w:rFonts w:hint="eastAsia" w:ascii="宋体" w:hAnsi="宋体" w:eastAsia="宋体" w:cs="宋体"/>
          <w:szCs w:val="21"/>
          <w:lang w:val="en-US" w:eastAsia="zh-CN"/>
        </w:rPr>
        <w:t>3%、4%、</w:t>
      </w:r>
      <w:r>
        <w:rPr>
          <w:rFonts w:hint="eastAsia" w:ascii="宋体" w:hAnsi="宋体" w:eastAsia="宋体" w:cs="宋体"/>
          <w:szCs w:val="21"/>
        </w:rPr>
        <w:t>5%、8%、10%测定</w:t>
      </w:r>
      <w:r>
        <w:rPr>
          <w:rFonts w:hint="eastAsia" w:ascii="宋体" w:hAnsi="宋体" w:eastAsia="宋体" w:cs="宋体"/>
          <w:szCs w:val="21"/>
          <w:lang w:eastAsia="zh-CN"/>
        </w:rPr>
        <w:t>其吸光度</w:t>
      </w:r>
      <w:r>
        <w:rPr>
          <w:rFonts w:hint="eastAsia" w:ascii="宋体" w:hAnsi="宋体" w:eastAsia="宋体" w:cs="宋体"/>
          <w:szCs w:val="21"/>
        </w:rPr>
        <w:t>。</w:t>
      </w:r>
      <w:r>
        <w:rPr>
          <w:rFonts w:hint="eastAsia" w:ascii="宋体" w:hAnsi="宋体" w:eastAsia="宋体" w:cs="宋体"/>
          <w:szCs w:val="21"/>
          <w:lang w:eastAsia="zh-CN"/>
        </w:rPr>
        <w:t>测定结果</w:t>
      </w:r>
      <w:r>
        <w:rPr>
          <w:rFonts w:hint="eastAsia" w:ascii="宋体" w:hAnsi="宋体" w:eastAsia="宋体" w:cs="宋体"/>
          <w:szCs w:val="21"/>
        </w:rPr>
        <w:t>见表</w:t>
      </w:r>
      <w:r>
        <w:rPr>
          <w:rFonts w:hint="eastAsia" w:ascii="宋体" w:hAnsi="宋体" w:eastAsia="宋体" w:cs="宋体"/>
          <w:szCs w:val="21"/>
          <w:lang w:val="en-US" w:eastAsia="zh-CN"/>
        </w:rPr>
        <w:t>3</w:t>
      </w:r>
      <w:r>
        <w:rPr>
          <w:rFonts w:hint="eastAsia" w:ascii="宋体" w:hAnsi="宋体" w:eastAsia="宋体" w:cs="宋体"/>
          <w:szCs w:val="21"/>
        </w:rPr>
        <w:t>。</w:t>
      </w:r>
    </w:p>
    <w:p w14:paraId="323596D3">
      <w:pPr>
        <w:jc w:val="center"/>
        <w:rPr>
          <w:rFonts w:hint="eastAsia" w:ascii="黑体" w:hAnsi="黑体" w:eastAsia="黑体" w:cs="黑体"/>
          <w:color w:val="000000" w:themeColor="text1"/>
          <w:szCs w:val="21"/>
          <w:lang w:eastAsia="zh-CN"/>
          <w14:textFill>
            <w14:solidFill>
              <w14:schemeClr w14:val="tx1"/>
            </w14:solidFill>
          </w14:textFill>
        </w:rPr>
      </w:pPr>
    </w:p>
    <w:p w14:paraId="1D7BD7E3">
      <w:pPr>
        <w:jc w:val="center"/>
        <w:rPr>
          <w:rFonts w:hint="eastAsia" w:ascii="黑体" w:hAnsi="黑体" w:eastAsia="黑体" w:cs="黑体"/>
          <w:color w:val="000000" w:themeColor="text1"/>
          <w:szCs w:val="21"/>
          <w:lang w:eastAsia="zh-CN"/>
          <w14:textFill>
            <w14:solidFill>
              <w14:schemeClr w14:val="tx1"/>
            </w14:solidFill>
          </w14:textFill>
        </w:rPr>
      </w:pPr>
    </w:p>
    <w:p w14:paraId="42AD6263">
      <w:pPr>
        <w:jc w:val="both"/>
        <w:rPr>
          <w:rFonts w:hint="eastAsia" w:ascii="黑体" w:hAnsi="黑体" w:eastAsia="黑体" w:cs="黑体"/>
          <w:color w:val="000000" w:themeColor="text1"/>
          <w:szCs w:val="21"/>
          <w:lang w:eastAsia="zh-CN"/>
          <w14:textFill>
            <w14:solidFill>
              <w14:schemeClr w14:val="tx1"/>
            </w14:solidFill>
          </w14:textFill>
        </w:rPr>
      </w:pPr>
    </w:p>
    <w:p w14:paraId="5416028C">
      <w:pPr>
        <w:jc w:val="center"/>
        <w:rPr>
          <w:rFonts w:hint="eastAsia"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表</w:t>
      </w:r>
      <w:r>
        <w:rPr>
          <w:rFonts w:hint="eastAsia" w:ascii="黑体" w:hAnsi="黑体" w:eastAsia="黑体" w:cs="黑体"/>
          <w:color w:val="000000" w:themeColor="text1"/>
          <w:szCs w:val="21"/>
          <w:lang w:val="en-US" w:eastAsia="zh-CN"/>
          <w14:textFill>
            <w14:solidFill>
              <w14:schemeClr w14:val="tx1"/>
            </w14:solidFill>
          </w14:textFill>
        </w:rPr>
        <w:t>3 酸介质及酸度的影响</w:t>
      </w:r>
    </w:p>
    <w:tbl>
      <w:tblPr>
        <w:tblStyle w:val="19"/>
        <w:tblpPr w:leftFromText="180" w:rightFromText="180" w:vertAnchor="text" w:horzAnchor="page" w:tblpX="1607" w:tblpY="126"/>
        <w:tblOverlap w:val="never"/>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3475"/>
        <w:gridCol w:w="3339"/>
      </w:tblGrid>
      <w:tr w14:paraId="17E0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2316" w:type="dxa"/>
            <w:tcBorders>
              <w:top w:val="single" w:color="auto" w:sz="12" w:space="0"/>
              <w:left w:val="single" w:color="auto" w:sz="12" w:space="0"/>
              <w:bottom w:val="single" w:color="auto" w:sz="12" w:space="0"/>
              <w:tl2br w:val="single" w:color="auto" w:sz="4" w:space="0"/>
            </w:tcBorders>
            <w:noWrap w:val="0"/>
            <w:vAlign w:val="center"/>
          </w:tcPr>
          <w:p w14:paraId="30E2C27A">
            <w:pPr>
              <w:jc w:val="center"/>
              <w:rPr>
                <w:rFonts w:hint="eastAsia" w:ascii="宋体" w:hAnsi="宋体" w:cs="宋体"/>
                <w:bCs/>
                <w:sz w:val="18"/>
                <w:szCs w:val="18"/>
                <w:lang w:eastAsia="zh-CN"/>
              </w:rPr>
            </w:pPr>
            <w:r>
              <w:rPr>
                <w:rFonts w:hint="eastAsia" w:ascii="宋体" w:hAnsi="宋体" w:cs="宋体"/>
                <w:bCs/>
                <w:sz w:val="18"/>
                <w:szCs w:val="18"/>
                <w:lang w:val="en-US" w:eastAsia="zh-CN"/>
              </w:rPr>
              <w:t xml:space="preserve">           </w:t>
            </w:r>
            <w:r>
              <w:rPr>
                <w:rFonts w:hint="eastAsia" w:ascii="宋体" w:hAnsi="宋体" w:cs="宋体"/>
                <w:bCs/>
                <w:sz w:val="18"/>
                <w:szCs w:val="18"/>
                <w:lang w:eastAsia="zh-CN"/>
              </w:rPr>
              <w:t>信号值</w:t>
            </w:r>
          </w:p>
          <w:p w14:paraId="64FEFAA7">
            <w:pPr>
              <w:jc w:val="center"/>
              <w:rPr>
                <w:rFonts w:hint="default" w:ascii="宋体" w:hAnsi="宋体" w:eastAsia="宋体" w:cs="宋体"/>
                <w:bCs/>
                <w:sz w:val="18"/>
                <w:szCs w:val="18"/>
                <w:lang w:val="en-US" w:eastAsia="zh-CN"/>
              </w:rPr>
            </w:pPr>
            <w:r>
              <w:rPr>
                <w:rFonts w:hint="eastAsia" w:ascii="宋体" w:hAnsi="宋体" w:cs="宋体"/>
                <w:bCs/>
                <w:sz w:val="18"/>
                <w:szCs w:val="18"/>
                <w:lang w:eastAsia="zh-CN"/>
              </w:rPr>
              <w:t>酸度</w:t>
            </w:r>
            <w:r>
              <w:rPr>
                <w:rFonts w:hint="eastAsia" w:ascii="宋体" w:hAnsi="宋体" w:cs="宋体"/>
                <w:bCs/>
                <w:sz w:val="18"/>
                <w:szCs w:val="18"/>
                <w:lang w:val="en-US" w:eastAsia="zh-CN"/>
              </w:rPr>
              <w:t>%</w:t>
            </w:r>
          </w:p>
        </w:tc>
        <w:tc>
          <w:tcPr>
            <w:tcW w:w="3475" w:type="dxa"/>
            <w:tcBorders>
              <w:top w:val="single" w:color="auto" w:sz="12" w:space="0"/>
              <w:bottom w:val="single" w:color="auto" w:sz="12" w:space="0"/>
            </w:tcBorders>
            <w:noWrap w:val="0"/>
            <w:vAlign w:val="center"/>
          </w:tcPr>
          <w:p w14:paraId="4B923B85">
            <w:pPr>
              <w:jc w:val="center"/>
              <w:rPr>
                <w:rFonts w:hint="eastAsia" w:ascii="宋体" w:hAnsi="宋体" w:cs="宋体"/>
                <w:bCs/>
                <w:kern w:val="10"/>
                <w:sz w:val="18"/>
                <w:szCs w:val="18"/>
              </w:rPr>
            </w:pPr>
            <w:r>
              <w:rPr>
                <w:rFonts w:hint="eastAsia" w:ascii="宋体" w:hAnsi="宋体" w:cs="宋体"/>
                <w:bCs/>
                <w:position w:val="-32"/>
                <w:sz w:val="18"/>
                <w:szCs w:val="18"/>
                <w:lang w:eastAsia="zh-CN"/>
              </w:rPr>
              <w:t>盐酸</w:t>
            </w:r>
          </w:p>
        </w:tc>
        <w:tc>
          <w:tcPr>
            <w:tcW w:w="3339" w:type="dxa"/>
            <w:tcBorders>
              <w:top w:val="single" w:color="auto" w:sz="12" w:space="0"/>
              <w:bottom w:val="single" w:color="auto" w:sz="12" w:space="0"/>
            </w:tcBorders>
            <w:noWrap w:val="0"/>
            <w:vAlign w:val="center"/>
          </w:tcPr>
          <w:p w14:paraId="2CC619F2">
            <w:pPr>
              <w:pStyle w:val="16"/>
              <w:pBdr>
                <w:bottom w:val="none" w:color="auto" w:sz="0" w:space="0"/>
              </w:pBdr>
              <w:tabs>
                <w:tab w:val="clear" w:pos="4153"/>
                <w:tab w:val="clear" w:pos="8306"/>
              </w:tabs>
              <w:snapToGrid/>
              <w:rPr>
                <w:rFonts w:hint="eastAsia" w:ascii="宋体" w:hAnsi="宋体" w:cs="宋体"/>
                <w:bCs/>
                <w:kern w:val="10"/>
              </w:rPr>
            </w:pPr>
            <w:r>
              <w:rPr>
                <w:rFonts w:hint="eastAsia" w:ascii="宋体" w:hAnsi="宋体" w:cs="宋体"/>
                <w:bCs/>
                <w:position w:val="-32"/>
                <w:sz w:val="18"/>
                <w:szCs w:val="18"/>
              </w:rPr>
              <w:t>硝酸</w:t>
            </w:r>
          </w:p>
        </w:tc>
      </w:tr>
      <w:tr w14:paraId="1336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16" w:type="dxa"/>
            <w:tcBorders>
              <w:top w:val="single" w:color="auto" w:sz="12" w:space="0"/>
              <w:left w:val="single" w:color="auto" w:sz="12" w:space="0"/>
              <w:bottom w:val="single" w:color="auto" w:sz="4" w:space="0"/>
            </w:tcBorders>
            <w:noWrap w:val="0"/>
            <w:vAlign w:val="center"/>
          </w:tcPr>
          <w:p w14:paraId="2B47A982">
            <w:pPr>
              <w:jc w:val="center"/>
              <w:rPr>
                <w:rFonts w:hint="default" w:ascii="宋体" w:hAnsi="宋体"/>
                <w:bCs/>
                <w:sz w:val="18"/>
                <w:szCs w:val="18"/>
                <w:lang w:val="en-US" w:eastAsia="zh-CN"/>
              </w:rPr>
            </w:pPr>
            <w:r>
              <w:rPr>
                <w:rFonts w:hint="eastAsia" w:ascii="宋体" w:hAnsi="宋体"/>
                <w:bCs/>
                <w:sz w:val="18"/>
                <w:szCs w:val="18"/>
                <w:lang w:val="en-US" w:eastAsia="zh-CN"/>
              </w:rPr>
              <w:t>0.1</w:t>
            </w:r>
          </w:p>
        </w:tc>
        <w:tc>
          <w:tcPr>
            <w:tcW w:w="3475" w:type="dxa"/>
            <w:tcBorders>
              <w:top w:val="single" w:color="auto" w:sz="12" w:space="0"/>
              <w:bottom w:val="single" w:color="auto" w:sz="4" w:space="0"/>
            </w:tcBorders>
            <w:noWrap w:val="0"/>
            <w:vAlign w:val="center"/>
          </w:tcPr>
          <w:p w14:paraId="60E0D75E">
            <w:pPr>
              <w:jc w:val="center"/>
              <w:rPr>
                <w:rFonts w:hint="default" w:ascii="宋体" w:hAnsi="宋体"/>
                <w:bCs/>
                <w:sz w:val="18"/>
                <w:szCs w:val="18"/>
                <w:lang w:val="en-US" w:eastAsia="zh-CN"/>
              </w:rPr>
            </w:pPr>
            <w:r>
              <w:rPr>
                <w:rFonts w:hint="eastAsia" w:ascii="宋体" w:hAnsi="宋体"/>
                <w:bCs/>
                <w:sz w:val="18"/>
                <w:szCs w:val="18"/>
                <w:lang w:val="en-US" w:eastAsia="zh-CN"/>
              </w:rPr>
              <w:t>0.0755</w:t>
            </w:r>
          </w:p>
        </w:tc>
        <w:tc>
          <w:tcPr>
            <w:tcW w:w="3339" w:type="dxa"/>
            <w:tcBorders>
              <w:top w:val="single" w:color="auto" w:sz="12" w:space="0"/>
              <w:bottom w:val="single" w:color="auto" w:sz="4" w:space="0"/>
            </w:tcBorders>
            <w:noWrap w:val="0"/>
            <w:vAlign w:val="center"/>
          </w:tcPr>
          <w:p w14:paraId="2DB50888">
            <w:pPr>
              <w:jc w:val="center"/>
              <w:rPr>
                <w:rFonts w:hint="default" w:ascii="宋体" w:hAnsi="宋体"/>
                <w:bCs/>
                <w:sz w:val="18"/>
                <w:szCs w:val="18"/>
                <w:lang w:val="en-US" w:eastAsia="zh-CN"/>
              </w:rPr>
            </w:pPr>
            <w:r>
              <w:rPr>
                <w:rFonts w:hint="eastAsia" w:ascii="宋体" w:hAnsi="宋体"/>
                <w:bCs/>
                <w:sz w:val="18"/>
                <w:szCs w:val="18"/>
                <w:lang w:val="en-US" w:eastAsia="zh-CN"/>
              </w:rPr>
              <w:t>0.0754</w:t>
            </w:r>
          </w:p>
        </w:tc>
      </w:tr>
      <w:tr w14:paraId="48C5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16" w:type="dxa"/>
            <w:tcBorders>
              <w:top w:val="single" w:color="auto" w:sz="4" w:space="0"/>
              <w:left w:val="single" w:color="auto" w:sz="12" w:space="0"/>
              <w:bottom w:val="single" w:color="auto" w:sz="4" w:space="0"/>
            </w:tcBorders>
            <w:noWrap w:val="0"/>
            <w:vAlign w:val="center"/>
          </w:tcPr>
          <w:p w14:paraId="074937E6">
            <w:pPr>
              <w:jc w:val="center"/>
              <w:rPr>
                <w:rFonts w:hint="default" w:ascii="宋体" w:hAnsi="宋体"/>
                <w:bCs/>
                <w:sz w:val="18"/>
                <w:szCs w:val="18"/>
                <w:lang w:val="en-US" w:eastAsia="zh-CN"/>
              </w:rPr>
            </w:pPr>
            <w:r>
              <w:rPr>
                <w:rFonts w:hint="eastAsia" w:ascii="宋体" w:hAnsi="宋体"/>
                <w:bCs/>
                <w:sz w:val="18"/>
                <w:szCs w:val="18"/>
                <w:lang w:val="en-US" w:eastAsia="zh-CN"/>
              </w:rPr>
              <w:t>0.5</w:t>
            </w:r>
          </w:p>
        </w:tc>
        <w:tc>
          <w:tcPr>
            <w:tcW w:w="3475" w:type="dxa"/>
            <w:tcBorders>
              <w:top w:val="single" w:color="auto" w:sz="4" w:space="0"/>
              <w:bottom w:val="single" w:color="auto" w:sz="4" w:space="0"/>
            </w:tcBorders>
            <w:noWrap w:val="0"/>
            <w:vAlign w:val="center"/>
          </w:tcPr>
          <w:p w14:paraId="42C4569F">
            <w:pPr>
              <w:jc w:val="center"/>
              <w:rPr>
                <w:rFonts w:hint="default" w:ascii="宋体" w:hAnsi="宋体"/>
                <w:bCs/>
                <w:sz w:val="18"/>
                <w:szCs w:val="18"/>
                <w:lang w:val="en-US" w:eastAsia="zh-CN"/>
              </w:rPr>
            </w:pPr>
            <w:r>
              <w:rPr>
                <w:rFonts w:hint="eastAsia" w:ascii="宋体" w:hAnsi="宋体"/>
                <w:bCs/>
                <w:sz w:val="18"/>
                <w:szCs w:val="18"/>
                <w:lang w:val="en-US" w:eastAsia="zh-CN"/>
              </w:rPr>
              <w:t>0.0761</w:t>
            </w:r>
          </w:p>
        </w:tc>
        <w:tc>
          <w:tcPr>
            <w:tcW w:w="3339" w:type="dxa"/>
            <w:tcBorders>
              <w:top w:val="single" w:color="auto" w:sz="4" w:space="0"/>
              <w:bottom w:val="single" w:color="auto" w:sz="4" w:space="0"/>
            </w:tcBorders>
            <w:noWrap w:val="0"/>
            <w:vAlign w:val="center"/>
          </w:tcPr>
          <w:p w14:paraId="36C23E9F">
            <w:pPr>
              <w:jc w:val="center"/>
              <w:rPr>
                <w:rFonts w:hint="default" w:ascii="宋体" w:hAnsi="宋体"/>
                <w:bCs/>
                <w:sz w:val="18"/>
                <w:szCs w:val="18"/>
                <w:lang w:val="en-US" w:eastAsia="zh-CN"/>
              </w:rPr>
            </w:pPr>
            <w:r>
              <w:rPr>
                <w:rFonts w:hint="eastAsia" w:ascii="宋体" w:hAnsi="宋体"/>
                <w:bCs/>
                <w:sz w:val="18"/>
                <w:szCs w:val="18"/>
                <w:lang w:val="en-US" w:eastAsia="zh-CN"/>
              </w:rPr>
              <w:t>0.0764</w:t>
            </w:r>
          </w:p>
        </w:tc>
      </w:tr>
      <w:tr w14:paraId="4182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16" w:type="dxa"/>
            <w:tcBorders>
              <w:top w:val="single" w:color="auto" w:sz="4" w:space="0"/>
              <w:left w:val="single" w:color="auto" w:sz="12" w:space="0"/>
            </w:tcBorders>
            <w:noWrap w:val="0"/>
            <w:vAlign w:val="center"/>
          </w:tcPr>
          <w:p w14:paraId="4CF7ABF5">
            <w:pPr>
              <w:jc w:val="center"/>
              <w:rPr>
                <w:rFonts w:hint="default" w:ascii="宋体" w:hAnsi="宋体"/>
                <w:bCs/>
                <w:sz w:val="18"/>
                <w:szCs w:val="18"/>
                <w:lang w:val="en-US" w:eastAsia="zh-CN"/>
              </w:rPr>
            </w:pPr>
            <w:r>
              <w:rPr>
                <w:rFonts w:hint="eastAsia" w:ascii="宋体" w:hAnsi="宋体"/>
                <w:bCs/>
                <w:sz w:val="18"/>
                <w:szCs w:val="18"/>
                <w:lang w:val="en-US" w:eastAsia="zh-CN"/>
              </w:rPr>
              <w:t>1</w:t>
            </w:r>
          </w:p>
        </w:tc>
        <w:tc>
          <w:tcPr>
            <w:tcW w:w="3475" w:type="dxa"/>
            <w:tcBorders>
              <w:top w:val="single" w:color="auto" w:sz="4" w:space="0"/>
            </w:tcBorders>
            <w:noWrap w:val="0"/>
            <w:vAlign w:val="center"/>
          </w:tcPr>
          <w:p w14:paraId="75023D2D">
            <w:pPr>
              <w:jc w:val="center"/>
              <w:rPr>
                <w:rFonts w:hint="default" w:ascii="宋体" w:hAnsi="宋体" w:eastAsia="宋体" w:cs="Times New Roman"/>
                <w:bCs/>
                <w:kern w:val="2"/>
                <w:sz w:val="18"/>
                <w:szCs w:val="18"/>
                <w:lang w:val="en-US" w:eastAsia="zh-CN" w:bidi="ar-SA"/>
              </w:rPr>
            </w:pPr>
            <w:r>
              <w:rPr>
                <w:rFonts w:hint="eastAsia" w:ascii="宋体" w:hAnsi="宋体"/>
                <w:bCs/>
                <w:sz w:val="18"/>
                <w:szCs w:val="18"/>
                <w:lang w:val="en-US" w:eastAsia="zh-CN"/>
              </w:rPr>
              <w:t>0.0763</w:t>
            </w:r>
          </w:p>
        </w:tc>
        <w:tc>
          <w:tcPr>
            <w:tcW w:w="3339" w:type="dxa"/>
            <w:tcBorders>
              <w:top w:val="single" w:color="auto" w:sz="4" w:space="0"/>
            </w:tcBorders>
            <w:noWrap w:val="0"/>
            <w:vAlign w:val="center"/>
          </w:tcPr>
          <w:p w14:paraId="57ABAB3D">
            <w:pPr>
              <w:jc w:val="center"/>
              <w:rPr>
                <w:rFonts w:hint="default" w:ascii="宋体" w:hAnsi="宋体" w:eastAsia="宋体" w:cs="Times New Roman"/>
                <w:bCs/>
                <w:kern w:val="2"/>
                <w:sz w:val="18"/>
                <w:szCs w:val="18"/>
                <w:lang w:val="en-US" w:eastAsia="zh-CN" w:bidi="ar-SA"/>
              </w:rPr>
            </w:pPr>
            <w:r>
              <w:rPr>
                <w:rFonts w:hint="eastAsia" w:ascii="宋体" w:hAnsi="宋体"/>
                <w:bCs/>
                <w:sz w:val="18"/>
                <w:szCs w:val="18"/>
                <w:lang w:val="en-US" w:eastAsia="zh-CN"/>
              </w:rPr>
              <w:t>0.0764</w:t>
            </w:r>
          </w:p>
        </w:tc>
      </w:tr>
      <w:tr w14:paraId="781E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16" w:type="dxa"/>
            <w:tcBorders>
              <w:left w:val="single" w:color="auto" w:sz="12" w:space="0"/>
              <w:bottom w:val="single" w:color="auto" w:sz="4" w:space="0"/>
            </w:tcBorders>
            <w:noWrap w:val="0"/>
            <w:vAlign w:val="center"/>
          </w:tcPr>
          <w:p w14:paraId="6C54FCF2">
            <w:pPr>
              <w:jc w:val="center"/>
              <w:rPr>
                <w:rFonts w:hint="eastAsia" w:ascii="宋体" w:hAnsi="宋体" w:eastAsia="宋体" w:cs="Times New Roman"/>
                <w:bCs/>
                <w:kern w:val="2"/>
                <w:sz w:val="18"/>
                <w:szCs w:val="18"/>
                <w:lang w:val="en-US" w:eastAsia="zh-CN" w:bidi="ar-SA"/>
              </w:rPr>
            </w:pPr>
            <w:r>
              <w:rPr>
                <w:rFonts w:hint="eastAsia" w:ascii="宋体" w:hAnsi="宋体"/>
                <w:bCs/>
                <w:sz w:val="18"/>
                <w:szCs w:val="18"/>
                <w:lang w:val="en-US" w:eastAsia="zh-CN"/>
              </w:rPr>
              <w:t>2</w:t>
            </w:r>
          </w:p>
        </w:tc>
        <w:tc>
          <w:tcPr>
            <w:tcW w:w="3475" w:type="dxa"/>
            <w:tcBorders>
              <w:bottom w:val="single" w:color="auto" w:sz="4" w:space="0"/>
            </w:tcBorders>
            <w:noWrap w:val="0"/>
            <w:vAlign w:val="center"/>
          </w:tcPr>
          <w:p w14:paraId="44B450EC">
            <w:pPr>
              <w:jc w:val="center"/>
              <w:rPr>
                <w:rFonts w:hint="default" w:ascii="宋体" w:hAnsi="宋体" w:eastAsia="宋体" w:cs="Times New Roman"/>
                <w:bCs/>
                <w:kern w:val="2"/>
                <w:sz w:val="18"/>
                <w:szCs w:val="18"/>
                <w:lang w:val="en-US" w:eastAsia="zh-CN" w:bidi="ar-SA"/>
              </w:rPr>
            </w:pPr>
            <w:r>
              <w:rPr>
                <w:rFonts w:hint="eastAsia" w:ascii="宋体" w:hAnsi="宋体"/>
                <w:bCs/>
                <w:sz w:val="18"/>
                <w:szCs w:val="18"/>
                <w:lang w:val="en-US" w:eastAsia="zh-CN"/>
              </w:rPr>
              <w:t>0.0758</w:t>
            </w:r>
          </w:p>
        </w:tc>
        <w:tc>
          <w:tcPr>
            <w:tcW w:w="3339" w:type="dxa"/>
            <w:tcBorders>
              <w:bottom w:val="single" w:color="auto" w:sz="4" w:space="0"/>
            </w:tcBorders>
            <w:noWrap w:val="0"/>
            <w:vAlign w:val="center"/>
          </w:tcPr>
          <w:p w14:paraId="2137A5E3">
            <w:pPr>
              <w:jc w:val="center"/>
              <w:rPr>
                <w:rFonts w:hint="default" w:ascii="宋体" w:hAnsi="宋体" w:eastAsia="宋体" w:cs="Times New Roman"/>
                <w:bCs/>
                <w:kern w:val="2"/>
                <w:sz w:val="18"/>
                <w:szCs w:val="18"/>
                <w:lang w:val="en-US" w:eastAsia="zh-CN" w:bidi="ar-SA"/>
              </w:rPr>
            </w:pPr>
            <w:r>
              <w:rPr>
                <w:rFonts w:hint="eastAsia" w:ascii="宋体" w:hAnsi="宋体"/>
                <w:bCs/>
                <w:sz w:val="18"/>
                <w:szCs w:val="18"/>
                <w:lang w:val="en-US" w:eastAsia="zh-CN"/>
              </w:rPr>
              <w:t>0.0765</w:t>
            </w:r>
          </w:p>
        </w:tc>
      </w:tr>
      <w:tr w14:paraId="606B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316" w:type="dxa"/>
            <w:tcBorders>
              <w:left w:val="single" w:color="auto" w:sz="12" w:space="0"/>
              <w:bottom w:val="single" w:color="auto" w:sz="4" w:space="0"/>
            </w:tcBorders>
            <w:noWrap w:val="0"/>
            <w:vAlign w:val="center"/>
          </w:tcPr>
          <w:p w14:paraId="54E634EB">
            <w:pPr>
              <w:jc w:val="center"/>
              <w:rPr>
                <w:rFonts w:hint="eastAsia" w:ascii="宋体" w:hAnsi="宋体" w:eastAsia="宋体" w:cs="Times New Roman"/>
                <w:bCs/>
                <w:kern w:val="2"/>
                <w:sz w:val="18"/>
                <w:szCs w:val="18"/>
                <w:lang w:val="en-US" w:eastAsia="zh-CN" w:bidi="ar-SA"/>
              </w:rPr>
            </w:pPr>
            <w:r>
              <w:rPr>
                <w:rFonts w:hint="eastAsia" w:ascii="宋体" w:hAnsi="宋体"/>
                <w:bCs/>
                <w:sz w:val="18"/>
                <w:szCs w:val="18"/>
                <w:lang w:val="en-US" w:eastAsia="zh-CN"/>
              </w:rPr>
              <w:t>3</w:t>
            </w:r>
          </w:p>
        </w:tc>
        <w:tc>
          <w:tcPr>
            <w:tcW w:w="3475" w:type="dxa"/>
            <w:tcBorders>
              <w:bottom w:val="single" w:color="auto" w:sz="4" w:space="0"/>
            </w:tcBorders>
            <w:noWrap w:val="0"/>
            <w:vAlign w:val="center"/>
          </w:tcPr>
          <w:p w14:paraId="22824847">
            <w:pPr>
              <w:jc w:val="center"/>
              <w:rPr>
                <w:rFonts w:hint="default" w:ascii="宋体" w:hAnsi="宋体" w:eastAsia="宋体" w:cs="Times New Roman"/>
                <w:bCs/>
                <w:kern w:val="2"/>
                <w:sz w:val="18"/>
                <w:szCs w:val="18"/>
                <w:lang w:val="en-US" w:eastAsia="zh-CN" w:bidi="ar-SA"/>
              </w:rPr>
            </w:pPr>
            <w:r>
              <w:rPr>
                <w:rFonts w:hint="eastAsia" w:ascii="宋体" w:hAnsi="宋体"/>
                <w:bCs/>
                <w:sz w:val="18"/>
                <w:szCs w:val="18"/>
                <w:lang w:val="en-US" w:eastAsia="zh-CN"/>
              </w:rPr>
              <w:t>0.0756</w:t>
            </w:r>
          </w:p>
        </w:tc>
        <w:tc>
          <w:tcPr>
            <w:tcW w:w="3339" w:type="dxa"/>
            <w:tcBorders>
              <w:bottom w:val="single" w:color="auto" w:sz="4" w:space="0"/>
            </w:tcBorders>
            <w:noWrap w:val="0"/>
            <w:vAlign w:val="center"/>
          </w:tcPr>
          <w:p w14:paraId="7D67E593">
            <w:pPr>
              <w:jc w:val="center"/>
              <w:rPr>
                <w:rFonts w:hint="default" w:ascii="宋体" w:hAnsi="宋体" w:eastAsia="宋体" w:cs="Times New Roman"/>
                <w:bCs/>
                <w:kern w:val="2"/>
                <w:sz w:val="18"/>
                <w:szCs w:val="18"/>
                <w:lang w:val="en-US" w:eastAsia="zh-CN" w:bidi="ar-SA"/>
              </w:rPr>
            </w:pPr>
            <w:r>
              <w:rPr>
                <w:rFonts w:hint="eastAsia" w:ascii="宋体" w:hAnsi="宋体"/>
                <w:bCs/>
                <w:sz w:val="18"/>
                <w:szCs w:val="18"/>
                <w:lang w:val="en-US" w:eastAsia="zh-CN"/>
              </w:rPr>
              <w:t>0.0765</w:t>
            </w:r>
          </w:p>
        </w:tc>
      </w:tr>
      <w:tr w14:paraId="156C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16" w:type="dxa"/>
            <w:tcBorders>
              <w:left w:val="single" w:color="auto" w:sz="4" w:space="0"/>
            </w:tcBorders>
            <w:noWrap w:val="0"/>
            <w:vAlign w:val="center"/>
          </w:tcPr>
          <w:p w14:paraId="1B77C7C4">
            <w:pPr>
              <w:jc w:val="center"/>
              <w:rPr>
                <w:rFonts w:hint="eastAsia" w:ascii="宋体" w:hAnsi="宋体" w:eastAsia="宋体" w:cs="Times New Roman"/>
                <w:bCs/>
                <w:kern w:val="2"/>
                <w:sz w:val="18"/>
                <w:szCs w:val="18"/>
                <w:lang w:val="en-US" w:eastAsia="zh-CN" w:bidi="ar-SA"/>
              </w:rPr>
            </w:pPr>
            <w:r>
              <w:rPr>
                <w:rFonts w:hint="eastAsia" w:ascii="宋体" w:hAnsi="宋体"/>
                <w:bCs/>
                <w:sz w:val="18"/>
                <w:szCs w:val="18"/>
                <w:lang w:val="en-US" w:eastAsia="zh-CN"/>
              </w:rPr>
              <w:t>4</w:t>
            </w:r>
          </w:p>
        </w:tc>
        <w:tc>
          <w:tcPr>
            <w:tcW w:w="3475" w:type="dxa"/>
            <w:noWrap w:val="0"/>
            <w:vAlign w:val="center"/>
          </w:tcPr>
          <w:p w14:paraId="7A5EE846">
            <w:pPr>
              <w:jc w:val="center"/>
              <w:rPr>
                <w:rFonts w:hint="default" w:ascii="宋体" w:hAnsi="宋体" w:eastAsia="宋体" w:cs="Times New Roman"/>
                <w:bCs/>
                <w:kern w:val="2"/>
                <w:sz w:val="18"/>
                <w:szCs w:val="18"/>
                <w:lang w:val="en-US" w:eastAsia="zh-CN" w:bidi="ar-SA"/>
              </w:rPr>
            </w:pPr>
            <w:r>
              <w:rPr>
                <w:rFonts w:hint="eastAsia" w:ascii="宋体" w:hAnsi="宋体"/>
                <w:bCs/>
                <w:sz w:val="18"/>
                <w:szCs w:val="18"/>
                <w:lang w:val="en-US" w:eastAsia="zh-CN"/>
              </w:rPr>
              <w:t>0.0756</w:t>
            </w:r>
          </w:p>
        </w:tc>
        <w:tc>
          <w:tcPr>
            <w:tcW w:w="3339" w:type="dxa"/>
            <w:noWrap w:val="0"/>
            <w:vAlign w:val="center"/>
          </w:tcPr>
          <w:p w14:paraId="20D59692">
            <w:pPr>
              <w:jc w:val="center"/>
              <w:rPr>
                <w:rFonts w:hint="default" w:ascii="宋体" w:hAnsi="宋体" w:eastAsia="宋体" w:cs="Times New Roman"/>
                <w:bCs/>
                <w:kern w:val="2"/>
                <w:sz w:val="18"/>
                <w:szCs w:val="18"/>
                <w:lang w:val="en-US" w:eastAsia="zh-CN" w:bidi="ar-SA"/>
              </w:rPr>
            </w:pPr>
            <w:r>
              <w:rPr>
                <w:rFonts w:hint="eastAsia" w:ascii="宋体" w:hAnsi="宋体"/>
                <w:bCs/>
                <w:sz w:val="18"/>
                <w:szCs w:val="18"/>
                <w:lang w:val="en-US" w:eastAsia="zh-CN"/>
              </w:rPr>
              <w:t>0.0766</w:t>
            </w:r>
          </w:p>
        </w:tc>
      </w:tr>
      <w:tr w14:paraId="36FA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316" w:type="dxa"/>
            <w:tcBorders>
              <w:left w:val="single" w:color="auto" w:sz="4" w:space="0"/>
            </w:tcBorders>
            <w:noWrap w:val="0"/>
            <w:vAlign w:val="center"/>
          </w:tcPr>
          <w:p w14:paraId="6A388E69">
            <w:pPr>
              <w:jc w:val="center"/>
              <w:rPr>
                <w:rFonts w:hint="eastAsia" w:ascii="宋体" w:hAnsi="宋体" w:eastAsia="宋体" w:cs="Times New Roman"/>
                <w:bCs/>
                <w:kern w:val="2"/>
                <w:sz w:val="18"/>
                <w:szCs w:val="18"/>
                <w:lang w:val="en-US" w:eastAsia="zh-CN" w:bidi="ar-SA"/>
              </w:rPr>
            </w:pPr>
            <w:r>
              <w:rPr>
                <w:rFonts w:hint="eastAsia" w:ascii="宋体" w:hAnsi="宋体"/>
                <w:bCs/>
                <w:sz w:val="18"/>
                <w:szCs w:val="18"/>
                <w:lang w:val="en-US" w:eastAsia="zh-CN"/>
              </w:rPr>
              <w:t>5</w:t>
            </w:r>
          </w:p>
        </w:tc>
        <w:tc>
          <w:tcPr>
            <w:tcW w:w="3475" w:type="dxa"/>
            <w:noWrap w:val="0"/>
            <w:vAlign w:val="center"/>
          </w:tcPr>
          <w:p w14:paraId="08FEFCFF">
            <w:pPr>
              <w:jc w:val="center"/>
              <w:rPr>
                <w:rFonts w:hint="default" w:ascii="宋体" w:hAnsi="宋体" w:eastAsia="宋体" w:cs="Times New Roman"/>
                <w:bCs/>
                <w:kern w:val="2"/>
                <w:sz w:val="18"/>
                <w:szCs w:val="18"/>
                <w:lang w:val="en-US" w:eastAsia="zh-CN" w:bidi="ar-SA"/>
              </w:rPr>
            </w:pPr>
            <w:r>
              <w:rPr>
                <w:rFonts w:hint="eastAsia" w:ascii="宋体" w:hAnsi="宋体"/>
                <w:bCs/>
                <w:sz w:val="18"/>
                <w:szCs w:val="18"/>
                <w:lang w:val="en-US" w:eastAsia="zh-CN"/>
              </w:rPr>
              <w:t>0.0757</w:t>
            </w:r>
          </w:p>
        </w:tc>
        <w:tc>
          <w:tcPr>
            <w:tcW w:w="3339" w:type="dxa"/>
            <w:noWrap w:val="0"/>
            <w:vAlign w:val="center"/>
          </w:tcPr>
          <w:p w14:paraId="7EABD39A">
            <w:pPr>
              <w:jc w:val="center"/>
              <w:rPr>
                <w:rFonts w:hint="default" w:ascii="宋体" w:hAnsi="宋体" w:eastAsia="宋体" w:cs="Times New Roman"/>
                <w:bCs/>
                <w:kern w:val="2"/>
                <w:sz w:val="18"/>
                <w:szCs w:val="18"/>
                <w:lang w:val="en-US" w:eastAsia="zh-CN" w:bidi="ar-SA"/>
              </w:rPr>
            </w:pPr>
            <w:r>
              <w:rPr>
                <w:rFonts w:hint="eastAsia" w:ascii="宋体" w:hAnsi="宋体"/>
                <w:bCs/>
                <w:sz w:val="18"/>
                <w:szCs w:val="18"/>
                <w:lang w:val="en-US" w:eastAsia="zh-CN"/>
              </w:rPr>
              <w:t>0.0766</w:t>
            </w:r>
          </w:p>
        </w:tc>
      </w:tr>
      <w:tr w14:paraId="56BF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16" w:type="dxa"/>
            <w:tcBorders>
              <w:left w:val="single" w:color="auto" w:sz="4" w:space="0"/>
            </w:tcBorders>
            <w:noWrap w:val="0"/>
            <w:vAlign w:val="center"/>
          </w:tcPr>
          <w:p w14:paraId="4F68779D">
            <w:pPr>
              <w:jc w:val="center"/>
              <w:rPr>
                <w:rFonts w:hint="default" w:ascii="宋体" w:hAnsi="宋体" w:eastAsia="宋体" w:cs="Times New Roman"/>
                <w:bCs/>
                <w:kern w:val="2"/>
                <w:sz w:val="18"/>
                <w:szCs w:val="18"/>
                <w:lang w:val="en-US" w:eastAsia="zh-CN" w:bidi="ar-SA"/>
              </w:rPr>
            </w:pPr>
            <w:r>
              <w:rPr>
                <w:rFonts w:hint="eastAsia" w:ascii="宋体" w:hAnsi="宋体"/>
                <w:bCs/>
                <w:sz w:val="18"/>
                <w:szCs w:val="18"/>
                <w:lang w:val="en-US" w:eastAsia="zh-CN"/>
              </w:rPr>
              <w:t>8</w:t>
            </w:r>
          </w:p>
        </w:tc>
        <w:tc>
          <w:tcPr>
            <w:tcW w:w="3475" w:type="dxa"/>
            <w:noWrap w:val="0"/>
            <w:vAlign w:val="center"/>
          </w:tcPr>
          <w:p w14:paraId="2CA52FF3">
            <w:pPr>
              <w:jc w:val="center"/>
              <w:rPr>
                <w:rFonts w:hint="default" w:ascii="宋体" w:hAnsi="宋体" w:eastAsia="宋体" w:cs="Times New Roman"/>
                <w:bCs/>
                <w:kern w:val="2"/>
                <w:sz w:val="18"/>
                <w:szCs w:val="18"/>
                <w:lang w:val="en-US" w:eastAsia="zh-CN" w:bidi="ar-SA"/>
              </w:rPr>
            </w:pPr>
            <w:r>
              <w:rPr>
                <w:rFonts w:hint="eastAsia" w:ascii="宋体" w:hAnsi="宋体"/>
                <w:bCs/>
                <w:sz w:val="18"/>
                <w:szCs w:val="18"/>
                <w:lang w:val="en-US" w:eastAsia="zh-CN"/>
              </w:rPr>
              <w:t>0.0761</w:t>
            </w:r>
          </w:p>
        </w:tc>
        <w:tc>
          <w:tcPr>
            <w:tcW w:w="3339" w:type="dxa"/>
            <w:noWrap w:val="0"/>
            <w:vAlign w:val="center"/>
          </w:tcPr>
          <w:p w14:paraId="2B968BE0">
            <w:pPr>
              <w:jc w:val="center"/>
              <w:rPr>
                <w:rFonts w:hint="default" w:ascii="宋体" w:hAnsi="宋体" w:eastAsia="宋体" w:cs="Times New Roman"/>
                <w:bCs/>
                <w:kern w:val="2"/>
                <w:sz w:val="18"/>
                <w:szCs w:val="18"/>
                <w:lang w:val="en-US" w:eastAsia="zh-CN" w:bidi="ar-SA"/>
              </w:rPr>
            </w:pPr>
            <w:r>
              <w:rPr>
                <w:rFonts w:hint="eastAsia" w:ascii="宋体" w:hAnsi="宋体"/>
                <w:bCs/>
                <w:sz w:val="18"/>
                <w:szCs w:val="18"/>
                <w:lang w:val="en-US" w:eastAsia="zh-CN"/>
              </w:rPr>
              <w:t>0.0766</w:t>
            </w:r>
          </w:p>
        </w:tc>
      </w:tr>
      <w:tr w14:paraId="15AF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16" w:type="dxa"/>
            <w:tcBorders>
              <w:left w:val="single" w:color="auto" w:sz="4" w:space="0"/>
              <w:bottom w:val="single" w:color="auto" w:sz="12" w:space="0"/>
            </w:tcBorders>
            <w:noWrap w:val="0"/>
            <w:vAlign w:val="center"/>
          </w:tcPr>
          <w:p w14:paraId="1ED38C3E">
            <w:pPr>
              <w:jc w:val="center"/>
              <w:rPr>
                <w:rFonts w:hint="eastAsia" w:ascii="宋体" w:hAnsi="宋体" w:eastAsia="宋体" w:cs="Times New Roman"/>
                <w:bCs/>
                <w:kern w:val="2"/>
                <w:sz w:val="18"/>
                <w:szCs w:val="18"/>
                <w:lang w:val="en-US" w:eastAsia="zh-CN" w:bidi="ar-SA"/>
              </w:rPr>
            </w:pPr>
            <w:r>
              <w:rPr>
                <w:rFonts w:hint="eastAsia" w:ascii="宋体" w:hAnsi="宋体"/>
                <w:bCs/>
                <w:sz w:val="18"/>
                <w:szCs w:val="18"/>
                <w:lang w:val="en-US" w:eastAsia="zh-CN"/>
              </w:rPr>
              <w:t>10</w:t>
            </w:r>
          </w:p>
        </w:tc>
        <w:tc>
          <w:tcPr>
            <w:tcW w:w="3475" w:type="dxa"/>
            <w:tcBorders>
              <w:bottom w:val="single" w:color="auto" w:sz="12" w:space="0"/>
            </w:tcBorders>
            <w:noWrap w:val="0"/>
            <w:vAlign w:val="center"/>
          </w:tcPr>
          <w:p w14:paraId="06B6D82E">
            <w:pPr>
              <w:jc w:val="center"/>
              <w:rPr>
                <w:rFonts w:hint="default" w:ascii="宋体" w:hAnsi="宋体" w:eastAsia="宋体" w:cs="Times New Roman"/>
                <w:bCs/>
                <w:kern w:val="2"/>
                <w:sz w:val="18"/>
                <w:szCs w:val="18"/>
                <w:lang w:val="en-US" w:eastAsia="zh-CN" w:bidi="ar-SA"/>
              </w:rPr>
            </w:pPr>
            <w:r>
              <w:rPr>
                <w:rFonts w:hint="eastAsia" w:ascii="宋体" w:hAnsi="宋体"/>
                <w:bCs/>
                <w:sz w:val="18"/>
                <w:szCs w:val="18"/>
                <w:lang w:val="en-US" w:eastAsia="zh-CN"/>
              </w:rPr>
              <w:t>0.0762</w:t>
            </w:r>
          </w:p>
        </w:tc>
        <w:tc>
          <w:tcPr>
            <w:tcW w:w="3339" w:type="dxa"/>
            <w:tcBorders>
              <w:bottom w:val="single" w:color="auto" w:sz="12" w:space="0"/>
            </w:tcBorders>
            <w:noWrap w:val="0"/>
            <w:vAlign w:val="center"/>
          </w:tcPr>
          <w:p w14:paraId="374A557D">
            <w:pPr>
              <w:jc w:val="center"/>
              <w:rPr>
                <w:rFonts w:hint="default" w:ascii="宋体" w:hAnsi="宋体" w:eastAsia="宋体" w:cs="Times New Roman"/>
                <w:bCs/>
                <w:kern w:val="2"/>
                <w:sz w:val="18"/>
                <w:szCs w:val="18"/>
                <w:lang w:val="en-US" w:eastAsia="zh-CN" w:bidi="ar-SA"/>
              </w:rPr>
            </w:pPr>
            <w:r>
              <w:rPr>
                <w:rFonts w:hint="eastAsia" w:ascii="宋体" w:hAnsi="宋体"/>
                <w:bCs/>
                <w:sz w:val="18"/>
                <w:szCs w:val="18"/>
                <w:lang w:val="en-US" w:eastAsia="zh-CN"/>
              </w:rPr>
              <w:t>0.0760</w:t>
            </w:r>
          </w:p>
        </w:tc>
      </w:tr>
    </w:tbl>
    <w:p w14:paraId="06E4740C">
      <w:pPr>
        <w:rPr>
          <w:rFonts w:hint="eastAsia"/>
          <w:color w:val="000000" w:themeColor="text1"/>
          <w:szCs w:val="21"/>
          <w:lang w:eastAsia="zh-CN"/>
          <w14:textFill>
            <w14:solidFill>
              <w14:schemeClr w14:val="tx1"/>
            </w14:solidFill>
          </w14:textFill>
        </w:rPr>
      </w:pPr>
    </w:p>
    <w:p w14:paraId="45E9AAB8">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由表</w:t>
      </w:r>
      <w:r>
        <w:rPr>
          <w:rFonts w:hint="eastAsia" w:ascii="宋体" w:hAnsi="宋体" w:eastAsia="宋体" w:cs="宋体"/>
          <w:color w:val="000000" w:themeColor="text1"/>
          <w:szCs w:val="21"/>
          <w:lang w:val="en-US" w:eastAsia="zh-CN"/>
          <w14:textFill>
            <w14:solidFill>
              <w14:schemeClr w14:val="tx1"/>
            </w14:solidFill>
          </w14:textFill>
        </w:rPr>
        <w:t>3可以看出，镁基本不受酸介质影响，即盐酸、硝酸均可以使用，酸度在一定范围内对镁的测定均无显著影响。本方法采用酸度在2%以内。</w:t>
      </w:r>
    </w:p>
    <w:p w14:paraId="14E95D5D">
      <w:pPr>
        <w:pStyle w:val="31"/>
        <w:shd w:val="clear"/>
        <w:adjustRightInd/>
        <w:spacing w:line="360" w:lineRule="auto"/>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2.3基体浓度对测定的影响</w:t>
      </w:r>
    </w:p>
    <w:p w14:paraId="0B43D157">
      <w:pPr>
        <w:shd w:val="clear"/>
        <w:spacing w:line="400" w:lineRule="exact"/>
        <w:ind w:firstLine="420"/>
        <w:rPr>
          <w:rFonts w:hint="eastAsia" w:ascii="宋体" w:hAnsi="宋体" w:eastAsia="宋体" w:cs="宋体"/>
          <w:sz w:val="21"/>
          <w:szCs w:val="21"/>
        </w:rPr>
      </w:pPr>
      <w:r>
        <w:rPr>
          <w:rFonts w:hint="eastAsia"/>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在</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的酸介质中，</w:t>
      </w:r>
      <w:r>
        <w:rPr>
          <w:rFonts w:hint="eastAsia" w:ascii="宋体" w:hAnsi="宋体" w:eastAsia="宋体" w:cs="宋体"/>
          <w:sz w:val="21"/>
          <w:szCs w:val="21"/>
        </w:rPr>
        <w:t>选取了</w:t>
      </w:r>
      <w:r>
        <w:rPr>
          <w:rFonts w:hint="eastAsia" w:ascii="宋体" w:hAnsi="宋体" w:eastAsia="宋体" w:cs="宋体"/>
          <w:sz w:val="21"/>
          <w:szCs w:val="21"/>
          <w:lang w:val="en-US" w:eastAsia="zh-CN"/>
        </w:rPr>
        <w:t>La</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3</w:t>
      </w:r>
      <w:r>
        <w:rPr>
          <w:rFonts w:hint="eastAsia" w:ascii="宋体" w:hAnsi="宋体" w:eastAsia="宋体" w:cs="宋体"/>
          <w:sz w:val="21"/>
          <w:szCs w:val="21"/>
        </w:rPr>
        <w:t>、</w:t>
      </w:r>
      <w:r>
        <w:rPr>
          <w:rFonts w:hint="eastAsia" w:ascii="宋体" w:hAnsi="宋体" w:eastAsia="宋体" w:cs="宋体"/>
          <w:sz w:val="21"/>
          <w:szCs w:val="21"/>
          <w:lang w:val="en-US" w:eastAsia="zh-CN"/>
        </w:rPr>
        <w:t>CeO</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lang w:val="en-US" w:eastAsia="zh-CN"/>
        </w:rPr>
        <w:t>、Gd</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3</w:t>
      </w:r>
      <w:r>
        <w:rPr>
          <w:rFonts w:hint="eastAsia" w:ascii="宋体" w:hAnsi="宋体" w:eastAsia="宋体" w:cs="宋体"/>
          <w:sz w:val="21"/>
          <w:szCs w:val="21"/>
        </w:rPr>
        <w:t>、</w:t>
      </w:r>
      <w:r>
        <w:rPr>
          <w:rFonts w:hint="eastAsia" w:ascii="宋体" w:hAnsi="宋体" w:eastAsia="宋体" w:cs="宋体"/>
          <w:sz w:val="21"/>
          <w:szCs w:val="21"/>
          <w:lang w:val="en-US" w:eastAsia="zh-CN"/>
        </w:rPr>
        <w:t>Dy</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3</w:t>
      </w:r>
      <w:r>
        <w:rPr>
          <w:rFonts w:hint="eastAsia" w:ascii="宋体" w:hAnsi="宋体" w:eastAsia="宋体" w:cs="宋体"/>
          <w:sz w:val="21"/>
          <w:szCs w:val="21"/>
        </w:rPr>
        <w:t>为例的</w:t>
      </w:r>
      <w:r>
        <w:rPr>
          <w:rFonts w:hint="eastAsia" w:ascii="宋体" w:hAnsi="宋体" w:eastAsia="宋体" w:cs="宋体"/>
          <w:sz w:val="21"/>
          <w:szCs w:val="21"/>
          <w:lang w:eastAsia="zh-CN"/>
        </w:rPr>
        <w:t>四</w:t>
      </w:r>
      <w:r>
        <w:rPr>
          <w:rFonts w:hint="eastAsia" w:ascii="宋体" w:hAnsi="宋体" w:eastAsia="宋体" w:cs="宋体"/>
          <w:sz w:val="21"/>
          <w:szCs w:val="21"/>
        </w:rPr>
        <w:t>种不同基体，分别配制浓度2mg/mL、4mg/mL、</w:t>
      </w:r>
      <w:r>
        <w:rPr>
          <w:rFonts w:hint="eastAsia" w:ascii="宋体" w:hAnsi="宋体" w:eastAsia="宋体" w:cs="宋体"/>
          <w:sz w:val="21"/>
          <w:szCs w:val="21"/>
          <w:lang w:val="en-US" w:eastAsia="zh-CN"/>
        </w:rPr>
        <w:t>6</w:t>
      </w:r>
      <w:r>
        <w:rPr>
          <w:rFonts w:hint="eastAsia" w:ascii="宋体" w:hAnsi="宋体" w:eastAsia="宋体" w:cs="宋体"/>
          <w:sz w:val="21"/>
          <w:szCs w:val="21"/>
        </w:rPr>
        <w:t>mg/m</w:t>
      </w:r>
      <w:r>
        <w:rPr>
          <w:rFonts w:hint="eastAsia" w:ascii="宋体" w:hAnsi="宋体" w:eastAsia="宋体" w:cs="宋体"/>
          <w:sz w:val="21"/>
          <w:szCs w:val="21"/>
          <w:lang w:val="en-US" w:eastAsia="zh-CN"/>
        </w:rPr>
        <w:t>L、</w:t>
      </w:r>
      <w:r>
        <w:rPr>
          <w:rFonts w:hint="eastAsia" w:ascii="宋体" w:hAnsi="宋体" w:eastAsia="宋体" w:cs="宋体"/>
          <w:sz w:val="21"/>
          <w:szCs w:val="21"/>
        </w:rPr>
        <w:t>8mg/mL、10mg/mL，并加入</w:t>
      </w:r>
      <w:r>
        <w:rPr>
          <w:rFonts w:hint="eastAsia" w:ascii="宋体" w:hAnsi="宋体" w:eastAsia="宋体" w:cs="宋体"/>
          <w:sz w:val="21"/>
          <w:szCs w:val="21"/>
          <w:lang w:val="en-US" w:eastAsia="zh-CN"/>
        </w:rPr>
        <w:t>Mg</w:t>
      </w:r>
      <w:r>
        <w:rPr>
          <w:rFonts w:hint="eastAsia" w:ascii="宋体" w:hAnsi="宋体" w:eastAsia="宋体" w:cs="宋体"/>
          <w:sz w:val="21"/>
          <w:szCs w:val="21"/>
        </w:rPr>
        <w:t>标准</w:t>
      </w:r>
      <w:r>
        <w:rPr>
          <w:rFonts w:hint="eastAsia" w:ascii="宋体" w:hAnsi="宋体" w:eastAsia="宋体" w:cs="宋体"/>
          <w:sz w:val="21"/>
          <w:szCs w:val="21"/>
          <w:lang w:eastAsia="zh-CN"/>
        </w:rPr>
        <w:t>，使其浓度值为</w:t>
      </w:r>
      <w:r>
        <w:rPr>
          <w:rFonts w:hint="eastAsia" w:ascii="宋体" w:hAnsi="宋体" w:eastAsia="宋体" w:cs="宋体"/>
          <w:sz w:val="21"/>
          <w:szCs w:val="21"/>
          <w:lang w:val="en-US" w:eastAsia="zh-CN"/>
        </w:rPr>
        <w:t>0.2</w:t>
      </w:r>
      <w:r>
        <w:rPr>
          <w:rFonts w:hint="eastAsia" w:ascii="宋体" w:hAnsi="宋体" w:eastAsia="宋体" w:cs="宋体"/>
          <w:sz w:val="21"/>
          <w:szCs w:val="21"/>
        </w:rPr>
        <w:t>μg/mL，测定后结果见表</w:t>
      </w: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     </w:t>
      </w:r>
    </w:p>
    <w:p w14:paraId="60E2BA0F">
      <w:pPr>
        <w:shd w:val="clear"/>
        <w:spacing w:line="360" w:lineRule="auto"/>
        <w:ind w:firstLine="420"/>
        <w:jc w:val="center"/>
        <w:rPr>
          <w:rFonts w:hint="eastAsia" w:ascii="宋体" w:hAnsi="宋体"/>
          <w:lang w:val="en-US" w:eastAsia="zh-CN"/>
        </w:rPr>
      </w:pPr>
      <w:r>
        <w:rPr>
          <w:rFonts w:hint="eastAsia" w:ascii="宋体" w:hAnsi="宋体" w:eastAsia="宋体" w:cs="宋体"/>
          <w:sz w:val="21"/>
          <w:szCs w:val="21"/>
          <w:lang w:eastAsia="zh-CN"/>
        </w:rPr>
        <w:t>表中</w:t>
      </w:r>
      <w:r>
        <w:rPr>
          <w:rFonts w:hint="eastAsia" w:ascii="宋体" w:hAnsi="宋体" w:eastAsia="宋体" w:cs="宋体"/>
          <w:sz w:val="21"/>
          <w:szCs w:val="21"/>
          <w:lang w:val="en-US" w:eastAsia="zh-CN"/>
        </w:rPr>
        <w:t xml:space="preserve"> </w:t>
      </w:r>
      <w:r>
        <w:rPr>
          <w:rFonts w:hint="eastAsia" w:ascii="宋体" w:hAnsi="宋体" w:eastAsia="宋体" w:cs="宋体"/>
          <w:position w:val="-24"/>
          <w:sz w:val="21"/>
          <w:szCs w:val="21"/>
          <w:lang w:val="en-US" w:eastAsia="zh-CN"/>
        </w:rPr>
        <w:object>
          <v:shape id="_x0000_i1025" o:spt="75" type="#_x0000_t75" style="height:30.95pt;width:290.55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p>
    <w:p w14:paraId="75048674">
      <w:pPr>
        <w:spacing w:line="400" w:lineRule="exact"/>
        <w:jc w:val="center"/>
        <w:rPr>
          <w:rFonts w:hint="eastAsia" w:ascii="宋体" w:hAnsi="宋体"/>
          <w:highlight w:val="none"/>
        </w:rPr>
      </w:pPr>
      <w:r>
        <w:rPr>
          <w:rFonts w:hint="eastAsia" w:ascii="宋体" w:hAnsi="宋体"/>
          <w:lang w:val="en-US" w:eastAsia="zh-CN"/>
        </w:rPr>
        <w:t xml:space="preserve"> </w:t>
      </w:r>
      <w:r>
        <w:rPr>
          <w:rFonts w:hint="eastAsia" w:ascii="宋体" w:hAnsi="宋体"/>
          <w:highlight w:val="none"/>
        </w:rPr>
        <w:t xml:space="preserve"> </w:t>
      </w:r>
    </w:p>
    <w:p w14:paraId="15419009">
      <w:pPr>
        <w:spacing w:line="400" w:lineRule="exact"/>
        <w:jc w:val="center"/>
        <w:rPr>
          <w:rFonts w:hint="eastAsia" w:ascii="宋体" w:hAnsi="宋体"/>
          <w:highlight w:val="none"/>
        </w:rPr>
      </w:pPr>
    </w:p>
    <w:p w14:paraId="105B86BD">
      <w:pPr>
        <w:spacing w:line="400" w:lineRule="exact"/>
        <w:jc w:val="center"/>
        <w:rPr>
          <w:rFonts w:hint="eastAsia" w:ascii="宋体" w:hAnsi="宋体"/>
          <w:sz w:val="18"/>
          <w:szCs w:val="18"/>
        </w:rPr>
      </w:pPr>
      <w:r>
        <w:rPr>
          <w:rFonts w:hint="eastAsia" w:ascii="黑体" w:hAnsi="黑体" w:eastAsia="黑体" w:cs="黑体"/>
          <w:highlight w:val="none"/>
        </w:rPr>
        <w:t>表</w:t>
      </w:r>
      <w:r>
        <w:rPr>
          <w:rFonts w:hint="eastAsia" w:ascii="黑体" w:hAnsi="黑体" w:eastAsia="黑体" w:cs="黑体"/>
          <w:highlight w:val="none"/>
          <w:lang w:val="en-US" w:eastAsia="zh-CN"/>
        </w:rPr>
        <w:t>4</w:t>
      </w:r>
      <w:r>
        <w:rPr>
          <w:rFonts w:hint="eastAsia" w:ascii="黑体" w:hAnsi="黑体" w:eastAsia="黑体" w:cs="黑体"/>
          <w:highlight w:val="none"/>
        </w:rPr>
        <w:t xml:space="preserve">    </w:t>
      </w:r>
      <w:r>
        <w:rPr>
          <w:rFonts w:hint="eastAsia" w:ascii="黑体" w:hAnsi="黑体" w:eastAsia="黑体" w:cs="黑体"/>
          <w:highlight w:val="none"/>
          <w:lang w:eastAsia="zh-CN"/>
        </w:rPr>
        <w:t>基体浓度试验</w:t>
      </w:r>
      <w:r>
        <w:rPr>
          <w:rFonts w:hint="eastAsia" w:ascii="宋体" w:hAnsi="宋体"/>
          <w:highlight w:val="none"/>
        </w:rPr>
        <w:t xml:space="preserve">  </w:t>
      </w:r>
      <w:r>
        <w:rPr>
          <w:rFonts w:hint="eastAsia" w:ascii="宋体" w:hAnsi="宋体"/>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650"/>
        <w:gridCol w:w="1272"/>
        <w:gridCol w:w="1273"/>
        <w:gridCol w:w="1272"/>
        <w:gridCol w:w="1273"/>
        <w:gridCol w:w="1107"/>
      </w:tblGrid>
      <w:tr w14:paraId="1158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4" w:hRule="atLeast"/>
          <w:jc w:val="center"/>
        </w:trPr>
        <w:tc>
          <w:tcPr>
            <w:tcW w:w="2650" w:type="dxa"/>
            <w:tcBorders>
              <w:top w:val="single" w:color="000000" w:sz="4" w:space="0"/>
              <w:left w:val="single" w:color="000000" w:sz="4" w:space="0"/>
              <w:bottom w:val="single" w:color="000000" w:sz="4" w:space="0"/>
              <w:right w:val="single" w:color="000000" w:sz="4" w:space="0"/>
              <w:tl2br w:val="nil"/>
            </w:tcBorders>
            <w:shd w:val="clear" w:color="auto" w:fill="auto"/>
            <w:noWrap w:val="0"/>
            <w:vAlign w:val="top"/>
            <mc:AlternateContent>
              <mc:Choice Requires="wpsCustomData">
                <wpsCustomData:diagonals>
                  <wpsCustomData:diagonal from="10000" to="30000">
                    <wpsCustomData:border w:val="single" w:color="000000" w:sz="4" w:space="0"/>
                  </wpsCustomData:diagonal>
                  <wpsCustomData:diagonal from="10000" to="25000">
                    <wpsCustomData:border w:val="single" w:color="000000" w:sz="4" w:space="0"/>
                  </wpsCustomData:diagonal>
                </wpsCustomData:diagonals>
              </mc:Choice>
            </mc:AlternateContent>
          </w:tcPr>
          <w:p w14:paraId="13A0C308">
            <w:pPr>
              <w:ind w:firstLine="540" w:firstLineChars="300"/>
              <w:rPr>
                <w:rFonts w:hint="eastAsia" w:ascii="宋体" w:hAnsi="宋体" w:eastAsia="宋体"/>
                <w:b w:val="0"/>
                <w:color w:val="000000"/>
                <w:sz w:val="18"/>
                <w:szCs w:val="18"/>
                <w:lang w:val="en-US" w:eastAsia="zh-CN"/>
              </w:rPr>
            </w:pPr>
            <w:r>
              <w:rPr>
                <w:rFonts w:hint="eastAsia" w:ascii="宋体" w:hAnsi="宋体"/>
                <w:b w:val="0"/>
                <w:color w:val="000000"/>
                <w:sz w:val="18"/>
                <w:szCs w:val="18"/>
              </w:rPr>
              <w:t xml:space="preserve">   基体</w:t>
            </w:r>
            <w:r>
              <w:rPr>
                <w:rFonts w:hint="eastAsia" w:ascii="宋体" w:hAnsi="宋体"/>
                <w:b w:val="0"/>
                <w:color w:val="000000"/>
                <w:sz w:val="18"/>
                <w:szCs w:val="18"/>
                <w:lang w:eastAsia="zh-CN"/>
              </w:rPr>
              <w:t>种类</w:t>
            </w:r>
          </w:p>
          <w:p w14:paraId="3C133382">
            <w:pPr>
              <w:snapToGrid w:val="0"/>
              <mc:AlternateContent>
                <mc:Choice Requires="wpsCustomData">
                  <wpsCustomData:diagonalParaType/>
                </mc:Choice>
              </mc:AlternateContent>
              <w:rPr>
                <w:rFonts w:hint="eastAsia" w:ascii="宋体" w:hAnsi="宋体"/>
                <w:b w:val="0"/>
                <w:color w:val="000000"/>
                <w:sz w:val="18"/>
                <w:szCs w:val="18"/>
              </w:rPr>
            </w:pPr>
            <w:r>
              <w:rPr>
                <w:rFonts w:hint="eastAsia" w:ascii="宋体" w:hAnsi="宋体"/>
                <w:b w:val="0"/>
                <w:color w:val="000000"/>
                <w:sz w:val="18"/>
                <w:szCs w:val="18"/>
              </w:rPr>
              <w:t>基体种类</w:t>
            </w:r>
          </w:p>
          <w:p w14:paraId="5CA09298">
            <w:pPr>
              <w:snapToGrid w:val="0"/>
              <mc:AlternateContent>
                <mc:Choice Requires="wpsCustomData">
                  <wpsCustomData:diagonalParaType/>
                </mc:Choice>
              </mc:AlternateContent>
              <w:rPr>
                <w:rFonts w:hint="default" w:ascii="宋体" w:hAnsi="宋体" w:eastAsia="宋体"/>
                <w:b w:val="0"/>
                <w:color w:val="000000"/>
                <w:sz w:val="18"/>
                <w:szCs w:val="18"/>
                <w:lang w:val="en-US" w:eastAsia="zh-CN"/>
              </w:rPr>
            </w:pPr>
            <w:r>
              <w:rPr>
                <w:rFonts w:hint="eastAsia" w:ascii="宋体" w:hAnsi="宋体"/>
                <w:b w:val="0"/>
                <w:color w:val="000000"/>
                <w:sz w:val="18"/>
                <w:szCs w:val="18"/>
                <w:lang w:val="en-US" w:eastAsia="zh-CN"/>
              </w:rPr>
              <w:t>△E%</w:t>
            </w:r>
          </w:p>
          <w:p w14:paraId="06CC5BD8">
            <w:pPr>
              <w:rPr>
                <w:rFonts w:hint="eastAsia" w:ascii="宋体" w:hAnsi="宋体"/>
                <w:b w:val="0"/>
                <w:color w:val="000000"/>
                <w:sz w:val="18"/>
                <w:szCs w:val="18"/>
              </w:rPr>
            </w:pPr>
            <w:r>
              <w:rPr>
                <w:rFonts w:hint="eastAsia" w:ascii="宋体" w:hAnsi="宋体"/>
                <w:b w:val="0"/>
                <w:color w:val="000000"/>
                <w:sz w:val="18"/>
                <w:szCs w:val="18"/>
              </w:rPr>
              <w:t>基体浓度mg/mL</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859D7">
            <w:pPr>
              <w:snapToGrid w:val="0"/>
              <w:jc w:val="center"/>
              <w:rPr>
                <w:rFonts w:hint="eastAsia" w:ascii="宋体" w:hAnsi="宋体"/>
                <w:b w:val="0"/>
                <w:color w:val="000000"/>
                <w:sz w:val="18"/>
                <w:szCs w:val="18"/>
              </w:rPr>
            </w:pPr>
            <w:r>
              <w:rPr>
                <w:rFonts w:hint="eastAsia" w:ascii="宋体" w:hAnsi="宋体"/>
                <w:b w:val="0"/>
                <w:color w:val="000000"/>
                <w:sz w:val="18"/>
                <w:szCs w:val="18"/>
              </w:rPr>
              <w:t>2mg/mL</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3199A">
            <w:pPr>
              <w:jc w:val="center"/>
              <w:rPr>
                <w:rFonts w:hint="eastAsia" w:ascii="宋体" w:hAnsi="宋体"/>
                <w:b w:val="0"/>
                <w:color w:val="000000"/>
                <w:sz w:val="18"/>
                <w:szCs w:val="18"/>
              </w:rPr>
            </w:pPr>
            <w:r>
              <w:rPr>
                <w:rFonts w:hint="eastAsia" w:ascii="宋体" w:hAnsi="宋体"/>
                <w:b w:val="0"/>
                <w:color w:val="000000"/>
                <w:sz w:val="18"/>
                <w:szCs w:val="18"/>
              </w:rPr>
              <w:t>4mg/mL</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888B9">
            <w:pPr>
              <w:jc w:val="center"/>
              <w:rPr>
                <w:rFonts w:hint="eastAsia" w:ascii="宋体" w:hAnsi="宋体"/>
                <w:b w:val="0"/>
                <w:color w:val="000000"/>
                <w:sz w:val="18"/>
                <w:szCs w:val="18"/>
              </w:rPr>
            </w:pPr>
            <w:r>
              <w:rPr>
                <w:rFonts w:hint="eastAsia" w:ascii="宋体" w:hAnsi="宋体"/>
                <w:b w:val="0"/>
                <w:color w:val="000000"/>
                <w:sz w:val="18"/>
                <w:szCs w:val="18"/>
                <w:lang w:val="en-US" w:eastAsia="zh-CN"/>
              </w:rPr>
              <w:t>6</w:t>
            </w:r>
            <w:r>
              <w:rPr>
                <w:rFonts w:hint="eastAsia" w:ascii="宋体" w:hAnsi="宋体"/>
                <w:b w:val="0"/>
                <w:color w:val="000000"/>
                <w:sz w:val="18"/>
                <w:szCs w:val="18"/>
              </w:rPr>
              <w:t>mg/mL</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12908">
            <w:pPr>
              <w:jc w:val="center"/>
              <w:rPr>
                <w:rFonts w:hint="eastAsia" w:ascii="宋体" w:hAnsi="宋体"/>
                <w:b w:val="0"/>
                <w:color w:val="000000"/>
                <w:sz w:val="18"/>
                <w:szCs w:val="18"/>
              </w:rPr>
            </w:pPr>
            <w:r>
              <w:rPr>
                <w:rFonts w:hint="eastAsia" w:ascii="宋体" w:hAnsi="宋体"/>
                <w:b w:val="0"/>
                <w:color w:val="000000"/>
                <w:sz w:val="18"/>
                <w:szCs w:val="18"/>
                <w:lang w:val="en-US" w:eastAsia="zh-CN"/>
              </w:rPr>
              <w:t>8</w:t>
            </w:r>
            <w:r>
              <w:rPr>
                <w:rFonts w:hint="eastAsia" w:ascii="宋体" w:hAnsi="宋体"/>
                <w:b w:val="0"/>
                <w:color w:val="000000"/>
                <w:sz w:val="18"/>
                <w:szCs w:val="18"/>
              </w:rPr>
              <w:t>mg/mL</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359C8">
            <w:pPr>
              <w:jc w:val="center"/>
              <w:rPr>
                <w:rFonts w:hint="eastAsia" w:ascii="宋体" w:hAnsi="宋体"/>
                <w:b w:val="0"/>
                <w:color w:val="000000"/>
                <w:sz w:val="18"/>
                <w:szCs w:val="18"/>
                <w:lang w:val="en-US" w:eastAsia="zh-CN"/>
              </w:rPr>
            </w:pPr>
            <w:r>
              <w:rPr>
                <w:rFonts w:hint="eastAsia" w:ascii="宋体" w:hAnsi="宋体"/>
                <w:b w:val="0"/>
                <w:color w:val="000000"/>
                <w:sz w:val="18"/>
                <w:szCs w:val="18"/>
                <w:lang w:val="en-US" w:eastAsia="zh-CN"/>
              </w:rPr>
              <w:t>10</w:t>
            </w:r>
            <w:r>
              <w:rPr>
                <w:rFonts w:hint="eastAsia" w:ascii="宋体" w:hAnsi="宋体"/>
                <w:b w:val="0"/>
                <w:color w:val="000000"/>
                <w:sz w:val="18"/>
                <w:szCs w:val="18"/>
              </w:rPr>
              <w:t>mg/mL</w:t>
            </w:r>
          </w:p>
        </w:tc>
      </w:tr>
      <w:tr w14:paraId="0551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650" w:type="dxa"/>
            <w:tcBorders>
              <w:top w:val="single" w:color="000000" w:sz="4" w:space="0"/>
              <w:left w:val="single" w:color="000000" w:sz="4" w:space="0"/>
              <w:right w:val="single" w:color="000000" w:sz="4" w:space="0"/>
            </w:tcBorders>
            <w:shd w:val="clear" w:color="auto" w:fill="auto"/>
            <w:noWrap w:val="0"/>
            <w:vAlign w:val="center"/>
          </w:tcPr>
          <w:p w14:paraId="196364F1">
            <w:pPr>
              <w:jc w:val="center"/>
              <w:rPr>
                <w:rFonts w:hint="default" w:ascii="宋体" w:hAnsi="宋体" w:eastAsia="宋体"/>
                <w:b w:val="0"/>
                <w:color w:val="000000"/>
                <w:sz w:val="18"/>
                <w:szCs w:val="18"/>
                <w:lang w:val="en-US" w:eastAsia="zh-CN"/>
              </w:rPr>
            </w:pPr>
            <w:r>
              <w:rPr>
                <w:rFonts w:hint="eastAsia" w:ascii="宋体" w:hAnsi="宋体"/>
                <w:b w:val="0"/>
                <w:color w:val="000000"/>
                <w:sz w:val="18"/>
                <w:szCs w:val="18"/>
                <w:lang w:val="en-US" w:eastAsia="zh-CN"/>
              </w:rPr>
              <w:t>La2O3</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8FE6B">
            <w:pPr>
              <w:jc w:val="center"/>
              <w:rPr>
                <w:rFonts w:hint="default" w:ascii="宋体" w:hAnsi="宋体" w:eastAsia="宋体"/>
                <w:b w:val="0"/>
                <w:color w:val="000000"/>
                <w:sz w:val="18"/>
                <w:szCs w:val="18"/>
                <w:lang w:val="en-US" w:eastAsia="zh-CN"/>
              </w:rPr>
            </w:pPr>
            <w:r>
              <w:rPr>
                <w:rFonts w:hint="eastAsia" w:ascii="宋体" w:hAnsi="宋体"/>
                <w:b w:val="0"/>
                <w:color w:val="000000"/>
                <w:sz w:val="18"/>
                <w:szCs w:val="18"/>
                <w:lang w:val="en-US" w:eastAsia="zh-CN"/>
              </w:rPr>
              <w:t>1.49</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44943">
            <w:pPr>
              <w:jc w:val="center"/>
              <w:rPr>
                <w:rFonts w:hint="default" w:ascii="宋体" w:hAnsi="宋体" w:eastAsia="宋体"/>
                <w:b w:val="0"/>
                <w:color w:val="000000"/>
                <w:sz w:val="18"/>
                <w:szCs w:val="18"/>
                <w:lang w:val="en-US" w:eastAsia="zh-CN"/>
              </w:rPr>
            </w:pPr>
            <w:r>
              <w:rPr>
                <w:rFonts w:hint="eastAsia" w:ascii="宋体" w:hAnsi="宋体"/>
                <w:b w:val="0"/>
                <w:color w:val="000000"/>
                <w:sz w:val="18"/>
                <w:szCs w:val="18"/>
                <w:lang w:val="en-US" w:eastAsia="zh-CN"/>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CCEB3">
            <w:pPr>
              <w:jc w:val="center"/>
              <w:rPr>
                <w:rFonts w:hint="default" w:ascii="宋体" w:hAnsi="宋体" w:eastAsia="宋体"/>
                <w:b w:val="0"/>
                <w:color w:val="000000"/>
                <w:sz w:val="18"/>
                <w:szCs w:val="18"/>
                <w:lang w:val="en-US" w:eastAsia="zh-CN"/>
              </w:rPr>
            </w:pPr>
            <w:r>
              <w:rPr>
                <w:rFonts w:hint="eastAsia" w:ascii="宋体" w:hAnsi="宋体"/>
                <w:b w:val="0"/>
                <w:color w:val="000000"/>
                <w:sz w:val="18"/>
                <w:szCs w:val="18"/>
                <w:lang w:val="en-US" w:eastAsia="zh-CN"/>
              </w:rPr>
              <w:t>-1.22</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F6709">
            <w:pPr>
              <w:jc w:val="center"/>
              <w:rPr>
                <w:rFonts w:hint="default" w:ascii="宋体" w:hAnsi="宋体" w:eastAsia="宋体"/>
                <w:b w:val="0"/>
                <w:color w:val="000000"/>
                <w:sz w:val="18"/>
                <w:szCs w:val="18"/>
                <w:lang w:val="en-US" w:eastAsia="zh-CN"/>
              </w:rPr>
            </w:pPr>
            <w:r>
              <w:rPr>
                <w:rFonts w:hint="eastAsia" w:ascii="宋体" w:hAnsi="宋体"/>
                <w:b w:val="0"/>
                <w:color w:val="000000"/>
                <w:sz w:val="18"/>
                <w:szCs w:val="18"/>
                <w:lang w:val="en-US" w:eastAsia="zh-CN"/>
              </w:rPr>
              <w:t>-2.20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6AB3E">
            <w:pPr>
              <w:jc w:val="center"/>
              <w:rPr>
                <w:rFonts w:hint="default" w:ascii="宋体" w:hAnsi="宋体"/>
                <w:b w:val="0"/>
                <w:color w:val="000000"/>
                <w:sz w:val="18"/>
                <w:szCs w:val="18"/>
                <w:lang w:val="en-US" w:eastAsia="zh-CN"/>
              </w:rPr>
            </w:pPr>
            <w:r>
              <w:rPr>
                <w:rFonts w:hint="eastAsia" w:ascii="宋体" w:hAnsi="宋体"/>
                <w:b w:val="0"/>
                <w:color w:val="000000"/>
                <w:sz w:val="18"/>
                <w:szCs w:val="18"/>
                <w:lang w:val="en-US" w:eastAsia="zh-CN"/>
              </w:rPr>
              <w:t>-2.17</w:t>
            </w:r>
          </w:p>
        </w:tc>
      </w:tr>
      <w:tr w14:paraId="4B9B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50" w:type="dxa"/>
            <w:tcBorders>
              <w:top w:val="single" w:color="000000" w:sz="4" w:space="0"/>
              <w:left w:val="single" w:color="000000" w:sz="4" w:space="0"/>
              <w:right w:val="single" w:color="000000" w:sz="4" w:space="0"/>
            </w:tcBorders>
            <w:shd w:val="clear" w:color="auto" w:fill="auto"/>
            <w:noWrap w:val="0"/>
            <w:vAlign w:val="center"/>
          </w:tcPr>
          <w:p w14:paraId="42F8F7D0">
            <w:pPr>
              <w:jc w:val="center"/>
              <w:rPr>
                <w:rFonts w:hint="default" w:ascii="宋体" w:hAnsi="宋体"/>
                <w:b w:val="0"/>
                <w:color w:val="000000"/>
                <w:sz w:val="18"/>
                <w:szCs w:val="18"/>
                <w:lang w:val="en-US" w:eastAsia="zh-CN"/>
              </w:rPr>
            </w:pPr>
            <w:r>
              <w:rPr>
                <w:rFonts w:hint="eastAsia" w:ascii="宋体" w:hAnsi="宋体"/>
                <w:b w:val="0"/>
                <w:color w:val="000000"/>
                <w:sz w:val="18"/>
                <w:szCs w:val="18"/>
                <w:lang w:val="en-US" w:eastAsia="zh-CN"/>
              </w:rPr>
              <w:t>Gd2O3</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CD387">
            <w:pPr>
              <w:jc w:val="center"/>
              <w:rPr>
                <w:rFonts w:hint="default" w:ascii="宋体" w:hAnsi="宋体"/>
                <w:b w:val="0"/>
                <w:color w:val="000000"/>
                <w:sz w:val="18"/>
                <w:szCs w:val="18"/>
                <w:lang w:val="en-US" w:eastAsia="zh-CN"/>
              </w:rPr>
            </w:pPr>
            <w:r>
              <w:rPr>
                <w:rFonts w:hint="eastAsia" w:ascii="宋体" w:hAnsi="宋体"/>
                <w:b w:val="0"/>
                <w:color w:val="000000"/>
                <w:sz w:val="18"/>
                <w:szCs w:val="18"/>
                <w:lang w:val="en-US" w:eastAsia="zh-CN"/>
              </w:rPr>
              <w:t>0.68</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900DE">
            <w:pPr>
              <w:jc w:val="center"/>
              <w:rPr>
                <w:rFonts w:hint="default" w:ascii="宋体" w:hAnsi="宋体"/>
                <w:b w:val="0"/>
                <w:color w:val="000000"/>
                <w:sz w:val="18"/>
                <w:szCs w:val="18"/>
                <w:lang w:val="en-US" w:eastAsia="zh-CN"/>
              </w:rPr>
            </w:pPr>
            <w:r>
              <w:rPr>
                <w:rFonts w:hint="eastAsia" w:ascii="宋体" w:hAnsi="宋体"/>
                <w:b w:val="0"/>
                <w:color w:val="000000"/>
                <w:sz w:val="18"/>
                <w:szCs w:val="18"/>
                <w:lang w:val="en-US" w:eastAsia="zh-CN"/>
              </w:rPr>
              <w:t>-0.68</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A6F3C">
            <w:pPr>
              <w:jc w:val="center"/>
              <w:rPr>
                <w:rFonts w:hint="default" w:ascii="宋体" w:hAnsi="宋体"/>
                <w:b w:val="0"/>
                <w:color w:val="000000"/>
                <w:sz w:val="18"/>
                <w:szCs w:val="18"/>
                <w:lang w:val="en-US" w:eastAsia="zh-CN"/>
              </w:rPr>
            </w:pPr>
            <w:r>
              <w:rPr>
                <w:rFonts w:hint="eastAsia" w:ascii="宋体" w:hAnsi="宋体"/>
                <w:b w:val="0"/>
                <w:color w:val="000000"/>
                <w:sz w:val="18"/>
                <w:szCs w:val="18"/>
                <w:lang w:val="en-US" w:eastAsia="zh-CN"/>
              </w:rPr>
              <w:t>-0.41</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F5D89">
            <w:pPr>
              <w:jc w:val="center"/>
              <w:rPr>
                <w:rFonts w:hint="default" w:ascii="宋体" w:hAnsi="宋体"/>
                <w:b w:val="0"/>
                <w:color w:val="000000"/>
                <w:sz w:val="18"/>
                <w:szCs w:val="18"/>
                <w:lang w:val="en-US" w:eastAsia="zh-CN"/>
              </w:rPr>
            </w:pPr>
            <w:r>
              <w:rPr>
                <w:rFonts w:hint="eastAsia" w:ascii="宋体" w:hAnsi="宋体"/>
                <w:b w:val="0"/>
                <w:color w:val="000000"/>
                <w:sz w:val="18"/>
                <w:szCs w:val="18"/>
                <w:lang w:val="en-US" w:eastAsia="zh-CN"/>
              </w:rPr>
              <w:t>-2.71</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3CD69">
            <w:pPr>
              <w:jc w:val="center"/>
              <w:rPr>
                <w:rFonts w:hint="default" w:ascii="宋体" w:hAnsi="宋体"/>
                <w:b w:val="0"/>
                <w:color w:val="000000"/>
                <w:sz w:val="18"/>
                <w:szCs w:val="18"/>
                <w:lang w:val="en-US" w:eastAsia="zh-CN"/>
              </w:rPr>
            </w:pPr>
            <w:r>
              <w:rPr>
                <w:rFonts w:hint="eastAsia" w:ascii="宋体" w:hAnsi="宋体"/>
                <w:b w:val="0"/>
                <w:color w:val="000000"/>
                <w:sz w:val="18"/>
                <w:szCs w:val="18"/>
                <w:lang w:val="en-US" w:eastAsia="zh-CN"/>
              </w:rPr>
              <w:t>-2.58</w:t>
            </w:r>
          </w:p>
        </w:tc>
      </w:tr>
      <w:tr w14:paraId="7C61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650" w:type="dxa"/>
            <w:tcBorders>
              <w:top w:val="single" w:color="000000" w:sz="4" w:space="0"/>
              <w:left w:val="single" w:color="000000" w:sz="4" w:space="0"/>
              <w:right w:val="single" w:color="000000" w:sz="4" w:space="0"/>
            </w:tcBorders>
            <w:shd w:val="clear" w:color="auto" w:fill="auto"/>
            <w:noWrap w:val="0"/>
            <w:vAlign w:val="center"/>
          </w:tcPr>
          <w:p w14:paraId="1BEC85C6">
            <w:pPr>
              <w:jc w:val="center"/>
              <w:rPr>
                <w:rFonts w:hint="default" w:ascii="宋体" w:hAnsi="宋体"/>
                <w:b w:val="0"/>
                <w:color w:val="000000"/>
                <w:sz w:val="18"/>
                <w:szCs w:val="18"/>
                <w:lang w:val="en-US" w:eastAsia="zh-CN"/>
              </w:rPr>
            </w:pPr>
            <w:r>
              <w:rPr>
                <w:rFonts w:hint="eastAsia" w:ascii="宋体" w:hAnsi="宋体"/>
                <w:b w:val="0"/>
                <w:color w:val="000000"/>
                <w:sz w:val="18"/>
                <w:szCs w:val="18"/>
                <w:lang w:val="en-US" w:eastAsia="zh-CN"/>
              </w:rPr>
              <w:t>Dy2O3</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0AD4D">
            <w:pPr>
              <w:jc w:val="center"/>
              <w:rPr>
                <w:rFonts w:hint="default" w:ascii="宋体" w:hAnsi="宋体"/>
                <w:b w:val="0"/>
                <w:color w:val="000000"/>
                <w:sz w:val="18"/>
                <w:szCs w:val="18"/>
                <w:lang w:val="en-US" w:eastAsia="zh-CN"/>
              </w:rPr>
            </w:pPr>
            <w:r>
              <w:rPr>
                <w:rFonts w:hint="eastAsia" w:ascii="宋体" w:hAnsi="宋体"/>
                <w:b w:val="0"/>
                <w:color w:val="000000"/>
                <w:sz w:val="18"/>
                <w:szCs w:val="18"/>
                <w:lang w:val="en-US" w:eastAsia="zh-CN"/>
              </w:rPr>
              <w:t>1.49</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6D922">
            <w:pPr>
              <w:jc w:val="center"/>
              <w:rPr>
                <w:rFonts w:hint="default" w:ascii="宋体" w:hAnsi="宋体"/>
                <w:b w:val="0"/>
                <w:color w:val="000000"/>
                <w:sz w:val="18"/>
                <w:szCs w:val="18"/>
                <w:lang w:val="en-US" w:eastAsia="zh-CN"/>
              </w:rPr>
            </w:pPr>
            <w:r>
              <w:rPr>
                <w:rFonts w:hint="eastAsia" w:ascii="宋体" w:hAnsi="宋体"/>
                <w:b w:val="0"/>
                <w:color w:val="000000"/>
                <w:sz w:val="18"/>
                <w:szCs w:val="18"/>
                <w:lang w:val="en-US" w:eastAsia="zh-CN"/>
              </w:rPr>
              <w:t>0.14</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9B9BF">
            <w:pPr>
              <w:jc w:val="center"/>
              <w:rPr>
                <w:rFonts w:hint="default" w:ascii="宋体" w:hAnsi="宋体"/>
                <w:b w:val="0"/>
                <w:color w:val="000000"/>
                <w:sz w:val="18"/>
                <w:szCs w:val="18"/>
                <w:lang w:val="en-US" w:eastAsia="zh-CN"/>
              </w:rPr>
            </w:pPr>
            <w:r>
              <w:rPr>
                <w:rFonts w:hint="eastAsia" w:ascii="宋体" w:hAnsi="宋体"/>
                <w:b w:val="0"/>
                <w:color w:val="000000"/>
                <w:sz w:val="18"/>
                <w:szCs w:val="18"/>
                <w:lang w:val="en-US" w:eastAsia="zh-CN"/>
              </w:rPr>
              <w:t>-1.22</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17E90">
            <w:pPr>
              <w:jc w:val="center"/>
              <w:rPr>
                <w:rFonts w:hint="default" w:ascii="宋体" w:hAnsi="宋体"/>
                <w:b w:val="0"/>
                <w:color w:val="000000"/>
                <w:sz w:val="18"/>
                <w:szCs w:val="18"/>
                <w:lang w:val="en-US" w:eastAsia="zh-CN"/>
              </w:rPr>
            </w:pPr>
            <w:r>
              <w:rPr>
                <w:rFonts w:hint="eastAsia" w:ascii="宋体" w:hAnsi="宋体"/>
                <w:b w:val="0"/>
                <w:color w:val="000000"/>
                <w:sz w:val="18"/>
                <w:szCs w:val="18"/>
                <w:lang w:val="en-US" w:eastAsia="zh-CN"/>
              </w:rPr>
              <w:t>-2.71</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2C649">
            <w:pPr>
              <w:jc w:val="center"/>
              <w:rPr>
                <w:rFonts w:hint="default" w:ascii="宋体" w:hAnsi="宋体"/>
                <w:b w:val="0"/>
                <w:color w:val="000000"/>
                <w:sz w:val="18"/>
                <w:szCs w:val="18"/>
                <w:lang w:val="en-US" w:eastAsia="zh-CN"/>
              </w:rPr>
            </w:pPr>
            <w:r>
              <w:rPr>
                <w:rFonts w:hint="eastAsia" w:ascii="宋体" w:hAnsi="宋体"/>
                <w:b w:val="0"/>
                <w:color w:val="000000"/>
                <w:sz w:val="18"/>
                <w:szCs w:val="18"/>
                <w:lang w:val="en-US" w:eastAsia="zh-CN"/>
              </w:rPr>
              <w:t>-3.80</w:t>
            </w:r>
          </w:p>
        </w:tc>
      </w:tr>
      <w:tr w14:paraId="075B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650" w:type="dxa"/>
            <w:tcBorders>
              <w:top w:val="single" w:color="000000" w:sz="4" w:space="0"/>
              <w:left w:val="single" w:color="000000" w:sz="4" w:space="0"/>
              <w:right w:val="single" w:color="000000" w:sz="4" w:space="0"/>
            </w:tcBorders>
            <w:shd w:val="clear" w:color="auto" w:fill="auto"/>
            <w:noWrap w:val="0"/>
            <w:vAlign w:val="center"/>
          </w:tcPr>
          <w:p w14:paraId="3BDD51E6">
            <w:pPr>
              <w:jc w:val="center"/>
              <w:rPr>
                <w:rFonts w:hint="default" w:ascii="宋体" w:hAnsi="宋体"/>
                <w:b w:val="0"/>
                <w:color w:val="000000"/>
                <w:sz w:val="18"/>
                <w:szCs w:val="18"/>
                <w:lang w:val="en-US" w:eastAsia="zh-CN"/>
              </w:rPr>
            </w:pPr>
            <w:r>
              <w:rPr>
                <w:rFonts w:hint="eastAsia" w:ascii="宋体" w:hAnsi="宋体"/>
                <w:b w:val="0"/>
                <w:color w:val="000000"/>
                <w:sz w:val="18"/>
                <w:szCs w:val="18"/>
                <w:lang w:val="en-US" w:eastAsia="zh-CN"/>
              </w:rPr>
              <w:t>CeO2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DC513">
            <w:pPr>
              <w:jc w:val="center"/>
              <w:rPr>
                <w:rFonts w:hint="default" w:ascii="宋体" w:hAnsi="宋体"/>
                <w:b w:val="0"/>
                <w:color w:val="000000"/>
                <w:sz w:val="18"/>
                <w:szCs w:val="18"/>
                <w:lang w:val="en-US" w:eastAsia="zh-CN"/>
              </w:rPr>
            </w:pPr>
            <w:r>
              <w:rPr>
                <w:rFonts w:hint="eastAsia" w:ascii="宋体" w:hAnsi="宋体"/>
                <w:b w:val="0"/>
                <w:color w:val="000000"/>
                <w:sz w:val="18"/>
                <w:szCs w:val="18"/>
                <w:lang w:val="en-US" w:eastAsia="zh-CN"/>
              </w:rPr>
              <w:t>0.85</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11A1B">
            <w:pPr>
              <w:jc w:val="center"/>
              <w:rPr>
                <w:rFonts w:hint="default" w:ascii="宋体" w:hAnsi="宋体"/>
                <w:b w:val="0"/>
                <w:color w:val="000000"/>
                <w:sz w:val="18"/>
                <w:szCs w:val="18"/>
                <w:lang w:val="en-US" w:eastAsia="zh-CN"/>
              </w:rPr>
            </w:pPr>
            <w:r>
              <w:rPr>
                <w:rFonts w:hint="eastAsia" w:ascii="宋体" w:hAnsi="宋体"/>
                <w:b w:val="0"/>
                <w:color w:val="000000"/>
                <w:sz w:val="18"/>
                <w:szCs w:val="18"/>
                <w:lang w:val="en-US" w:eastAsia="zh-CN"/>
              </w:rPr>
              <w:t>0.57</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FCCF6">
            <w:pPr>
              <w:jc w:val="center"/>
              <w:rPr>
                <w:rFonts w:hint="default" w:ascii="宋体" w:hAnsi="宋体"/>
                <w:b w:val="0"/>
                <w:color w:val="000000"/>
                <w:sz w:val="18"/>
                <w:szCs w:val="18"/>
                <w:lang w:val="en-US" w:eastAsia="zh-CN"/>
              </w:rPr>
            </w:pPr>
            <w:r>
              <w:rPr>
                <w:rFonts w:hint="eastAsia" w:ascii="宋体" w:hAnsi="宋体"/>
                <w:b w:val="0"/>
                <w:color w:val="000000"/>
                <w:sz w:val="18"/>
                <w:szCs w:val="18"/>
                <w:lang w:val="en-US" w:eastAsia="zh-CN"/>
              </w:rPr>
              <w:t>0.70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C6489">
            <w:pPr>
              <w:jc w:val="center"/>
              <w:rPr>
                <w:rFonts w:hint="default" w:ascii="宋体" w:hAnsi="宋体"/>
                <w:b w:val="0"/>
                <w:color w:val="000000"/>
                <w:sz w:val="18"/>
                <w:szCs w:val="18"/>
                <w:lang w:val="en-US" w:eastAsia="zh-CN"/>
              </w:rPr>
            </w:pPr>
            <w:r>
              <w:rPr>
                <w:rFonts w:hint="eastAsia" w:ascii="宋体" w:hAnsi="宋体"/>
                <w:b w:val="0"/>
                <w:color w:val="000000"/>
                <w:sz w:val="18"/>
                <w:szCs w:val="18"/>
                <w:lang w:val="en-US" w:eastAsia="zh-CN"/>
              </w:rPr>
              <w:t>0.28</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045CD">
            <w:pPr>
              <w:jc w:val="center"/>
              <w:rPr>
                <w:rFonts w:hint="default" w:ascii="宋体" w:hAnsi="宋体" w:eastAsia="宋体"/>
                <w:b w:val="0"/>
                <w:color w:val="000000"/>
                <w:sz w:val="18"/>
                <w:szCs w:val="18"/>
                <w:lang w:val="en-US" w:eastAsia="zh-CN"/>
              </w:rPr>
            </w:pPr>
            <w:r>
              <w:rPr>
                <w:rFonts w:hint="eastAsia" w:ascii="宋体" w:hAnsi="宋体"/>
                <w:b w:val="0"/>
                <w:color w:val="000000"/>
                <w:sz w:val="18"/>
                <w:szCs w:val="18"/>
                <w:lang w:val="en-US" w:eastAsia="zh-CN"/>
              </w:rPr>
              <w:t>-1.53</w:t>
            </w:r>
          </w:p>
        </w:tc>
      </w:tr>
    </w:tbl>
    <w:p w14:paraId="39EE1BD9">
      <w:pPr>
        <w:pStyle w:val="31"/>
        <w:adjustRightInd/>
        <w:spacing w:line="360" w:lineRule="auto"/>
        <w:ind w:firstLine="420" w:firstLineChars="200"/>
        <w:jc w:val="both"/>
        <w:textAlignment w:val="auto"/>
        <w:rPr>
          <w:rFonts w:hint="eastAsia" w:ascii="宋体" w:hAnsi="宋体" w:eastAsia="宋体"/>
          <w:lang w:val="en-US" w:eastAsia="zh-CN"/>
        </w:rPr>
      </w:pPr>
      <w:r>
        <w:rPr>
          <w:rFonts w:hint="eastAsia" w:ascii="宋体" w:hAnsi="宋体"/>
          <w:lang w:eastAsia="zh-CN"/>
        </w:rPr>
        <w:t>由</w:t>
      </w:r>
      <w:r>
        <w:rPr>
          <w:rFonts w:hint="eastAsia" w:ascii="宋体" w:hAnsi="宋体"/>
        </w:rPr>
        <w:t>表</w:t>
      </w:r>
      <w:r>
        <w:rPr>
          <w:rFonts w:hint="eastAsia" w:ascii="宋体" w:hAnsi="宋体"/>
          <w:lang w:val="en-US" w:eastAsia="zh-CN"/>
        </w:rPr>
        <w:t>4</w:t>
      </w:r>
      <w:r>
        <w:rPr>
          <w:rFonts w:hint="eastAsia" w:ascii="宋体" w:hAnsi="宋体"/>
        </w:rPr>
        <w:t>可见：</w:t>
      </w:r>
      <w:r>
        <w:rPr>
          <w:rFonts w:hint="eastAsia" w:ascii="宋体" w:hAnsi="宋体"/>
          <w:lang w:eastAsia="zh-CN"/>
        </w:rPr>
        <w:t>随着基体浓度增大，</w:t>
      </w:r>
      <w:r>
        <w:rPr>
          <w:rFonts w:hint="eastAsia" w:ascii="宋体" w:hAnsi="宋体"/>
          <w:lang w:val="en-US" w:eastAsia="zh-CN"/>
        </w:rPr>
        <w:t>Mg吸光值均略呈下降趋势，而基体浓度较低时有增感作用。在HNO3介质中CeO2对镁的增感作用随着基体浓度增加下降较小，但总趋势一致。总体基体浓度</w:t>
      </w:r>
      <w:r>
        <w:rPr>
          <w:rFonts w:hint="eastAsia" w:ascii="宋体" w:hAnsi="宋体"/>
          <w:lang w:eastAsia="zh-CN"/>
        </w:rPr>
        <w:t>对镁测定影响不大，由上表可知，基体效应系数都在</w:t>
      </w:r>
      <w:r>
        <w:rPr>
          <w:rFonts w:hint="eastAsia" w:ascii="宋体" w:hAnsi="宋体"/>
          <w:lang w:val="en-US" w:eastAsia="zh-CN"/>
        </w:rPr>
        <w:t>±5%之内。因</w:t>
      </w:r>
      <w:r>
        <w:rPr>
          <w:rFonts w:hint="eastAsia" w:ascii="宋体" w:hAnsi="宋体"/>
          <w:lang w:eastAsia="zh-CN"/>
        </w:rPr>
        <w:t>基体浓度增大，</w:t>
      </w:r>
      <w:r>
        <w:rPr>
          <w:rFonts w:hint="eastAsia" w:ascii="宋体" w:hAnsi="宋体"/>
          <w:lang w:val="en-US" w:eastAsia="zh-CN"/>
        </w:rPr>
        <w:t>Mg吸光值均略呈下降趋势，而基体浓度较低时有增感作用，采用标准加入法计算结果，可消除基体影响。</w:t>
      </w:r>
    </w:p>
    <w:p w14:paraId="4AB88661">
      <w:pPr>
        <w:pStyle w:val="31"/>
        <w:adjustRightInd/>
        <w:spacing w:line="360" w:lineRule="auto"/>
        <w:ind w:firstLine="420" w:firstLineChars="200"/>
        <w:jc w:val="both"/>
        <w:textAlignment w:val="auto"/>
        <w:rPr>
          <w:rFonts w:hint="eastAsia" w:ascii="宋体" w:hAnsi="宋体" w:eastAsia="宋体"/>
          <w:lang w:val="en-US" w:eastAsia="zh-CN"/>
        </w:rPr>
      </w:pPr>
      <w:r>
        <w:rPr>
          <w:rFonts w:hint="eastAsia" w:ascii="宋体" w:hAnsi="宋体"/>
          <w:lang w:val="en-US" w:eastAsia="zh-CN"/>
        </w:rPr>
        <w:t>纯标准曲线与基体存在时标准曲线有所不同，在4mg/mL的La2O3、CeO2、Dy2O3、Gd2O3基体时与纯标准的工作曲线基本重合，以上结论和原国标基本一致。进一步说明稀土基体基本不影响测定。较高含量的镁，可用标准曲线法计算结果。本方法采用的基体浓度为0.1g/L～8g/L。</w:t>
      </w:r>
    </w:p>
    <w:p w14:paraId="7824147A">
      <w:pPr>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2.4</w:t>
      </w:r>
      <w:r>
        <w:rPr>
          <w:rFonts w:hint="eastAsia" w:ascii="宋体" w:hAnsi="宋体" w:eastAsia="宋体" w:cs="宋体"/>
          <w:b/>
          <w:bCs/>
          <w:sz w:val="21"/>
          <w:szCs w:val="21"/>
        </w:rPr>
        <w:t>共存元素对测定的影响</w:t>
      </w:r>
    </w:p>
    <w:p w14:paraId="05E8AB18">
      <w:pPr>
        <w:spacing w:line="360" w:lineRule="auto"/>
        <w:rPr>
          <w:rFonts w:hint="eastAsia" w:ascii="宋体" w:hAnsi="宋体" w:cs="宋体"/>
          <w:color w:val="000000"/>
        </w:rPr>
      </w:pPr>
      <w:r>
        <w:rPr>
          <w:rFonts w:hint="eastAsia" w:ascii="宋体" w:hAnsi="宋体" w:cs="宋体"/>
          <w:b/>
          <w:bCs/>
          <w:lang w:val="en-US" w:eastAsia="zh-CN"/>
        </w:rPr>
        <w:t>2.4</w:t>
      </w:r>
      <w:r>
        <w:rPr>
          <w:rFonts w:hint="eastAsia" w:ascii="宋体" w:hAnsi="宋体" w:cs="宋体"/>
          <w:b/>
          <w:bCs/>
          <w:color w:val="000000"/>
          <w:lang w:val="en-US" w:eastAsia="zh-CN"/>
        </w:rPr>
        <w:t>.1</w:t>
      </w:r>
      <w:r>
        <w:rPr>
          <w:rFonts w:hint="eastAsia" w:ascii="宋体" w:hAnsi="宋体" w:cs="宋体"/>
          <w:b/>
          <w:bCs/>
          <w:color w:val="000000"/>
        </w:rPr>
        <w:t>共存非稀土元素的干扰</w:t>
      </w:r>
    </w:p>
    <w:p w14:paraId="66E28789">
      <w:pPr>
        <w:spacing w:line="360" w:lineRule="auto"/>
        <w:jc w:val="center"/>
        <w:rPr>
          <w:rFonts w:hint="eastAsia" w:ascii="黑体" w:hAnsi="黑体" w:eastAsia="黑体" w:cs="黑体"/>
          <w:color w:val="000000"/>
          <w:lang w:val="en-US" w:eastAsia="zh-CN"/>
        </w:rPr>
      </w:pPr>
      <w:r>
        <w:rPr>
          <w:rFonts w:hint="eastAsia" w:ascii="黑体" w:hAnsi="黑体" w:eastAsia="黑体" w:cs="黑体"/>
          <w:color w:val="000000"/>
          <w:lang w:eastAsia="zh-CN"/>
        </w:rPr>
        <w:t>表</w:t>
      </w:r>
      <w:r>
        <w:rPr>
          <w:rFonts w:hint="eastAsia" w:ascii="黑体" w:hAnsi="黑体" w:eastAsia="黑体" w:cs="黑体"/>
          <w:color w:val="000000"/>
          <w:lang w:val="en-US" w:eastAsia="zh-CN"/>
        </w:rPr>
        <w:t>5  非稀土元素干扰汇总表</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428"/>
        <w:gridCol w:w="1485"/>
        <w:gridCol w:w="1815"/>
        <w:gridCol w:w="1530"/>
        <w:gridCol w:w="1530"/>
      </w:tblGrid>
      <w:tr w14:paraId="6A60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56" w:type="dxa"/>
            <w:tcBorders>
              <w:left w:val="single" w:color="auto" w:sz="12" w:space="0"/>
            </w:tcBorders>
            <w:noWrap w:val="0"/>
            <w:vAlign w:val="bottom"/>
          </w:tcPr>
          <w:p w14:paraId="4F861678">
            <w:pPr>
              <w:spacing w:line="360" w:lineRule="auto"/>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共存元素</w:t>
            </w:r>
          </w:p>
        </w:tc>
        <w:tc>
          <w:tcPr>
            <w:tcW w:w="1428" w:type="dxa"/>
            <w:noWrap w:val="0"/>
            <w:vAlign w:val="bottom"/>
          </w:tcPr>
          <w:p w14:paraId="12859E2C">
            <w:pPr>
              <w:spacing w:line="360" w:lineRule="auto"/>
              <w:jc w:val="center"/>
              <w:rPr>
                <w:rFonts w:ascii="宋体" w:hAnsi="宋体"/>
                <w:color w:val="000000"/>
                <w:sz w:val="18"/>
                <w:szCs w:val="18"/>
              </w:rPr>
            </w:pPr>
            <w:r>
              <w:rPr>
                <w:rFonts w:ascii="宋体" w:hAnsi="宋体"/>
                <w:color w:val="000000"/>
                <w:sz w:val="18"/>
                <w:szCs w:val="18"/>
              </w:rPr>
              <w:t>测得</w:t>
            </w:r>
            <w:r>
              <w:rPr>
                <w:rFonts w:hint="eastAsia" w:ascii="宋体" w:hAnsi="宋体"/>
                <w:color w:val="000000"/>
                <w:sz w:val="18"/>
                <w:szCs w:val="18"/>
                <w:lang w:val="en-US" w:eastAsia="zh-CN"/>
              </w:rPr>
              <w:t>Mg</w:t>
            </w:r>
            <w:r>
              <w:rPr>
                <w:rFonts w:ascii="宋体" w:hAnsi="宋体"/>
                <w:color w:val="000000"/>
                <w:sz w:val="18"/>
                <w:szCs w:val="18"/>
              </w:rPr>
              <w:t>/</w:t>
            </w:r>
            <w:r>
              <w:rPr>
                <w:rFonts w:ascii="宋体" w:hAnsi="宋体"/>
                <w:sz w:val="18"/>
                <w:szCs w:val="18"/>
              </w:rPr>
              <w:t>μg</w:t>
            </w:r>
          </w:p>
        </w:tc>
        <w:tc>
          <w:tcPr>
            <w:tcW w:w="1485" w:type="dxa"/>
            <w:noWrap w:val="0"/>
            <w:vAlign w:val="bottom"/>
          </w:tcPr>
          <w:p w14:paraId="08968117">
            <w:pPr>
              <w:spacing w:line="360" w:lineRule="auto"/>
              <w:jc w:val="center"/>
              <w:rPr>
                <w:rFonts w:ascii="宋体" w:hAnsi="宋体"/>
                <w:color w:val="000000"/>
                <w:sz w:val="18"/>
                <w:szCs w:val="18"/>
              </w:rPr>
            </w:pPr>
            <w:r>
              <w:rPr>
                <w:rFonts w:ascii="宋体" w:hAnsi="宋体"/>
                <w:color w:val="000000"/>
                <w:sz w:val="18"/>
                <w:szCs w:val="18"/>
              </w:rPr>
              <w:t>回收率 %</w:t>
            </w:r>
          </w:p>
        </w:tc>
        <w:tc>
          <w:tcPr>
            <w:tcW w:w="1815" w:type="dxa"/>
            <w:noWrap w:val="0"/>
            <w:vAlign w:val="bottom"/>
          </w:tcPr>
          <w:p w14:paraId="5D6A76EB">
            <w:pPr>
              <w:spacing w:line="360" w:lineRule="auto"/>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共存元素</w:t>
            </w:r>
          </w:p>
        </w:tc>
        <w:tc>
          <w:tcPr>
            <w:tcW w:w="1530" w:type="dxa"/>
            <w:tcBorders>
              <w:right w:val="single" w:color="auto" w:sz="12" w:space="0"/>
            </w:tcBorders>
            <w:noWrap w:val="0"/>
            <w:vAlign w:val="bottom"/>
          </w:tcPr>
          <w:p w14:paraId="160A6032">
            <w:pPr>
              <w:spacing w:line="360" w:lineRule="auto"/>
              <w:jc w:val="center"/>
              <w:rPr>
                <w:rFonts w:ascii="宋体" w:hAnsi="宋体" w:eastAsia="宋体" w:cs="Times New Roman"/>
                <w:color w:val="000000"/>
                <w:kern w:val="2"/>
                <w:sz w:val="18"/>
                <w:szCs w:val="18"/>
                <w:lang w:val="en-US" w:eastAsia="zh-CN" w:bidi="ar-SA"/>
              </w:rPr>
            </w:pPr>
            <w:r>
              <w:rPr>
                <w:rFonts w:ascii="宋体" w:hAnsi="宋体"/>
                <w:color w:val="000000"/>
                <w:sz w:val="18"/>
                <w:szCs w:val="18"/>
              </w:rPr>
              <w:t>测得</w:t>
            </w:r>
            <w:r>
              <w:rPr>
                <w:rFonts w:hint="eastAsia" w:ascii="宋体" w:hAnsi="宋体"/>
                <w:color w:val="000000"/>
                <w:sz w:val="18"/>
                <w:szCs w:val="18"/>
                <w:lang w:val="en-US" w:eastAsia="zh-CN"/>
              </w:rPr>
              <w:t>Mg</w:t>
            </w:r>
            <w:r>
              <w:rPr>
                <w:rFonts w:ascii="宋体" w:hAnsi="宋体"/>
                <w:color w:val="000000"/>
                <w:sz w:val="18"/>
                <w:szCs w:val="18"/>
              </w:rPr>
              <w:t>/</w:t>
            </w:r>
            <w:r>
              <w:rPr>
                <w:rFonts w:ascii="宋体" w:hAnsi="宋体"/>
                <w:sz w:val="18"/>
                <w:szCs w:val="18"/>
              </w:rPr>
              <w:t>μg</w:t>
            </w:r>
          </w:p>
        </w:tc>
        <w:tc>
          <w:tcPr>
            <w:tcW w:w="1530" w:type="dxa"/>
            <w:tcBorders>
              <w:right w:val="single" w:color="auto" w:sz="12" w:space="0"/>
            </w:tcBorders>
            <w:noWrap w:val="0"/>
            <w:vAlign w:val="bottom"/>
          </w:tcPr>
          <w:p w14:paraId="55E926D0">
            <w:pPr>
              <w:spacing w:line="360" w:lineRule="auto"/>
              <w:jc w:val="center"/>
              <w:rPr>
                <w:rFonts w:ascii="宋体" w:hAnsi="宋体" w:eastAsia="宋体" w:cs="Times New Roman"/>
                <w:color w:val="000000"/>
                <w:kern w:val="2"/>
                <w:sz w:val="18"/>
                <w:szCs w:val="18"/>
                <w:lang w:val="en-US" w:eastAsia="zh-CN" w:bidi="ar-SA"/>
              </w:rPr>
            </w:pPr>
            <w:r>
              <w:rPr>
                <w:rFonts w:ascii="宋体" w:hAnsi="宋体"/>
                <w:color w:val="000000"/>
                <w:sz w:val="18"/>
                <w:szCs w:val="18"/>
              </w:rPr>
              <w:t>回收率 %</w:t>
            </w:r>
          </w:p>
        </w:tc>
      </w:tr>
      <w:tr w14:paraId="212A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56" w:type="dxa"/>
            <w:tcBorders>
              <w:left w:val="single" w:color="auto" w:sz="12" w:space="0"/>
            </w:tcBorders>
            <w:noWrap w:val="0"/>
            <w:vAlign w:val="bottom"/>
          </w:tcPr>
          <w:p w14:paraId="4FCC8921">
            <w:pPr>
              <w:spacing w:line="360" w:lineRule="auto"/>
              <w:jc w:val="center"/>
              <w:rPr>
                <w:rFonts w:hint="eastAsia" w:ascii="宋体" w:hAnsi="宋体" w:cs="宋体"/>
                <w:color w:val="000000"/>
                <w:sz w:val="18"/>
                <w:szCs w:val="18"/>
              </w:rPr>
            </w:pPr>
            <w:r>
              <w:rPr>
                <w:rFonts w:hint="eastAsia" w:ascii="宋体" w:hAnsi="宋体" w:cs="宋体"/>
                <w:color w:val="000000"/>
                <w:sz w:val="18"/>
                <w:szCs w:val="18"/>
              </w:rPr>
              <w:t>空白</w:t>
            </w:r>
          </w:p>
        </w:tc>
        <w:tc>
          <w:tcPr>
            <w:tcW w:w="1428" w:type="dxa"/>
            <w:noWrap w:val="0"/>
            <w:vAlign w:val="bottom"/>
          </w:tcPr>
          <w:p w14:paraId="64D334AC">
            <w:pP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0.06</w:t>
            </w:r>
          </w:p>
        </w:tc>
        <w:tc>
          <w:tcPr>
            <w:tcW w:w="1485" w:type="dxa"/>
            <w:noWrap w:val="0"/>
            <w:vAlign w:val="bottom"/>
          </w:tcPr>
          <w:p w14:paraId="5D208B24">
            <w:pPr>
              <w:spacing w:line="360" w:lineRule="auto"/>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w:t>
            </w:r>
          </w:p>
        </w:tc>
        <w:tc>
          <w:tcPr>
            <w:tcW w:w="1815" w:type="dxa"/>
            <w:noWrap w:val="0"/>
            <w:vAlign w:val="bottom"/>
          </w:tcPr>
          <w:p w14:paraId="40DB9803">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sz w:val="18"/>
                <w:szCs w:val="18"/>
                <w:lang w:val="en-US" w:eastAsia="zh-CN"/>
              </w:rPr>
              <w:t>25</w:t>
            </w:r>
            <w:r>
              <w:rPr>
                <w:rFonts w:ascii="宋体" w:hAnsi="宋体"/>
                <w:sz w:val="18"/>
                <w:szCs w:val="18"/>
              </w:rPr>
              <w:t>µg Si</w:t>
            </w:r>
          </w:p>
        </w:tc>
        <w:tc>
          <w:tcPr>
            <w:tcW w:w="1530" w:type="dxa"/>
            <w:tcBorders>
              <w:right w:val="single" w:color="auto" w:sz="12" w:space="0"/>
            </w:tcBorders>
            <w:noWrap w:val="0"/>
            <w:vAlign w:val="bottom"/>
          </w:tcPr>
          <w:p w14:paraId="3D75F74C">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0.03</w:t>
            </w:r>
          </w:p>
        </w:tc>
        <w:tc>
          <w:tcPr>
            <w:tcW w:w="1530" w:type="dxa"/>
            <w:tcBorders>
              <w:right w:val="single" w:color="auto" w:sz="12" w:space="0"/>
            </w:tcBorders>
            <w:noWrap w:val="0"/>
            <w:vAlign w:val="bottom"/>
          </w:tcPr>
          <w:p w14:paraId="4005ECCB">
            <w:pP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w:t>
            </w:r>
          </w:p>
        </w:tc>
      </w:tr>
      <w:tr w14:paraId="0852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56" w:type="dxa"/>
            <w:tcBorders>
              <w:left w:val="single" w:color="auto" w:sz="12" w:space="0"/>
            </w:tcBorders>
            <w:noWrap w:val="0"/>
            <w:vAlign w:val="bottom"/>
          </w:tcPr>
          <w:p w14:paraId="5AA01EB9">
            <w:pPr>
              <w:spacing w:line="360" w:lineRule="auto"/>
              <w:jc w:val="center"/>
              <w:rPr>
                <w:rFonts w:hint="default" w:ascii="宋体" w:hAnsi="宋体" w:eastAsia="宋体"/>
                <w:color w:val="000000"/>
                <w:sz w:val="18"/>
                <w:szCs w:val="18"/>
                <w:lang w:val="en-US" w:eastAsia="zh-CN"/>
              </w:rPr>
            </w:pPr>
            <w:r>
              <w:rPr>
                <w:rFonts w:ascii="宋体" w:hAnsi="宋体"/>
                <w:color w:val="000000"/>
                <w:sz w:val="18"/>
                <w:szCs w:val="18"/>
              </w:rPr>
              <w:t>5</w:t>
            </w:r>
            <w:r>
              <w:rPr>
                <w:rFonts w:ascii="宋体" w:hAnsi="宋体"/>
                <w:sz w:val="18"/>
                <w:szCs w:val="18"/>
              </w:rPr>
              <w:t>μg</w:t>
            </w:r>
            <w:r>
              <w:rPr>
                <w:rFonts w:hint="eastAsia" w:ascii="宋体" w:hAnsi="宋体"/>
                <w:sz w:val="18"/>
                <w:szCs w:val="18"/>
                <w:lang w:val="en-US" w:eastAsia="zh-CN"/>
              </w:rPr>
              <w:t xml:space="preserve"> Mg</w:t>
            </w:r>
          </w:p>
        </w:tc>
        <w:tc>
          <w:tcPr>
            <w:tcW w:w="1428" w:type="dxa"/>
            <w:noWrap w:val="0"/>
            <w:vAlign w:val="bottom"/>
          </w:tcPr>
          <w:p w14:paraId="2ADCDEFD">
            <w:pP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5.00</w:t>
            </w:r>
          </w:p>
        </w:tc>
        <w:tc>
          <w:tcPr>
            <w:tcW w:w="1485" w:type="dxa"/>
            <w:noWrap w:val="0"/>
            <w:vAlign w:val="bottom"/>
          </w:tcPr>
          <w:p w14:paraId="46DB4C06">
            <w:pP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100</w:t>
            </w:r>
          </w:p>
        </w:tc>
        <w:tc>
          <w:tcPr>
            <w:tcW w:w="1815" w:type="dxa"/>
            <w:noWrap w:val="0"/>
            <w:vAlign w:val="bottom"/>
          </w:tcPr>
          <w:p w14:paraId="09A1D30A">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sz w:val="18"/>
                <w:szCs w:val="18"/>
                <w:lang w:val="en-US" w:eastAsia="zh-CN"/>
              </w:rPr>
              <w:t>25</w:t>
            </w:r>
            <w:r>
              <w:rPr>
                <w:rFonts w:ascii="宋体" w:hAnsi="宋体"/>
                <w:sz w:val="18"/>
                <w:szCs w:val="18"/>
              </w:rPr>
              <w:t>µg Si+</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530" w:type="dxa"/>
            <w:tcBorders>
              <w:right w:val="single" w:color="auto" w:sz="12" w:space="0"/>
            </w:tcBorders>
            <w:noWrap w:val="0"/>
            <w:vAlign w:val="bottom"/>
          </w:tcPr>
          <w:p w14:paraId="735B29B0">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4.71</w:t>
            </w:r>
          </w:p>
        </w:tc>
        <w:tc>
          <w:tcPr>
            <w:tcW w:w="1530" w:type="dxa"/>
            <w:tcBorders>
              <w:right w:val="single" w:color="auto" w:sz="12" w:space="0"/>
            </w:tcBorders>
            <w:noWrap w:val="0"/>
            <w:vAlign w:val="bottom"/>
          </w:tcPr>
          <w:p w14:paraId="3974A4C8">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94.2</w:t>
            </w:r>
          </w:p>
        </w:tc>
      </w:tr>
      <w:tr w14:paraId="2501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56" w:type="dxa"/>
            <w:tcBorders>
              <w:left w:val="single" w:color="auto" w:sz="12" w:space="0"/>
            </w:tcBorders>
            <w:noWrap w:val="0"/>
            <w:vAlign w:val="bottom"/>
          </w:tcPr>
          <w:p w14:paraId="42CC1B51">
            <w:pPr>
              <w:spacing w:line="360" w:lineRule="auto"/>
              <w:jc w:val="center"/>
              <w:rPr>
                <w:rFonts w:ascii="宋体" w:hAnsi="宋体"/>
                <w:color w:val="000000"/>
                <w:sz w:val="18"/>
                <w:szCs w:val="18"/>
              </w:rPr>
            </w:pPr>
            <w:r>
              <w:rPr>
                <w:rFonts w:ascii="宋体" w:hAnsi="宋体"/>
                <w:color w:val="000000"/>
                <w:sz w:val="18"/>
                <w:szCs w:val="18"/>
              </w:rPr>
              <w:t>200</w:t>
            </w:r>
            <w:r>
              <w:rPr>
                <w:rFonts w:ascii="宋体" w:hAnsi="宋体"/>
                <w:sz w:val="18"/>
                <w:szCs w:val="18"/>
              </w:rPr>
              <w:t>μg Fe</w:t>
            </w:r>
          </w:p>
        </w:tc>
        <w:tc>
          <w:tcPr>
            <w:tcW w:w="1428" w:type="dxa"/>
            <w:noWrap w:val="0"/>
            <w:vAlign w:val="bottom"/>
          </w:tcPr>
          <w:p w14:paraId="78E845B4">
            <w:pP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0.05</w:t>
            </w:r>
          </w:p>
        </w:tc>
        <w:tc>
          <w:tcPr>
            <w:tcW w:w="1485" w:type="dxa"/>
            <w:noWrap w:val="0"/>
            <w:vAlign w:val="bottom"/>
          </w:tcPr>
          <w:p w14:paraId="53A2CD68">
            <w:pPr>
              <w:spacing w:line="360" w:lineRule="auto"/>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w:t>
            </w:r>
          </w:p>
        </w:tc>
        <w:tc>
          <w:tcPr>
            <w:tcW w:w="1815" w:type="dxa"/>
            <w:noWrap w:val="0"/>
            <w:vAlign w:val="bottom"/>
          </w:tcPr>
          <w:p w14:paraId="67AF05AB">
            <w:pP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sz w:val="18"/>
                <w:szCs w:val="18"/>
                <w:lang w:val="en-US" w:eastAsia="zh-CN"/>
              </w:rPr>
              <w:t>50</w:t>
            </w:r>
            <w:r>
              <w:rPr>
                <w:rFonts w:ascii="宋体" w:hAnsi="宋体"/>
                <w:sz w:val="18"/>
                <w:szCs w:val="18"/>
              </w:rPr>
              <w:t>µg Si</w:t>
            </w:r>
          </w:p>
        </w:tc>
        <w:tc>
          <w:tcPr>
            <w:tcW w:w="1530" w:type="dxa"/>
            <w:tcBorders>
              <w:right w:val="single" w:color="auto" w:sz="12" w:space="0"/>
            </w:tcBorders>
            <w:noWrap w:val="0"/>
            <w:vAlign w:val="bottom"/>
          </w:tcPr>
          <w:p w14:paraId="6451F565">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0.03</w:t>
            </w:r>
          </w:p>
        </w:tc>
        <w:tc>
          <w:tcPr>
            <w:tcW w:w="1530" w:type="dxa"/>
            <w:tcBorders>
              <w:right w:val="single" w:color="auto" w:sz="12" w:space="0"/>
            </w:tcBorders>
            <w:noWrap w:val="0"/>
            <w:vAlign w:val="bottom"/>
          </w:tcPr>
          <w:p w14:paraId="6CEE75FA">
            <w:pP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w:t>
            </w:r>
          </w:p>
        </w:tc>
      </w:tr>
      <w:tr w14:paraId="770B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56" w:type="dxa"/>
            <w:tcBorders>
              <w:left w:val="single" w:color="auto" w:sz="12" w:space="0"/>
            </w:tcBorders>
            <w:noWrap w:val="0"/>
            <w:vAlign w:val="bottom"/>
          </w:tcPr>
          <w:p w14:paraId="32705720">
            <w:pPr>
              <w:spacing w:line="360" w:lineRule="auto"/>
              <w:jc w:val="center"/>
              <w:rPr>
                <w:rFonts w:hint="default" w:ascii="宋体" w:hAnsi="宋体" w:eastAsia="宋体"/>
                <w:color w:val="000000"/>
                <w:sz w:val="18"/>
                <w:szCs w:val="18"/>
                <w:lang w:val="en-US" w:eastAsia="zh-CN"/>
              </w:rPr>
            </w:pPr>
            <w:r>
              <w:rPr>
                <w:rFonts w:ascii="宋体" w:hAnsi="宋体"/>
                <w:color w:val="000000"/>
                <w:sz w:val="18"/>
                <w:szCs w:val="18"/>
              </w:rPr>
              <w:t>200</w:t>
            </w:r>
            <w:r>
              <w:rPr>
                <w:rFonts w:ascii="宋体" w:hAnsi="宋体"/>
                <w:sz w:val="18"/>
                <w:szCs w:val="18"/>
              </w:rPr>
              <w:t>μg Fe+</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428" w:type="dxa"/>
            <w:noWrap w:val="0"/>
            <w:vAlign w:val="bottom"/>
          </w:tcPr>
          <w:p w14:paraId="7CD4CED2">
            <w:pP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4.91</w:t>
            </w:r>
          </w:p>
        </w:tc>
        <w:tc>
          <w:tcPr>
            <w:tcW w:w="1485" w:type="dxa"/>
            <w:noWrap w:val="0"/>
            <w:vAlign w:val="bottom"/>
          </w:tcPr>
          <w:p w14:paraId="23B621C8">
            <w:pP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98.2</w:t>
            </w:r>
          </w:p>
        </w:tc>
        <w:tc>
          <w:tcPr>
            <w:tcW w:w="1815" w:type="dxa"/>
            <w:noWrap w:val="0"/>
            <w:vAlign w:val="bottom"/>
          </w:tcPr>
          <w:p w14:paraId="41A8BB0B">
            <w:pP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sz w:val="18"/>
                <w:szCs w:val="18"/>
                <w:lang w:val="en-US" w:eastAsia="zh-CN"/>
              </w:rPr>
              <w:t>50</w:t>
            </w:r>
            <w:r>
              <w:rPr>
                <w:rFonts w:ascii="宋体" w:hAnsi="宋体"/>
                <w:sz w:val="18"/>
                <w:szCs w:val="18"/>
              </w:rPr>
              <w:t>µg Si+</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530" w:type="dxa"/>
            <w:tcBorders>
              <w:right w:val="single" w:color="auto" w:sz="12" w:space="0"/>
            </w:tcBorders>
            <w:noWrap w:val="0"/>
            <w:vAlign w:val="bottom"/>
          </w:tcPr>
          <w:p w14:paraId="2A8BEA21">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4.04</w:t>
            </w:r>
          </w:p>
        </w:tc>
        <w:tc>
          <w:tcPr>
            <w:tcW w:w="1530" w:type="dxa"/>
            <w:tcBorders>
              <w:right w:val="single" w:color="auto" w:sz="12" w:space="0"/>
            </w:tcBorders>
            <w:noWrap w:val="0"/>
            <w:vAlign w:val="bottom"/>
          </w:tcPr>
          <w:p w14:paraId="10554C2B">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b/>
                <w:bCs/>
                <w:i/>
                <w:iCs/>
                <w:color w:val="000000"/>
                <w:sz w:val="18"/>
                <w:szCs w:val="18"/>
                <w:shd w:val="clear" w:fill="FFFFFF" w:themeFill="background1"/>
                <w:lang w:val="en-US" w:eastAsia="zh-CN"/>
              </w:rPr>
              <w:t>80.8</w:t>
            </w:r>
          </w:p>
        </w:tc>
      </w:tr>
      <w:tr w14:paraId="1CF7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56" w:type="dxa"/>
            <w:tcBorders>
              <w:left w:val="single" w:color="auto" w:sz="12" w:space="0"/>
            </w:tcBorders>
            <w:noWrap w:val="0"/>
            <w:vAlign w:val="bottom"/>
          </w:tcPr>
          <w:p w14:paraId="514DEF75">
            <w:pPr>
              <w:spacing w:line="360" w:lineRule="auto"/>
              <w:jc w:val="center"/>
              <w:rPr>
                <w:rFonts w:ascii="宋体" w:hAnsi="宋体"/>
                <w:color w:val="000000"/>
                <w:sz w:val="18"/>
                <w:szCs w:val="18"/>
              </w:rPr>
            </w:pPr>
            <w:r>
              <w:rPr>
                <w:rFonts w:hint="eastAsia" w:ascii="宋体" w:hAnsi="宋体"/>
                <w:color w:val="000000"/>
                <w:sz w:val="18"/>
                <w:szCs w:val="18"/>
                <w:lang w:val="en-US" w:eastAsia="zh-CN"/>
              </w:rPr>
              <w:t>50</w:t>
            </w:r>
            <w:r>
              <w:rPr>
                <w:rFonts w:ascii="宋体" w:hAnsi="宋体"/>
                <w:sz w:val="18"/>
                <w:szCs w:val="18"/>
              </w:rPr>
              <w:t>μg Ni</w:t>
            </w:r>
          </w:p>
        </w:tc>
        <w:tc>
          <w:tcPr>
            <w:tcW w:w="1428" w:type="dxa"/>
            <w:noWrap w:val="0"/>
            <w:vAlign w:val="bottom"/>
          </w:tcPr>
          <w:p w14:paraId="787F1549">
            <w:pP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0.04</w:t>
            </w:r>
          </w:p>
        </w:tc>
        <w:tc>
          <w:tcPr>
            <w:tcW w:w="1485" w:type="dxa"/>
            <w:noWrap w:val="0"/>
            <w:vAlign w:val="bottom"/>
          </w:tcPr>
          <w:p w14:paraId="24586878">
            <w:pPr>
              <w:spacing w:line="360" w:lineRule="auto"/>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w:t>
            </w:r>
          </w:p>
        </w:tc>
        <w:tc>
          <w:tcPr>
            <w:tcW w:w="1815" w:type="dxa"/>
            <w:noWrap w:val="0"/>
            <w:vAlign w:val="bottom"/>
          </w:tcPr>
          <w:p w14:paraId="4D628316">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sz w:val="18"/>
                <w:szCs w:val="18"/>
                <w:lang w:val="en-US" w:eastAsia="zh-CN"/>
              </w:rPr>
              <w:t>50</w:t>
            </w:r>
            <w:r>
              <w:rPr>
                <w:rFonts w:ascii="宋体" w:hAnsi="宋体"/>
                <w:sz w:val="18"/>
                <w:szCs w:val="18"/>
              </w:rPr>
              <w:t>µg</w:t>
            </w:r>
            <w:r>
              <w:rPr>
                <w:rFonts w:hint="eastAsia" w:ascii="宋体" w:hAnsi="宋体"/>
                <w:sz w:val="18"/>
                <w:szCs w:val="18"/>
                <w:lang w:val="en-US" w:eastAsia="zh-CN"/>
              </w:rPr>
              <w:t>Pb</w:t>
            </w:r>
          </w:p>
        </w:tc>
        <w:tc>
          <w:tcPr>
            <w:tcW w:w="1530" w:type="dxa"/>
            <w:tcBorders>
              <w:right w:val="single" w:color="auto" w:sz="12" w:space="0"/>
            </w:tcBorders>
            <w:noWrap w:val="0"/>
            <w:vAlign w:val="bottom"/>
          </w:tcPr>
          <w:p w14:paraId="7B2DFA77">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0.02</w:t>
            </w:r>
          </w:p>
        </w:tc>
        <w:tc>
          <w:tcPr>
            <w:tcW w:w="1530" w:type="dxa"/>
            <w:tcBorders>
              <w:right w:val="single" w:color="auto" w:sz="12" w:space="0"/>
            </w:tcBorders>
            <w:noWrap w:val="0"/>
            <w:vAlign w:val="bottom"/>
          </w:tcPr>
          <w:p w14:paraId="40C5AED8">
            <w:pP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w:t>
            </w:r>
          </w:p>
        </w:tc>
      </w:tr>
      <w:tr w14:paraId="6FC0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56" w:type="dxa"/>
            <w:tcBorders>
              <w:left w:val="single" w:color="auto" w:sz="12" w:space="0"/>
            </w:tcBorders>
            <w:noWrap w:val="0"/>
            <w:vAlign w:val="bottom"/>
          </w:tcPr>
          <w:p w14:paraId="387530EE">
            <w:pP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50</w:t>
            </w:r>
            <w:r>
              <w:rPr>
                <w:rFonts w:ascii="宋体" w:hAnsi="宋体"/>
                <w:sz w:val="18"/>
                <w:szCs w:val="18"/>
              </w:rPr>
              <w:t>μg Ni+</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428" w:type="dxa"/>
            <w:noWrap w:val="0"/>
            <w:vAlign w:val="bottom"/>
          </w:tcPr>
          <w:p w14:paraId="4345AC8A">
            <w:pP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4.94</w:t>
            </w:r>
          </w:p>
        </w:tc>
        <w:tc>
          <w:tcPr>
            <w:tcW w:w="1485" w:type="dxa"/>
            <w:noWrap w:val="0"/>
            <w:vAlign w:val="bottom"/>
          </w:tcPr>
          <w:p w14:paraId="6C9E8EA5">
            <w:pP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98.8</w:t>
            </w:r>
          </w:p>
        </w:tc>
        <w:tc>
          <w:tcPr>
            <w:tcW w:w="1815" w:type="dxa"/>
            <w:noWrap w:val="0"/>
            <w:vAlign w:val="bottom"/>
          </w:tcPr>
          <w:p w14:paraId="7371A394">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sz w:val="18"/>
                <w:szCs w:val="18"/>
                <w:lang w:val="en-US" w:eastAsia="zh-CN"/>
              </w:rPr>
              <w:t>50</w:t>
            </w:r>
            <w:r>
              <w:rPr>
                <w:rFonts w:ascii="宋体" w:hAnsi="宋体"/>
                <w:sz w:val="18"/>
                <w:szCs w:val="18"/>
              </w:rPr>
              <w:t>µg</w:t>
            </w:r>
            <w:r>
              <w:rPr>
                <w:rFonts w:hint="eastAsia" w:ascii="宋体" w:hAnsi="宋体"/>
                <w:sz w:val="18"/>
                <w:szCs w:val="18"/>
                <w:lang w:val="en-US" w:eastAsia="zh-CN"/>
              </w:rPr>
              <w:t>Pb</w:t>
            </w:r>
            <w:r>
              <w:rPr>
                <w:rFonts w:ascii="宋体" w:hAnsi="宋体"/>
                <w:sz w:val="18"/>
                <w:szCs w:val="18"/>
              </w:rPr>
              <w:t>+</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530" w:type="dxa"/>
            <w:tcBorders>
              <w:right w:val="single" w:color="auto" w:sz="12" w:space="0"/>
            </w:tcBorders>
            <w:noWrap w:val="0"/>
            <w:vAlign w:val="bottom"/>
          </w:tcPr>
          <w:p w14:paraId="25A1FEE0">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4.66</w:t>
            </w:r>
          </w:p>
        </w:tc>
        <w:tc>
          <w:tcPr>
            <w:tcW w:w="1530" w:type="dxa"/>
            <w:tcBorders>
              <w:right w:val="single" w:color="auto" w:sz="12" w:space="0"/>
            </w:tcBorders>
            <w:noWrap w:val="0"/>
            <w:vAlign w:val="bottom"/>
          </w:tcPr>
          <w:p w14:paraId="341E051C">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93.2</w:t>
            </w:r>
          </w:p>
        </w:tc>
      </w:tr>
      <w:tr w14:paraId="346F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56" w:type="dxa"/>
            <w:tcBorders>
              <w:left w:val="single" w:color="auto" w:sz="12" w:space="0"/>
            </w:tcBorders>
            <w:noWrap w:val="0"/>
            <w:vAlign w:val="bottom"/>
          </w:tcPr>
          <w:p w14:paraId="13D6707B">
            <w:pPr>
              <w:spacing w:line="360" w:lineRule="auto"/>
              <w:jc w:val="center"/>
              <w:rPr>
                <w:rFonts w:ascii="宋体" w:hAnsi="宋体"/>
                <w:color w:val="000000"/>
                <w:sz w:val="18"/>
                <w:szCs w:val="18"/>
              </w:rPr>
            </w:pPr>
            <w:r>
              <w:rPr>
                <w:rFonts w:ascii="宋体" w:hAnsi="宋体"/>
                <w:color w:val="000000"/>
                <w:sz w:val="18"/>
                <w:szCs w:val="18"/>
              </w:rPr>
              <w:t>400</w:t>
            </w:r>
            <w:r>
              <w:rPr>
                <w:rFonts w:ascii="宋体" w:hAnsi="宋体"/>
                <w:sz w:val="18"/>
                <w:szCs w:val="18"/>
              </w:rPr>
              <w:t>μg Na</w:t>
            </w:r>
          </w:p>
        </w:tc>
        <w:tc>
          <w:tcPr>
            <w:tcW w:w="1428" w:type="dxa"/>
            <w:noWrap w:val="0"/>
            <w:vAlign w:val="bottom"/>
          </w:tcPr>
          <w:p w14:paraId="06B6AEA6">
            <w:pP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0.06</w:t>
            </w:r>
          </w:p>
        </w:tc>
        <w:tc>
          <w:tcPr>
            <w:tcW w:w="1485" w:type="dxa"/>
            <w:noWrap w:val="0"/>
            <w:vAlign w:val="bottom"/>
          </w:tcPr>
          <w:p w14:paraId="27E2F2F4">
            <w:pPr>
              <w:spacing w:line="360" w:lineRule="auto"/>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w:t>
            </w:r>
          </w:p>
        </w:tc>
        <w:tc>
          <w:tcPr>
            <w:tcW w:w="1815" w:type="dxa"/>
            <w:noWrap w:val="0"/>
            <w:vAlign w:val="bottom"/>
          </w:tcPr>
          <w:p w14:paraId="67AEAC5C">
            <w:pPr>
              <w:spacing w:line="360" w:lineRule="auto"/>
              <w:jc w:val="center"/>
              <w:rPr>
                <w:rFonts w:ascii="宋体" w:hAnsi="宋体" w:eastAsia="宋体" w:cs="Times New Roman"/>
                <w:kern w:val="2"/>
                <w:sz w:val="18"/>
                <w:szCs w:val="18"/>
                <w:lang w:val="en-US" w:eastAsia="zh-CN" w:bidi="ar-SA"/>
              </w:rPr>
            </w:pPr>
            <w:r>
              <w:rPr>
                <w:rFonts w:ascii="宋体" w:hAnsi="宋体"/>
                <w:sz w:val="18"/>
                <w:szCs w:val="18"/>
              </w:rPr>
              <w:t>200µgK</w:t>
            </w:r>
          </w:p>
        </w:tc>
        <w:tc>
          <w:tcPr>
            <w:tcW w:w="1530" w:type="dxa"/>
            <w:tcBorders>
              <w:right w:val="single" w:color="auto" w:sz="12" w:space="0"/>
            </w:tcBorders>
            <w:noWrap w:val="0"/>
            <w:vAlign w:val="bottom"/>
          </w:tcPr>
          <w:p w14:paraId="24C5785B">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0.02</w:t>
            </w:r>
          </w:p>
        </w:tc>
        <w:tc>
          <w:tcPr>
            <w:tcW w:w="1530" w:type="dxa"/>
            <w:tcBorders>
              <w:right w:val="single" w:color="auto" w:sz="12" w:space="0"/>
            </w:tcBorders>
            <w:noWrap w:val="0"/>
            <w:vAlign w:val="bottom"/>
          </w:tcPr>
          <w:p w14:paraId="0B202E1F">
            <w:pP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w:t>
            </w:r>
          </w:p>
        </w:tc>
      </w:tr>
      <w:tr w14:paraId="2F9A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56" w:type="dxa"/>
            <w:tcBorders>
              <w:left w:val="single" w:color="auto" w:sz="12" w:space="0"/>
            </w:tcBorders>
            <w:noWrap w:val="0"/>
            <w:vAlign w:val="bottom"/>
          </w:tcPr>
          <w:p w14:paraId="75EB5BD9">
            <w:pPr>
              <w:spacing w:line="360" w:lineRule="auto"/>
              <w:jc w:val="center"/>
              <w:rPr>
                <w:rFonts w:hint="default" w:ascii="宋体" w:hAnsi="宋体" w:eastAsia="宋体"/>
                <w:color w:val="000000"/>
                <w:sz w:val="18"/>
                <w:szCs w:val="18"/>
                <w:lang w:val="en-US" w:eastAsia="zh-CN"/>
              </w:rPr>
            </w:pPr>
            <w:r>
              <w:rPr>
                <w:rFonts w:ascii="宋体" w:hAnsi="宋体"/>
                <w:color w:val="000000"/>
                <w:sz w:val="18"/>
                <w:szCs w:val="18"/>
              </w:rPr>
              <w:t>400</w:t>
            </w:r>
            <w:r>
              <w:rPr>
                <w:rFonts w:ascii="宋体" w:hAnsi="宋体"/>
                <w:sz w:val="18"/>
                <w:szCs w:val="18"/>
              </w:rPr>
              <w:t>μg Na+</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428" w:type="dxa"/>
            <w:noWrap w:val="0"/>
            <w:vAlign w:val="bottom"/>
          </w:tcPr>
          <w:p w14:paraId="20BB485A">
            <w:pP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5.04</w:t>
            </w:r>
          </w:p>
        </w:tc>
        <w:tc>
          <w:tcPr>
            <w:tcW w:w="1485" w:type="dxa"/>
            <w:noWrap w:val="0"/>
            <w:vAlign w:val="bottom"/>
          </w:tcPr>
          <w:p w14:paraId="48C84EE7">
            <w:pP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100.8</w:t>
            </w:r>
          </w:p>
        </w:tc>
        <w:tc>
          <w:tcPr>
            <w:tcW w:w="1815" w:type="dxa"/>
            <w:noWrap w:val="0"/>
            <w:vAlign w:val="bottom"/>
          </w:tcPr>
          <w:p w14:paraId="0D9FE66A">
            <w:pPr>
              <w:spacing w:line="360" w:lineRule="auto"/>
              <w:jc w:val="center"/>
              <w:rPr>
                <w:rFonts w:hint="default" w:ascii="宋体" w:hAnsi="宋体" w:eastAsia="宋体" w:cs="Times New Roman"/>
                <w:kern w:val="2"/>
                <w:sz w:val="18"/>
                <w:szCs w:val="18"/>
                <w:lang w:val="en-US" w:eastAsia="zh-CN" w:bidi="ar-SA"/>
              </w:rPr>
            </w:pPr>
            <w:r>
              <w:rPr>
                <w:rFonts w:ascii="宋体" w:hAnsi="宋体"/>
                <w:sz w:val="18"/>
                <w:szCs w:val="18"/>
              </w:rPr>
              <w:t>200µgK+</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530" w:type="dxa"/>
            <w:tcBorders>
              <w:right w:val="single" w:color="auto" w:sz="12" w:space="0"/>
            </w:tcBorders>
            <w:noWrap w:val="0"/>
            <w:vAlign w:val="bottom"/>
          </w:tcPr>
          <w:p w14:paraId="4BAA7EA6">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5.04</w:t>
            </w:r>
          </w:p>
        </w:tc>
        <w:tc>
          <w:tcPr>
            <w:tcW w:w="1530" w:type="dxa"/>
            <w:tcBorders>
              <w:right w:val="single" w:color="auto" w:sz="12" w:space="0"/>
            </w:tcBorders>
            <w:noWrap w:val="0"/>
            <w:vAlign w:val="bottom"/>
          </w:tcPr>
          <w:p w14:paraId="40B4A782">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100.8</w:t>
            </w:r>
          </w:p>
        </w:tc>
      </w:tr>
      <w:tr w14:paraId="68DF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56" w:type="dxa"/>
            <w:tcBorders>
              <w:left w:val="single" w:color="auto" w:sz="12" w:space="0"/>
            </w:tcBorders>
            <w:noWrap w:val="0"/>
            <w:vAlign w:val="bottom"/>
          </w:tcPr>
          <w:p w14:paraId="176DFD60">
            <w:pPr>
              <w:spacing w:line="360" w:lineRule="auto"/>
              <w:jc w:val="center"/>
              <w:rPr>
                <w:rFonts w:ascii="宋体" w:hAnsi="宋体"/>
                <w:color w:val="000000"/>
                <w:sz w:val="18"/>
                <w:szCs w:val="18"/>
              </w:rPr>
            </w:pPr>
            <w:r>
              <w:rPr>
                <w:rFonts w:hint="eastAsia" w:ascii="宋体" w:hAnsi="宋体"/>
                <w:sz w:val="18"/>
                <w:szCs w:val="18"/>
                <w:lang w:val="en-US" w:eastAsia="zh-CN"/>
              </w:rPr>
              <w:t>5</w:t>
            </w:r>
            <w:r>
              <w:rPr>
                <w:rFonts w:ascii="宋体" w:hAnsi="宋体"/>
                <w:sz w:val="18"/>
                <w:szCs w:val="18"/>
              </w:rPr>
              <w:t>0µgCu</w:t>
            </w:r>
          </w:p>
        </w:tc>
        <w:tc>
          <w:tcPr>
            <w:tcW w:w="1428" w:type="dxa"/>
            <w:noWrap w:val="0"/>
            <w:vAlign w:val="bottom"/>
          </w:tcPr>
          <w:p w14:paraId="2A225248">
            <w:pP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0.07</w:t>
            </w:r>
          </w:p>
        </w:tc>
        <w:tc>
          <w:tcPr>
            <w:tcW w:w="1485" w:type="dxa"/>
            <w:noWrap w:val="0"/>
            <w:vAlign w:val="bottom"/>
          </w:tcPr>
          <w:p w14:paraId="76AD368F">
            <w:pPr>
              <w:spacing w:line="360" w:lineRule="auto"/>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w:t>
            </w:r>
          </w:p>
        </w:tc>
        <w:tc>
          <w:tcPr>
            <w:tcW w:w="1815" w:type="dxa"/>
            <w:noWrap w:val="0"/>
            <w:vAlign w:val="bottom"/>
          </w:tcPr>
          <w:p w14:paraId="23D8655D">
            <w:pPr>
              <w:spacing w:line="360" w:lineRule="auto"/>
              <w:jc w:val="center"/>
              <w:rPr>
                <w:rFonts w:ascii="宋体" w:hAnsi="宋体" w:eastAsia="宋体" w:cs="Times New Roman"/>
                <w:kern w:val="2"/>
                <w:sz w:val="18"/>
                <w:szCs w:val="18"/>
                <w:lang w:val="en-US" w:eastAsia="zh-CN" w:bidi="ar-SA"/>
              </w:rPr>
            </w:pPr>
            <w:r>
              <w:rPr>
                <w:rFonts w:hint="eastAsia" w:ascii="宋体" w:hAnsi="宋体"/>
                <w:sz w:val="18"/>
                <w:szCs w:val="18"/>
                <w:lang w:val="en-US" w:eastAsia="zh-CN"/>
              </w:rPr>
              <w:t>50</w:t>
            </w:r>
            <w:r>
              <w:rPr>
                <w:rFonts w:ascii="宋体" w:hAnsi="宋体"/>
                <w:sz w:val="18"/>
                <w:szCs w:val="18"/>
              </w:rPr>
              <w:t>µgAl</w:t>
            </w:r>
          </w:p>
        </w:tc>
        <w:tc>
          <w:tcPr>
            <w:tcW w:w="1530" w:type="dxa"/>
            <w:tcBorders>
              <w:right w:val="single" w:color="auto" w:sz="12" w:space="0"/>
            </w:tcBorders>
            <w:noWrap w:val="0"/>
            <w:vAlign w:val="bottom"/>
          </w:tcPr>
          <w:p w14:paraId="676D2464">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0.04</w:t>
            </w:r>
          </w:p>
        </w:tc>
        <w:tc>
          <w:tcPr>
            <w:tcW w:w="1530" w:type="dxa"/>
            <w:tcBorders>
              <w:right w:val="single" w:color="auto" w:sz="12" w:space="0"/>
            </w:tcBorders>
            <w:noWrap w:val="0"/>
            <w:vAlign w:val="bottom"/>
          </w:tcPr>
          <w:p w14:paraId="134A2D64">
            <w:pP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w:t>
            </w:r>
          </w:p>
        </w:tc>
      </w:tr>
      <w:tr w14:paraId="69F0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56" w:type="dxa"/>
            <w:tcBorders>
              <w:left w:val="single" w:color="auto" w:sz="12" w:space="0"/>
            </w:tcBorders>
            <w:noWrap w:val="0"/>
            <w:vAlign w:val="bottom"/>
          </w:tcPr>
          <w:p w14:paraId="144E7265">
            <w:pPr>
              <w:spacing w:line="360" w:lineRule="auto"/>
              <w:jc w:val="center"/>
              <w:rPr>
                <w:rFonts w:hint="default" w:ascii="宋体" w:hAnsi="宋体" w:eastAsia="宋体"/>
                <w:color w:val="000000"/>
                <w:sz w:val="18"/>
                <w:szCs w:val="18"/>
                <w:lang w:val="en-US" w:eastAsia="zh-CN"/>
              </w:rPr>
            </w:pPr>
            <w:r>
              <w:rPr>
                <w:rFonts w:hint="eastAsia" w:ascii="宋体" w:hAnsi="宋体"/>
                <w:sz w:val="18"/>
                <w:szCs w:val="18"/>
                <w:lang w:val="en-US" w:eastAsia="zh-CN"/>
              </w:rPr>
              <w:t>5</w:t>
            </w:r>
            <w:r>
              <w:rPr>
                <w:rFonts w:ascii="宋体" w:hAnsi="宋体"/>
                <w:sz w:val="18"/>
                <w:szCs w:val="18"/>
              </w:rPr>
              <w:t>0µgCu+</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428" w:type="dxa"/>
            <w:noWrap w:val="0"/>
            <w:vAlign w:val="bottom"/>
          </w:tcPr>
          <w:p w14:paraId="20D4E069">
            <w:pP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4.59</w:t>
            </w:r>
          </w:p>
        </w:tc>
        <w:tc>
          <w:tcPr>
            <w:tcW w:w="1485" w:type="dxa"/>
            <w:noWrap w:val="0"/>
            <w:vAlign w:val="bottom"/>
          </w:tcPr>
          <w:p w14:paraId="033DC99D">
            <w:pP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91.8</w:t>
            </w:r>
          </w:p>
        </w:tc>
        <w:tc>
          <w:tcPr>
            <w:tcW w:w="1815" w:type="dxa"/>
            <w:noWrap w:val="0"/>
            <w:vAlign w:val="bottom"/>
          </w:tcPr>
          <w:p w14:paraId="699A546E">
            <w:pPr>
              <w:spacing w:line="360" w:lineRule="auto"/>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50</w:t>
            </w:r>
            <w:r>
              <w:rPr>
                <w:rFonts w:ascii="宋体" w:hAnsi="宋体"/>
                <w:sz w:val="18"/>
                <w:szCs w:val="18"/>
              </w:rPr>
              <w:t>µgAl+</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530" w:type="dxa"/>
            <w:tcBorders>
              <w:right w:val="single" w:color="auto" w:sz="12" w:space="0"/>
            </w:tcBorders>
            <w:noWrap w:val="0"/>
            <w:vAlign w:val="bottom"/>
          </w:tcPr>
          <w:p w14:paraId="6DEB65EB">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3.13</w:t>
            </w:r>
          </w:p>
        </w:tc>
        <w:tc>
          <w:tcPr>
            <w:tcW w:w="1530" w:type="dxa"/>
            <w:tcBorders>
              <w:right w:val="single" w:color="auto" w:sz="12" w:space="0"/>
            </w:tcBorders>
            <w:noWrap w:val="0"/>
            <w:vAlign w:val="bottom"/>
          </w:tcPr>
          <w:p w14:paraId="4A1A55AD">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b/>
                <w:bCs/>
                <w:i/>
                <w:iCs/>
                <w:color w:val="000000"/>
                <w:sz w:val="18"/>
                <w:szCs w:val="18"/>
                <w:lang w:val="en-US" w:eastAsia="zh-CN"/>
              </w:rPr>
              <w:t>62.6</w:t>
            </w:r>
          </w:p>
        </w:tc>
      </w:tr>
      <w:tr w14:paraId="10D5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56" w:type="dxa"/>
            <w:tcBorders>
              <w:left w:val="single" w:color="auto" w:sz="12" w:space="0"/>
            </w:tcBorders>
            <w:noWrap w:val="0"/>
            <w:vAlign w:val="bottom"/>
          </w:tcPr>
          <w:p w14:paraId="1C4F4D22">
            <w:pPr>
              <w:spacing w:line="360" w:lineRule="auto"/>
              <w:jc w:val="center"/>
              <w:rPr>
                <w:rFonts w:ascii="宋体" w:hAnsi="宋体"/>
                <w:color w:val="000000"/>
                <w:sz w:val="18"/>
                <w:szCs w:val="18"/>
              </w:rPr>
            </w:pPr>
            <w:r>
              <w:rPr>
                <w:rFonts w:hint="eastAsia" w:ascii="宋体" w:hAnsi="宋体"/>
                <w:color w:val="000000"/>
                <w:sz w:val="18"/>
                <w:szCs w:val="18"/>
                <w:lang w:val="en-US" w:eastAsia="zh-CN"/>
              </w:rPr>
              <w:t>5</w:t>
            </w:r>
            <w:r>
              <w:rPr>
                <w:rFonts w:ascii="宋体" w:hAnsi="宋体"/>
                <w:color w:val="000000"/>
                <w:sz w:val="18"/>
                <w:szCs w:val="18"/>
              </w:rPr>
              <w:t>0</w:t>
            </w:r>
            <w:r>
              <w:rPr>
                <w:rFonts w:ascii="宋体" w:hAnsi="宋体"/>
                <w:sz w:val="18"/>
                <w:szCs w:val="18"/>
              </w:rPr>
              <w:t>μg Zn</w:t>
            </w:r>
          </w:p>
        </w:tc>
        <w:tc>
          <w:tcPr>
            <w:tcW w:w="1428" w:type="dxa"/>
            <w:noWrap w:val="0"/>
            <w:vAlign w:val="bottom"/>
          </w:tcPr>
          <w:p w14:paraId="02DF90CA">
            <w:pP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0.09</w:t>
            </w:r>
          </w:p>
        </w:tc>
        <w:tc>
          <w:tcPr>
            <w:tcW w:w="1485" w:type="dxa"/>
            <w:noWrap w:val="0"/>
            <w:vAlign w:val="bottom"/>
          </w:tcPr>
          <w:p w14:paraId="494A9D1C">
            <w:pPr>
              <w:spacing w:line="360" w:lineRule="auto"/>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w:t>
            </w:r>
          </w:p>
        </w:tc>
        <w:tc>
          <w:tcPr>
            <w:tcW w:w="1815" w:type="dxa"/>
            <w:noWrap w:val="0"/>
            <w:vAlign w:val="bottom"/>
          </w:tcPr>
          <w:p w14:paraId="11499409">
            <w:pPr>
              <w:spacing w:line="360" w:lineRule="auto"/>
              <w:jc w:val="center"/>
              <w:rPr>
                <w:rFonts w:hint="default" w:ascii="宋体" w:hAnsi="宋体" w:eastAsia="宋体" w:cs="Times New Roman"/>
                <w:kern w:val="2"/>
                <w:sz w:val="18"/>
                <w:szCs w:val="18"/>
                <w:lang w:val="en-US" w:eastAsia="zh-CN" w:bidi="ar-SA"/>
              </w:rPr>
            </w:pPr>
            <w:r>
              <w:rPr>
                <w:rFonts w:ascii="宋体" w:hAnsi="宋体"/>
                <w:sz w:val="18"/>
                <w:szCs w:val="18"/>
              </w:rPr>
              <w:t>400µg</w:t>
            </w:r>
            <w:r>
              <w:rPr>
                <w:rFonts w:hint="eastAsia" w:ascii="宋体" w:hAnsi="宋体"/>
                <w:sz w:val="18"/>
                <w:szCs w:val="18"/>
                <w:lang w:val="en-US" w:eastAsia="zh-CN"/>
              </w:rPr>
              <w:t>Ca</w:t>
            </w:r>
          </w:p>
        </w:tc>
        <w:tc>
          <w:tcPr>
            <w:tcW w:w="1530" w:type="dxa"/>
            <w:tcBorders>
              <w:right w:val="single" w:color="auto" w:sz="12" w:space="0"/>
            </w:tcBorders>
            <w:noWrap w:val="0"/>
            <w:vAlign w:val="bottom"/>
          </w:tcPr>
          <w:p w14:paraId="62B751F3">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0.05</w:t>
            </w:r>
          </w:p>
        </w:tc>
        <w:tc>
          <w:tcPr>
            <w:tcW w:w="1530" w:type="dxa"/>
            <w:tcBorders>
              <w:right w:val="single" w:color="auto" w:sz="12" w:space="0"/>
            </w:tcBorders>
            <w:noWrap w:val="0"/>
            <w:vAlign w:val="bottom"/>
          </w:tcPr>
          <w:p w14:paraId="582387D6">
            <w:pP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w:t>
            </w:r>
          </w:p>
        </w:tc>
      </w:tr>
      <w:tr w14:paraId="5B3C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56" w:type="dxa"/>
            <w:tcBorders>
              <w:left w:val="single" w:color="auto" w:sz="12" w:space="0"/>
              <w:bottom w:val="single" w:color="auto" w:sz="12" w:space="0"/>
            </w:tcBorders>
            <w:noWrap w:val="0"/>
            <w:vAlign w:val="bottom"/>
          </w:tcPr>
          <w:p w14:paraId="5601077C">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r>
              <w:rPr>
                <w:rFonts w:ascii="宋体" w:hAnsi="宋体"/>
                <w:color w:val="000000"/>
                <w:sz w:val="18"/>
                <w:szCs w:val="18"/>
              </w:rPr>
              <w:t>0</w:t>
            </w:r>
            <w:r>
              <w:rPr>
                <w:rFonts w:ascii="宋体" w:hAnsi="宋体"/>
                <w:sz w:val="18"/>
                <w:szCs w:val="18"/>
              </w:rPr>
              <w:t>μg Zn+</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428" w:type="dxa"/>
            <w:tcBorders>
              <w:bottom w:val="single" w:color="auto" w:sz="12" w:space="0"/>
            </w:tcBorders>
            <w:noWrap w:val="0"/>
            <w:vAlign w:val="bottom"/>
          </w:tcPr>
          <w:p w14:paraId="40590922">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4.52</w:t>
            </w:r>
          </w:p>
        </w:tc>
        <w:tc>
          <w:tcPr>
            <w:tcW w:w="1485" w:type="dxa"/>
            <w:tcBorders>
              <w:bottom w:val="single" w:color="auto" w:sz="12" w:space="0"/>
            </w:tcBorders>
            <w:noWrap w:val="0"/>
            <w:vAlign w:val="bottom"/>
          </w:tcPr>
          <w:p w14:paraId="1A84BECE">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90.4</w:t>
            </w:r>
          </w:p>
        </w:tc>
        <w:tc>
          <w:tcPr>
            <w:tcW w:w="1815" w:type="dxa"/>
            <w:tcBorders>
              <w:bottom w:val="single" w:color="auto" w:sz="12" w:space="0"/>
            </w:tcBorders>
            <w:noWrap w:val="0"/>
            <w:vAlign w:val="bottom"/>
          </w:tcPr>
          <w:p w14:paraId="1A96155A">
            <w:pPr>
              <w:spacing w:line="360" w:lineRule="auto"/>
              <w:jc w:val="center"/>
              <w:rPr>
                <w:rFonts w:hint="default" w:ascii="宋体" w:hAnsi="宋体" w:eastAsia="宋体" w:cs="Times New Roman"/>
                <w:kern w:val="2"/>
                <w:sz w:val="18"/>
                <w:szCs w:val="18"/>
                <w:lang w:val="en-US" w:eastAsia="zh-CN" w:bidi="ar-SA"/>
              </w:rPr>
            </w:pPr>
            <w:r>
              <w:rPr>
                <w:rFonts w:ascii="宋体" w:hAnsi="宋体"/>
                <w:sz w:val="18"/>
                <w:szCs w:val="18"/>
              </w:rPr>
              <w:t>400µg</w:t>
            </w:r>
            <w:r>
              <w:rPr>
                <w:rFonts w:hint="eastAsia" w:ascii="宋体" w:hAnsi="宋体"/>
                <w:sz w:val="18"/>
                <w:szCs w:val="18"/>
                <w:lang w:val="en-US" w:eastAsia="zh-CN"/>
              </w:rPr>
              <w:t>Ca</w:t>
            </w:r>
            <w:r>
              <w:rPr>
                <w:rFonts w:ascii="宋体" w:hAnsi="宋体"/>
                <w:sz w:val="18"/>
                <w:szCs w:val="18"/>
              </w:rPr>
              <w:t>+</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530" w:type="dxa"/>
            <w:tcBorders>
              <w:bottom w:val="single" w:color="auto" w:sz="12" w:space="0"/>
              <w:right w:val="single" w:color="auto" w:sz="12" w:space="0"/>
            </w:tcBorders>
            <w:noWrap w:val="0"/>
            <w:vAlign w:val="bottom"/>
          </w:tcPr>
          <w:p w14:paraId="1F0A6312">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4.95</w:t>
            </w:r>
          </w:p>
        </w:tc>
        <w:tc>
          <w:tcPr>
            <w:tcW w:w="1530" w:type="dxa"/>
            <w:tcBorders>
              <w:bottom w:val="single" w:color="auto" w:sz="12" w:space="0"/>
              <w:right w:val="single" w:color="auto" w:sz="12" w:space="0"/>
            </w:tcBorders>
            <w:noWrap w:val="0"/>
            <w:vAlign w:val="bottom"/>
          </w:tcPr>
          <w:p w14:paraId="0EB49F2D">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99.0</w:t>
            </w:r>
          </w:p>
        </w:tc>
      </w:tr>
    </w:tbl>
    <w:p w14:paraId="301523E0">
      <w:pPr>
        <w:spacing w:line="360" w:lineRule="auto"/>
        <w:ind w:firstLine="210" w:firstLineChars="1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在镁标准溶液中分别加入其他非稀土元素</w:t>
      </w:r>
      <w:r>
        <w:rPr>
          <w:rFonts w:hint="eastAsia" w:ascii="宋体" w:hAnsi="宋体" w:cs="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200µgFe、</w:t>
      </w:r>
      <w:r>
        <w:rPr>
          <w:rFonts w:hint="eastAsia" w:ascii="宋体" w:hAnsi="宋体"/>
          <w:color w:val="000000" w:themeColor="text1"/>
          <w:lang w:val="en-US" w:eastAsia="zh-CN"/>
          <w14:textFill>
            <w14:solidFill>
              <w14:schemeClr w14:val="tx1"/>
            </w14:solidFill>
          </w14:textFill>
        </w:rPr>
        <w:t>5</w:t>
      </w:r>
      <w:r>
        <w:rPr>
          <w:rFonts w:ascii="宋体" w:hAnsi="宋体"/>
          <w:color w:val="000000" w:themeColor="text1"/>
          <w14:textFill>
            <w14:solidFill>
              <w14:schemeClr w14:val="tx1"/>
            </w14:solidFill>
          </w14:textFill>
        </w:rPr>
        <w:t>0µgNi、</w:t>
      </w:r>
      <w:r>
        <w:rPr>
          <w:rFonts w:hint="eastAsia" w:ascii="宋体" w:hAnsi="宋体"/>
          <w:color w:val="000000" w:themeColor="text1"/>
          <w:lang w:val="en-US" w:eastAsia="zh-CN"/>
          <w14:textFill>
            <w14:solidFill>
              <w14:schemeClr w14:val="tx1"/>
            </w14:solidFill>
          </w14:textFill>
        </w:rPr>
        <w:t>5</w:t>
      </w:r>
      <w:r>
        <w:rPr>
          <w:rFonts w:ascii="宋体" w:hAnsi="宋体"/>
          <w:color w:val="000000" w:themeColor="text1"/>
          <w14:textFill>
            <w14:solidFill>
              <w14:schemeClr w14:val="tx1"/>
            </w14:solidFill>
          </w14:textFill>
        </w:rPr>
        <w:t>0µgCu、</w:t>
      </w:r>
      <w:r>
        <w:rPr>
          <w:rFonts w:hint="eastAsia" w:ascii="宋体" w:hAnsi="宋体"/>
          <w:color w:val="000000" w:themeColor="text1"/>
          <w:lang w:val="en-US" w:eastAsia="zh-CN"/>
          <w14:textFill>
            <w14:solidFill>
              <w14:schemeClr w14:val="tx1"/>
            </w14:solidFill>
          </w14:textFill>
        </w:rPr>
        <w:t>5</w:t>
      </w:r>
      <w:r>
        <w:rPr>
          <w:rFonts w:ascii="宋体" w:hAnsi="宋体"/>
          <w:color w:val="000000" w:themeColor="text1"/>
          <w14:textFill>
            <w14:solidFill>
              <w14:schemeClr w14:val="tx1"/>
            </w14:solidFill>
          </w14:textFill>
        </w:rPr>
        <w:t>0µgZn、</w:t>
      </w:r>
      <w:r>
        <w:rPr>
          <w:rFonts w:hint="eastAsia" w:ascii="宋体" w:hAnsi="宋体"/>
          <w:color w:val="000000" w:themeColor="text1"/>
          <w:lang w:val="en-US" w:eastAsia="zh-CN"/>
          <w14:textFill>
            <w14:solidFill>
              <w14:schemeClr w14:val="tx1"/>
            </w14:solidFill>
          </w14:textFill>
        </w:rPr>
        <w:t>25</w:t>
      </w:r>
      <w:r>
        <w:rPr>
          <w:rFonts w:ascii="宋体" w:hAnsi="宋体"/>
          <w:color w:val="000000" w:themeColor="text1"/>
          <w14:textFill>
            <w14:solidFill>
              <w14:schemeClr w14:val="tx1"/>
            </w14:solidFill>
          </w14:textFill>
        </w:rPr>
        <w:t>µgSi</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lang w:val="en-US" w:eastAsia="zh-CN"/>
          <w14:textFill>
            <w14:solidFill>
              <w14:schemeClr w14:val="tx1"/>
            </w14:solidFill>
          </w14:textFill>
        </w:rPr>
        <w:t>50</w:t>
      </w:r>
      <w:r>
        <w:rPr>
          <w:rFonts w:ascii="宋体" w:hAnsi="宋体"/>
          <w:color w:val="000000" w:themeColor="text1"/>
          <w14:textFill>
            <w14:solidFill>
              <w14:schemeClr w14:val="tx1"/>
            </w14:solidFill>
          </w14:textFill>
        </w:rPr>
        <w:t>µgSi、</w:t>
      </w:r>
      <w:r>
        <w:rPr>
          <w:rFonts w:hint="eastAsia" w:ascii="宋体" w:hAnsi="宋体"/>
          <w:color w:val="000000" w:themeColor="text1"/>
          <w:lang w:val="en-US" w:eastAsia="zh-CN"/>
          <w14:textFill>
            <w14:solidFill>
              <w14:schemeClr w14:val="tx1"/>
            </w14:solidFill>
          </w14:textFill>
        </w:rPr>
        <w:t>5</w:t>
      </w:r>
      <w:r>
        <w:rPr>
          <w:rFonts w:ascii="宋体" w:hAnsi="宋体"/>
          <w:color w:val="000000" w:themeColor="text1"/>
          <w14:textFill>
            <w14:solidFill>
              <w14:schemeClr w14:val="tx1"/>
            </w14:solidFill>
          </w14:textFill>
        </w:rPr>
        <w:t>0µg</w:t>
      </w:r>
      <w:r>
        <w:rPr>
          <w:rFonts w:hint="eastAsia" w:ascii="宋体" w:hAnsi="宋体"/>
          <w:color w:val="000000" w:themeColor="text1"/>
          <w:lang w:val="en-US" w:eastAsia="zh-CN"/>
          <w14:textFill>
            <w14:solidFill>
              <w14:schemeClr w14:val="tx1"/>
            </w14:solidFill>
          </w14:textFill>
        </w:rPr>
        <w:t>Pb</w:t>
      </w:r>
      <w:r>
        <w:rPr>
          <w:rFonts w:ascii="宋体" w:hAnsi="宋体"/>
          <w:color w:val="000000" w:themeColor="text1"/>
          <w14:textFill>
            <w14:solidFill>
              <w14:schemeClr w14:val="tx1"/>
            </w14:solidFill>
          </w14:textFill>
        </w:rPr>
        <w:t>、200µgK、</w:t>
      </w:r>
      <w:r>
        <w:rPr>
          <w:rFonts w:hint="eastAsia" w:ascii="宋体" w:hAnsi="宋体"/>
          <w:color w:val="000000" w:themeColor="text1"/>
          <w:lang w:val="en-US" w:eastAsia="zh-CN"/>
          <w14:textFill>
            <w14:solidFill>
              <w14:schemeClr w14:val="tx1"/>
            </w14:solidFill>
          </w14:textFill>
        </w:rPr>
        <w:t>5</w:t>
      </w:r>
      <w:r>
        <w:rPr>
          <w:rFonts w:ascii="宋体" w:hAnsi="宋体"/>
          <w:color w:val="000000" w:themeColor="text1"/>
          <w14:textFill>
            <w14:solidFill>
              <w14:schemeClr w14:val="tx1"/>
            </w14:solidFill>
          </w14:textFill>
        </w:rPr>
        <w:t>0µgAl、400µg</w:t>
      </w:r>
      <w:r>
        <w:rPr>
          <w:rFonts w:hint="eastAsia" w:ascii="宋体" w:hAnsi="宋体"/>
          <w:color w:val="000000" w:themeColor="text1"/>
          <w:lang w:val="en-US" w:eastAsia="zh-CN"/>
          <w14:textFill>
            <w14:solidFill>
              <w14:schemeClr w14:val="tx1"/>
            </w14:solidFill>
          </w14:textFill>
        </w:rPr>
        <w:t>Ca</w:t>
      </w:r>
      <w:r>
        <w:rPr>
          <w:rFonts w:ascii="宋体" w:hAnsi="宋体"/>
          <w:color w:val="000000" w:themeColor="text1"/>
          <w14:textFill>
            <w14:solidFill>
              <w14:schemeClr w14:val="tx1"/>
            </w14:solidFill>
          </w14:textFill>
        </w:rPr>
        <w:t>、400µgNa</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eastAsia="zh-CN"/>
          <w14:textFill>
            <w14:solidFill>
              <w14:schemeClr w14:val="tx1"/>
            </w14:solidFill>
          </w14:textFill>
        </w:rPr>
        <w:t>在镁波长处</w:t>
      </w:r>
      <w:r>
        <w:rPr>
          <w:rFonts w:hint="eastAsia" w:ascii="宋体" w:hAnsi="宋体" w:cs="宋体"/>
          <w:color w:val="000000" w:themeColor="text1"/>
          <w14:textFill>
            <w14:solidFill>
              <w14:schemeClr w14:val="tx1"/>
            </w14:solidFill>
          </w14:textFill>
        </w:rPr>
        <w:t>进行检测</w:t>
      </w:r>
      <w:r>
        <w:rPr>
          <w:rFonts w:hint="eastAsia" w:ascii="宋体" w:hAnsi="宋体" w:cs="宋体"/>
          <w:color w:val="000000" w:themeColor="text1"/>
          <w:highlight w:val="none"/>
          <w:lang w:eastAsia="zh-CN"/>
          <w14:textFill>
            <w14:solidFill>
              <w14:schemeClr w14:val="tx1"/>
            </w14:solidFill>
          </w14:textFill>
        </w:rPr>
        <w:t>，</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lang w:eastAsia="zh-CN"/>
          <w14:textFill>
            <w14:solidFill>
              <w14:schemeClr w14:val="tx1"/>
            </w14:solidFill>
          </w14:textFill>
        </w:rPr>
        <w:t>可以看到</w:t>
      </w:r>
      <w:r>
        <w:rPr>
          <w:rFonts w:hint="eastAsia" w:ascii="宋体" w:hAnsi="宋体"/>
          <w:color w:val="000000" w:themeColor="text1"/>
          <w:highlight w:val="none"/>
          <w:lang w:val="en-US" w:eastAsia="zh-CN"/>
          <w14:textFill>
            <w14:solidFill>
              <w14:schemeClr w14:val="tx1"/>
            </w14:solidFill>
          </w14:textFill>
        </w:rPr>
        <w:t>50</w:t>
      </w:r>
      <w:r>
        <w:rPr>
          <w:rFonts w:ascii="宋体" w:hAnsi="宋体"/>
          <w:color w:val="000000" w:themeColor="text1"/>
          <w:highlight w:val="none"/>
          <w14:textFill>
            <w14:solidFill>
              <w14:schemeClr w14:val="tx1"/>
            </w14:solidFill>
          </w14:textFill>
        </w:rPr>
        <w:t>µgSi</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5</w:t>
      </w:r>
      <w:r>
        <w:rPr>
          <w:rFonts w:ascii="宋体" w:hAnsi="宋体"/>
          <w:color w:val="000000" w:themeColor="text1"/>
          <w:highlight w:val="none"/>
          <w14:textFill>
            <w14:solidFill>
              <w14:schemeClr w14:val="tx1"/>
            </w14:solidFill>
          </w14:textFill>
        </w:rPr>
        <w:t>0µgAl</w:t>
      </w:r>
      <w:r>
        <w:rPr>
          <w:rFonts w:hint="eastAsia" w:ascii="宋体" w:hAnsi="宋体"/>
          <w:color w:val="000000" w:themeColor="text1"/>
          <w:highlight w:val="none"/>
          <w:lang w:eastAsia="zh-CN"/>
          <w14:textFill>
            <w14:solidFill>
              <w14:schemeClr w14:val="tx1"/>
            </w14:solidFill>
          </w14:textFill>
        </w:rPr>
        <w:t>有干扰，其他</w:t>
      </w:r>
      <w:r>
        <w:rPr>
          <w:rFonts w:hint="eastAsia" w:ascii="宋体" w:hAnsi="宋体" w:cs="宋体"/>
          <w:color w:val="000000" w:themeColor="text1"/>
          <w:highlight w:val="none"/>
          <w14:textFill>
            <w14:solidFill>
              <w14:schemeClr w14:val="tx1"/>
            </w14:solidFill>
          </w14:textFill>
        </w:rPr>
        <w:t>无</w:t>
      </w:r>
      <w:r>
        <w:rPr>
          <w:rFonts w:hint="eastAsia" w:ascii="宋体" w:hAnsi="宋体" w:cs="宋体"/>
          <w:color w:val="000000" w:themeColor="text1"/>
          <w:highlight w:val="none"/>
          <w:lang w:eastAsia="zh-CN"/>
          <w14:textFill>
            <w14:solidFill>
              <w14:schemeClr w14:val="tx1"/>
            </w14:solidFill>
          </w14:textFill>
        </w:rPr>
        <w:t>明显</w:t>
      </w:r>
      <w:r>
        <w:rPr>
          <w:rFonts w:hint="eastAsia" w:ascii="宋体" w:hAnsi="宋体" w:cs="宋体"/>
          <w:color w:val="000000" w:themeColor="text1"/>
          <w:highlight w:val="none"/>
          <w14:textFill>
            <w14:solidFill>
              <w14:schemeClr w14:val="tx1"/>
            </w14:solidFill>
          </w14:textFill>
        </w:rPr>
        <w:t>干扰。</w:t>
      </w:r>
    </w:p>
    <w:p w14:paraId="14594869">
      <w:pPr>
        <w:shd w:val="clear"/>
        <w:spacing w:line="360" w:lineRule="auto"/>
        <w:rPr>
          <w:rFonts w:hint="eastAsia" w:ascii="宋体" w:hAnsi="宋体" w:eastAsia="宋体" w:cs="宋体"/>
          <w:b/>
          <w:bCs/>
          <w:color w:val="000000"/>
          <w:lang w:eastAsia="zh-CN"/>
        </w:rPr>
      </w:pPr>
      <w:r>
        <w:rPr>
          <w:rFonts w:hint="eastAsia" w:ascii="宋体" w:hAnsi="宋体" w:cs="宋体"/>
          <w:b/>
          <w:bCs/>
          <w:color w:val="000000"/>
          <w:lang w:val="en-US" w:eastAsia="zh-CN"/>
        </w:rPr>
        <w:t>2.4.2有稀土基体存在下Al和Si</w:t>
      </w:r>
      <w:r>
        <w:rPr>
          <w:rFonts w:hint="eastAsia" w:ascii="宋体" w:hAnsi="宋体" w:cs="宋体"/>
          <w:b/>
          <w:bCs/>
          <w:color w:val="000000"/>
        </w:rPr>
        <w:t>元素的干扰</w:t>
      </w:r>
    </w:p>
    <w:p w14:paraId="3250DAD5">
      <w:pPr>
        <w:shd w:val="clear"/>
        <w:spacing w:line="360" w:lineRule="auto"/>
        <w:ind w:firstLine="210" w:firstLineChars="100"/>
        <w:rPr>
          <w:rFonts w:hint="eastAsia" w:ascii="宋体" w:hAnsi="宋体" w:cs="宋体"/>
          <w:color w:val="000000"/>
          <w:lang w:val="en-US" w:eastAsia="zh-CN"/>
        </w:rPr>
      </w:pPr>
      <w:r>
        <w:rPr>
          <w:rFonts w:hint="eastAsia" w:ascii="宋体" w:hAnsi="宋体" w:cs="宋体"/>
          <w:color w:val="000000"/>
          <w:lang w:val="en-US" w:eastAsia="zh-CN"/>
        </w:rPr>
        <w:t xml:space="preserve">  选取</w:t>
      </w:r>
      <w:r>
        <w:rPr>
          <w:rFonts w:hint="eastAsia" w:ascii="宋体" w:hAnsi="宋体" w:cs="宋体"/>
          <w:lang w:val="en-US" w:eastAsia="zh-CN"/>
        </w:rPr>
        <w:t>Gd</w:t>
      </w:r>
      <w:r>
        <w:rPr>
          <w:rFonts w:hint="eastAsia" w:ascii="宋体" w:hAnsi="宋体" w:cs="宋体"/>
          <w:vertAlign w:val="subscript"/>
        </w:rPr>
        <w:t>2</w:t>
      </w:r>
      <w:r>
        <w:rPr>
          <w:rFonts w:hint="eastAsia" w:ascii="宋体" w:hAnsi="宋体" w:cs="宋体"/>
        </w:rPr>
        <w:t>O</w:t>
      </w:r>
      <w:r>
        <w:rPr>
          <w:rFonts w:hint="eastAsia" w:ascii="宋体" w:hAnsi="宋体" w:cs="宋体"/>
          <w:vertAlign w:val="subscript"/>
        </w:rPr>
        <w:t>3</w:t>
      </w:r>
      <w:r>
        <w:rPr>
          <w:rFonts w:hint="eastAsia" w:ascii="宋体" w:hAnsi="宋体" w:cs="宋体"/>
        </w:rPr>
        <w:t>、</w:t>
      </w:r>
      <w:r>
        <w:rPr>
          <w:rFonts w:hint="eastAsia" w:ascii="宋体" w:hAnsi="宋体" w:cs="宋体"/>
          <w:lang w:val="en-US" w:eastAsia="zh-CN"/>
        </w:rPr>
        <w:t>Dy</w:t>
      </w:r>
      <w:r>
        <w:rPr>
          <w:rFonts w:hint="eastAsia" w:ascii="宋体" w:hAnsi="宋体" w:cs="宋体"/>
          <w:vertAlign w:val="subscript"/>
        </w:rPr>
        <w:t>2</w:t>
      </w:r>
      <w:r>
        <w:rPr>
          <w:rFonts w:hint="eastAsia" w:ascii="宋体" w:hAnsi="宋体" w:cs="宋体"/>
        </w:rPr>
        <w:t>O</w:t>
      </w:r>
      <w:r>
        <w:rPr>
          <w:rFonts w:hint="eastAsia" w:ascii="宋体" w:hAnsi="宋体" w:cs="宋体"/>
          <w:vertAlign w:val="subscript"/>
        </w:rPr>
        <w:t>3</w:t>
      </w:r>
      <w:r>
        <w:rPr>
          <w:rFonts w:hint="eastAsia" w:ascii="宋体" w:hAnsi="宋体"/>
        </w:rPr>
        <w:t>的</w:t>
      </w:r>
      <w:r>
        <w:rPr>
          <w:rFonts w:hint="eastAsia" w:ascii="宋体" w:hAnsi="宋体"/>
          <w:lang w:eastAsia="zh-CN"/>
        </w:rPr>
        <w:t>两</w:t>
      </w:r>
      <w:r>
        <w:rPr>
          <w:rFonts w:hint="eastAsia" w:ascii="宋体" w:hAnsi="宋体"/>
        </w:rPr>
        <w:t>种不同基体</w:t>
      </w:r>
      <w:r>
        <w:rPr>
          <w:rFonts w:hint="eastAsia" w:ascii="宋体" w:hAnsi="宋体"/>
          <w:lang w:eastAsia="zh-CN"/>
        </w:rPr>
        <w:t>，</w:t>
      </w:r>
      <w:r>
        <w:rPr>
          <w:rFonts w:hint="eastAsia" w:ascii="宋体" w:hAnsi="宋体"/>
        </w:rPr>
        <w:t>配制浓度</w:t>
      </w:r>
      <w:r>
        <w:rPr>
          <w:rFonts w:hint="eastAsia" w:ascii="宋体" w:hAnsi="宋体"/>
          <w:lang w:val="en-US" w:eastAsia="zh-CN"/>
        </w:rPr>
        <w:t>8</w:t>
      </w:r>
      <w:r>
        <w:rPr>
          <w:rFonts w:hint="eastAsia" w:ascii="宋体" w:hAnsi="宋体"/>
        </w:rPr>
        <w:t>mg/mL</w:t>
      </w:r>
      <w:r>
        <w:rPr>
          <w:rFonts w:hint="eastAsia" w:ascii="宋体" w:hAnsi="宋体"/>
          <w:lang w:eastAsia="zh-CN"/>
        </w:rPr>
        <w:t>，</w:t>
      </w:r>
      <w:r>
        <w:rPr>
          <w:rFonts w:hint="eastAsia" w:ascii="宋体" w:hAnsi="宋体" w:cs="宋体"/>
          <w:color w:val="000000"/>
          <w:lang w:eastAsia="zh-CN"/>
        </w:rPr>
        <w:t>分别加入</w:t>
      </w:r>
      <w:r>
        <w:rPr>
          <w:rFonts w:hint="eastAsia" w:ascii="宋体" w:hAnsi="宋体"/>
          <w:color w:val="000000" w:themeColor="text1"/>
          <w:lang w:val="en-US" w:eastAsia="zh-CN"/>
          <w14:textFill>
            <w14:solidFill>
              <w14:schemeClr w14:val="tx1"/>
            </w14:solidFill>
          </w14:textFill>
        </w:rPr>
        <w:t>10</w:t>
      </w:r>
      <w:r>
        <w:rPr>
          <w:rFonts w:ascii="宋体" w:hAnsi="宋体"/>
          <w:color w:val="000000" w:themeColor="text1"/>
          <w14:textFill>
            <w14:solidFill>
              <w14:schemeClr w14:val="tx1"/>
            </w14:solidFill>
          </w14:textFill>
        </w:rPr>
        <w:t xml:space="preserve">0µgAl </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50</w:t>
      </w:r>
      <w:r>
        <w:rPr>
          <w:rFonts w:ascii="宋体" w:hAnsi="宋体"/>
          <w:color w:val="000000" w:themeColor="text1"/>
          <w14:textFill>
            <w14:solidFill>
              <w14:schemeClr w14:val="tx1"/>
            </w14:solidFill>
          </w14:textFill>
        </w:rPr>
        <w:t>µgSi</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100</w:t>
      </w:r>
      <w:r>
        <w:rPr>
          <w:rFonts w:ascii="宋体" w:hAnsi="宋体"/>
          <w:color w:val="000000" w:themeColor="text1"/>
          <w14:textFill>
            <w14:solidFill>
              <w14:schemeClr w14:val="tx1"/>
            </w14:solidFill>
          </w14:textFill>
        </w:rPr>
        <w:t>µgSi</w:t>
      </w:r>
      <w:r>
        <w:rPr>
          <w:rFonts w:hint="eastAsia" w:ascii="宋体" w:hAnsi="宋体" w:cs="宋体"/>
          <w:color w:val="000000"/>
        </w:rPr>
        <w:t>干扰液</w:t>
      </w:r>
      <w:r>
        <w:rPr>
          <w:rFonts w:hint="eastAsia" w:ascii="宋体" w:hAnsi="宋体" w:cs="宋体"/>
          <w:color w:val="000000"/>
          <w:lang w:eastAsia="zh-CN"/>
        </w:rPr>
        <w:t>，</w:t>
      </w:r>
      <w:r>
        <w:rPr>
          <w:rFonts w:hint="eastAsia" w:ascii="宋体" w:hAnsi="宋体" w:cs="宋体"/>
          <w:lang w:eastAsia="zh-CN"/>
        </w:rPr>
        <w:t>在镁波长处</w:t>
      </w:r>
      <w:r>
        <w:rPr>
          <w:rFonts w:hint="eastAsia" w:ascii="宋体" w:hAnsi="宋体" w:cs="宋体"/>
          <w:color w:val="000000"/>
        </w:rPr>
        <w:t>进行检测，</w:t>
      </w:r>
      <w:r>
        <w:rPr>
          <w:rFonts w:hint="eastAsia" w:ascii="宋体" w:hAnsi="宋体" w:cs="宋体"/>
          <w:color w:val="000000"/>
          <w:lang w:eastAsia="zh-CN"/>
        </w:rPr>
        <w:t>数据见表</w:t>
      </w:r>
      <w:r>
        <w:rPr>
          <w:rFonts w:hint="eastAsia" w:ascii="宋体" w:hAnsi="宋体" w:cs="宋体"/>
          <w:color w:val="000000"/>
          <w:lang w:val="en-US" w:eastAsia="zh-CN"/>
        </w:rPr>
        <w:t>6。</w:t>
      </w:r>
    </w:p>
    <w:p w14:paraId="3C8F6FC9">
      <w:pPr>
        <w:shd w:val="clear"/>
        <w:spacing w:line="360" w:lineRule="auto"/>
        <w:ind w:firstLine="210" w:firstLineChars="100"/>
        <w:jc w:val="center"/>
        <w:rPr>
          <w:rFonts w:hint="eastAsia" w:ascii="黑体" w:hAnsi="黑体" w:eastAsia="黑体" w:cs="黑体"/>
          <w:color w:val="000000"/>
          <w:lang w:val="en-US" w:eastAsia="zh-CN"/>
        </w:rPr>
      </w:pPr>
      <w:r>
        <w:rPr>
          <w:rFonts w:hint="eastAsia" w:ascii="黑体" w:hAnsi="黑体" w:eastAsia="黑体" w:cs="黑体"/>
          <w:color w:val="000000"/>
          <w:lang w:val="en-US" w:eastAsia="zh-CN"/>
        </w:rPr>
        <w:t>表6</w:t>
      </w:r>
    </w:p>
    <w:tbl>
      <w:tblPr>
        <w:tblStyle w:val="19"/>
        <w:tblW w:w="89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1320"/>
        <w:gridCol w:w="1065"/>
        <w:gridCol w:w="1890"/>
        <w:gridCol w:w="1260"/>
        <w:gridCol w:w="1320"/>
      </w:tblGrid>
      <w:tr w14:paraId="0241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28" w:type="dxa"/>
            <w:tcBorders>
              <w:left w:val="single" w:color="auto" w:sz="12" w:space="0"/>
            </w:tcBorders>
            <w:noWrap w:val="0"/>
            <w:vAlign w:val="bottom"/>
          </w:tcPr>
          <w:p w14:paraId="5CFDCC54">
            <w:pPr>
              <w:shd w:val="clear"/>
              <w:spacing w:line="360" w:lineRule="auto"/>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共存元素</w:t>
            </w:r>
          </w:p>
        </w:tc>
        <w:tc>
          <w:tcPr>
            <w:tcW w:w="1320" w:type="dxa"/>
            <w:noWrap w:val="0"/>
            <w:vAlign w:val="bottom"/>
          </w:tcPr>
          <w:p w14:paraId="1F76C8F6">
            <w:pPr>
              <w:shd w:val="clear"/>
              <w:spacing w:line="360" w:lineRule="auto"/>
              <w:jc w:val="center"/>
              <w:rPr>
                <w:rFonts w:ascii="宋体" w:hAnsi="宋体"/>
                <w:color w:val="000000"/>
                <w:sz w:val="18"/>
                <w:szCs w:val="18"/>
              </w:rPr>
            </w:pPr>
            <w:r>
              <w:rPr>
                <w:rFonts w:ascii="宋体" w:hAnsi="宋体"/>
                <w:color w:val="000000"/>
                <w:sz w:val="18"/>
                <w:szCs w:val="18"/>
              </w:rPr>
              <w:t>测得</w:t>
            </w:r>
            <w:r>
              <w:rPr>
                <w:rFonts w:hint="eastAsia" w:ascii="宋体" w:hAnsi="宋体"/>
                <w:color w:val="000000"/>
                <w:sz w:val="18"/>
                <w:szCs w:val="18"/>
                <w:lang w:val="en-US" w:eastAsia="zh-CN"/>
              </w:rPr>
              <w:t>Mg</w:t>
            </w:r>
            <w:r>
              <w:rPr>
                <w:rFonts w:ascii="宋体" w:hAnsi="宋体"/>
                <w:color w:val="000000"/>
                <w:sz w:val="18"/>
                <w:szCs w:val="18"/>
              </w:rPr>
              <w:t>/</w:t>
            </w:r>
            <w:r>
              <w:rPr>
                <w:rFonts w:ascii="宋体" w:hAnsi="宋体"/>
                <w:sz w:val="18"/>
                <w:szCs w:val="18"/>
              </w:rPr>
              <w:t>μg</w:t>
            </w:r>
          </w:p>
        </w:tc>
        <w:tc>
          <w:tcPr>
            <w:tcW w:w="1065" w:type="dxa"/>
            <w:noWrap w:val="0"/>
            <w:vAlign w:val="bottom"/>
          </w:tcPr>
          <w:p w14:paraId="2CF0D8AE">
            <w:pPr>
              <w:shd w:val="clear"/>
              <w:spacing w:line="360" w:lineRule="auto"/>
              <w:jc w:val="center"/>
              <w:rPr>
                <w:rFonts w:ascii="宋体" w:hAnsi="宋体"/>
                <w:color w:val="000000"/>
                <w:sz w:val="18"/>
                <w:szCs w:val="18"/>
              </w:rPr>
            </w:pPr>
            <w:r>
              <w:rPr>
                <w:rFonts w:ascii="宋体" w:hAnsi="宋体"/>
                <w:color w:val="000000"/>
                <w:sz w:val="18"/>
                <w:szCs w:val="18"/>
              </w:rPr>
              <w:t>回收率 %</w:t>
            </w:r>
          </w:p>
        </w:tc>
        <w:tc>
          <w:tcPr>
            <w:tcW w:w="1890" w:type="dxa"/>
            <w:noWrap w:val="0"/>
            <w:vAlign w:val="bottom"/>
          </w:tcPr>
          <w:p w14:paraId="50C966AF">
            <w:pPr>
              <w:shd w:val="clear"/>
              <w:spacing w:line="360" w:lineRule="auto"/>
              <w:jc w:val="center"/>
              <w:rPr>
                <w:rFonts w:ascii="宋体" w:hAnsi="宋体" w:eastAsia="宋体" w:cs="Times New Roman"/>
                <w:color w:val="000000"/>
                <w:kern w:val="2"/>
                <w:sz w:val="18"/>
                <w:szCs w:val="18"/>
                <w:lang w:val="en-US" w:eastAsia="zh-CN" w:bidi="ar-SA"/>
              </w:rPr>
            </w:pPr>
            <w:r>
              <w:rPr>
                <w:rFonts w:hint="eastAsia" w:ascii="宋体" w:hAnsi="宋体" w:cs="宋体"/>
                <w:color w:val="000000"/>
                <w:sz w:val="18"/>
                <w:szCs w:val="18"/>
                <w:lang w:eastAsia="zh-CN"/>
              </w:rPr>
              <w:t>共存元素</w:t>
            </w:r>
          </w:p>
        </w:tc>
        <w:tc>
          <w:tcPr>
            <w:tcW w:w="1260" w:type="dxa"/>
            <w:noWrap w:val="0"/>
            <w:vAlign w:val="bottom"/>
          </w:tcPr>
          <w:p w14:paraId="7A967F89">
            <w:pPr>
              <w:shd w:val="clear"/>
              <w:spacing w:line="360" w:lineRule="auto"/>
              <w:jc w:val="center"/>
              <w:rPr>
                <w:rFonts w:ascii="宋体" w:hAnsi="宋体" w:eastAsia="宋体" w:cs="Times New Roman"/>
                <w:color w:val="000000"/>
                <w:kern w:val="2"/>
                <w:sz w:val="18"/>
                <w:szCs w:val="18"/>
                <w:lang w:val="en-US" w:eastAsia="zh-CN" w:bidi="ar-SA"/>
              </w:rPr>
            </w:pPr>
            <w:r>
              <w:rPr>
                <w:rFonts w:ascii="宋体" w:hAnsi="宋体"/>
                <w:color w:val="000000"/>
                <w:sz w:val="18"/>
                <w:szCs w:val="18"/>
              </w:rPr>
              <w:t>测得</w:t>
            </w:r>
            <w:r>
              <w:rPr>
                <w:rFonts w:hint="eastAsia" w:ascii="宋体" w:hAnsi="宋体"/>
                <w:color w:val="000000"/>
                <w:sz w:val="18"/>
                <w:szCs w:val="18"/>
                <w:lang w:val="en-US" w:eastAsia="zh-CN"/>
              </w:rPr>
              <w:t>Mg</w:t>
            </w:r>
            <w:r>
              <w:rPr>
                <w:rFonts w:ascii="宋体" w:hAnsi="宋体"/>
                <w:color w:val="000000"/>
                <w:sz w:val="18"/>
                <w:szCs w:val="18"/>
              </w:rPr>
              <w:t>/</w:t>
            </w:r>
            <w:r>
              <w:rPr>
                <w:rFonts w:ascii="宋体" w:hAnsi="宋体"/>
                <w:sz w:val="18"/>
                <w:szCs w:val="18"/>
              </w:rPr>
              <w:t>μg</w:t>
            </w:r>
          </w:p>
        </w:tc>
        <w:tc>
          <w:tcPr>
            <w:tcW w:w="1320" w:type="dxa"/>
            <w:noWrap w:val="0"/>
            <w:vAlign w:val="bottom"/>
          </w:tcPr>
          <w:p w14:paraId="1AC30735">
            <w:pPr>
              <w:shd w:val="clear"/>
              <w:spacing w:line="360" w:lineRule="auto"/>
              <w:jc w:val="center"/>
              <w:rPr>
                <w:rFonts w:ascii="宋体" w:hAnsi="宋体"/>
                <w:color w:val="000000"/>
                <w:sz w:val="18"/>
                <w:szCs w:val="18"/>
              </w:rPr>
            </w:pPr>
            <w:r>
              <w:rPr>
                <w:rFonts w:ascii="宋体" w:hAnsi="宋体"/>
                <w:color w:val="000000"/>
                <w:sz w:val="18"/>
                <w:szCs w:val="18"/>
              </w:rPr>
              <w:t>回收率 %</w:t>
            </w:r>
          </w:p>
        </w:tc>
      </w:tr>
      <w:tr w14:paraId="2C9F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trPr>
        <w:tc>
          <w:tcPr>
            <w:tcW w:w="2128" w:type="dxa"/>
            <w:tcBorders>
              <w:left w:val="single" w:color="auto" w:sz="12" w:space="0"/>
            </w:tcBorders>
            <w:noWrap w:val="0"/>
            <w:vAlign w:val="bottom"/>
          </w:tcPr>
          <w:p w14:paraId="2880DAD2">
            <w:pPr>
              <w:shd w:val="clear"/>
              <w:spacing w:line="360" w:lineRule="auto"/>
              <w:jc w:val="center"/>
              <w:rPr>
                <w:rFonts w:hint="eastAsia" w:ascii="宋体" w:hAnsi="宋体" w:cs="宋体"/>
                <w:color w:val="000000"/>
                <w:sz w:val="18"/>
                <w:szCs w:val="18"/>
              </w:rPr>
            </w:pPr>
            <w:r>
              <w:rPr>
                <w:rFonts w:hint="eastAsia" w:ascii="宋体" w:hAnsi="宋体" w:cs="宋体"/>
                <w:color w:val="000000"/>
                <w:sz w:val="18"/>
                <w:szCs w:val="18"/>
              </w:rPr>
              <w:t>空白</w:t>
            </w:r>
          </w:p>
        </w:tc>
        <w:tc>
          <w:tcPr>
            <w:tcW w:w="1320" w:type="dxa"/>
            <w:noWrap w:val="0"/>
            <w:vAlign w:val="bottom"/>
          </w:tcPr>
          <w:p w14:paraId="3FEAE193">
            <w:pPr>
              <w:shd w:val="clea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0.06</w:t>
            </w:r>
          </w:p>
        </w:tc>
        <w:tc>
          <w:tcPr>
            <w:tcW w:w="1065" w:type="dxa"/>
            <w:noWrap w:val="0"/>
            <w:vAlign w:val="bottom"/>
          </w:tcPr>
          <w:p w14:paraId="73D00936">
            <w:pPr>
              <w:shd w:val="clear"/>
              <w:spacing w:line="360" w:lineRule="auto"/>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w:t>
            </w:r>
          </w:p>
        </w:tc>
        <w:tc>
          <w:tcPr>
            <w:tcW w:w="1890" w:type="dxa"/>
            <w:noWrap w:val="0"/>
            <w:vAlign w:val="bottom"/>
          </w:tcPr>
          <w:p w14:paraId="4E50A114">
            <w:pPr>
              <w:shd w:val="clea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c>
          <w:tcPr>
            <w:tcW w:w="1260" w:type="dxa"/>
            <w:noWrap w:val="0"/>
            <w:vAlign w:val="bottom"/>
          </w:tcPr>
          <w:p w14:paraId="35717D1F">
            <w:pPr>
              <w:shd w:val="clea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c>
          <w:tcPr>
            <w:tcW w:w="1320" w:type="dxa"/>
            <w:noWrap w:val="0"/>
            <w:vAlign w:val="bottom"/>
          </w:tcPr>
          <w:p w14:paraId="76ACBF9C">
            <w:pPr>
              <w:shd w:val="clea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r>
      <w:tr w14:paraId="0D58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28" w:type="dxa"/>
            <w:tcBorders>
              <w:left w:val="single" w:color="auto" w:sz="12" w:space="0"/>
            </w:tcBorders>
            <w:noWrap w:val="0"/>
            <w:vAlign w:val="bottom"/>
          </w:tcPr>
          <w:p w14:paraId="5314DEAC">
            <w:pPr>
              <w:shd w:val="clear"/>
              <w:spacing w:line="360" w:lineRule="auto"/>
              <w:jc w:val="center"/>
              <w:rPr>
                <w:rFonts w:hint="default" w:ascii="宋体" w:hAnsi="宋体" w:eastAsia="宋体"/>
                <w:color w:val="000000"/>
                <w:sz w:val="18"/>
                <w:szCs w:val="18"/>
                <w:lang w:val="en-US" w:eastAsia="zh-CN"/>
              </w:rPr>
            </w:pPr>
            <w:r>
              <w:rPr>
                <w:rFonts w:ascii="宋体" w:hAnsi="宋体"/>
                <w:color w:val="000000"/>
                <w:sz w:val="18"/>
                <w:szCs w:val="18"/>
              </w:rPr>
              <w:t>5</w:t>
            </w:r>
            <w:r>
              <w:rPr>
                <w:rFonts w:ascii="宋体" w:hAnsi="宋体"/>
                <w:sz w:val="18"/>
                <w:szCs w:val="18"/>
              </w:rPr>
              <w:t>μg</w:t>
            </w:r>
            <w:r>
              <w:rPr>
                <w:rFonts w:hint="eastAsia" w:ascii="宋体" w:hAnsi="宋体"/>
                <w:sz w:val="18"/>
                <w:szCs w:val="18"/>
                <w:lang w:val="en-US" w:eastAsia="zh-CN"/>
              </w:rPr>
              <w:t xml:space="preserve"> Mg</w:t>
            </w:r>
          </w:p>
        </w:tc>
        <w:tc>
          <w:tcPr>
            <w:tcW w:w="1320" w:type="dxa"/>
            <w:noWrap w:val="0"/>
            <w:vAlign w:val="bottom"/>
          </w:tcPr>
          <w:p w14:paraId="473DC030">
            <w:pPr>
              <w:shd w:val="clea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5.00</w:t>
            </w:r>
          </w:p>
        </w:tc>
        <w:tc>
          <w:tcPr>
            <w:tcW w:w="1065" w:type="dxa"/>
            <w:noWrap w:val="0"/>
            <w:vAlign w:val="bottom"/>
          </w:tcPr>
          <w:p w14:paraId="78B69F9F">
            <w:pPr>
              <w:shd w:val="clea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100</w:t>
            </w:r>
          </w:p>
        </w:tc>
        <w:tc>
          <w:tcPr>
            <w:tcW w:w="1890" w:type="dxa"/>
            <w:noWrap w:val="0"/>
            <w:vAlign w:val="bottom"/>
          </w:tcPr>
          <w:p w14:paraId="454CC4C7">
            <w:pPr>
              <w:shd w:val="clea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c>
          <w:tcPr>
            <w:tcW w:w="1260" w:type="dxa"/>
            <w:noWrap w:val="0"/>
            <w:vAlign w:val="bottom"/>
          </w:tcPr>
          <w:p w14:paraId="11E24115">
            <w:pPr>
              <w:shd w:val="clea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c>
          <w:tcPr>
            <w:tcW w:w="1320" w:type="dxa"/>
            <w:noWrap w:val="0"/>
            <w:vAlign w:val="bottom"/>
          </w:tcPr>
          <w:p w14:paraId="57A441B9">
            <w:pPr>
              <w:shd w:val="clea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r>
      <w:tr w14:paraId="3724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28" w:type="dxa"/>
            <w:tcBorders>
              <w:left w:val="single" w:color="auto" w:sz="12" w:space="0"/>
            </w:tcBorders>
            <w:noWrap w:val="0"/>
            <w:vAlign w:val="bottom"/>
          </w:tcPr>
          <w:p w14:paraId="0FA7B3A0">
            <w:pPr>
              <w:shd w:val="clear"/>
              <w:spacing w:line="360" w:lineRule="auto"/>
              <w:jc w:val="center"/>
              <w:rPr>
                <w:rFonts w:hint="default" w:ascii="宋体" w:hAnsi="宋体" w:eastAsia="宋体"/>
                <w:color w:val="000000"/>
                <w:sz w:val="18"/>
                <w:szCs w:val="18"/>
                <w:lang w:val="en-US" w:eastAsia="zh-CN"/>
              </w:rPr>
            </w:pPr>
            <w:r>
              <w:rPr>
                <w:rFonts w:hint="eastAsia" w:ascii="宋体" w:hAnsi="宋体" w:cs="宋体"/>
                <w:lang w:val="en-US" w:eastAsia="zh-CN"/>
              </w:rPr>
              <w:t>Gd</w:t>
            </w:r>
            <w:r>
              <w:rPr>
                <w:rFonts w:ascii="宋体" w:hAnsi="宋体"/>
                <w:sz w:val="18"/>
                <w:szCs w:val="18"/>
              </w:rPr>
              <w:t>+</w:t>
            </w:r>
            <w:r>
              <w:rPr>
                <w:rFonts w:hint="eastAsia" w:ascii="宋体" w:hAnsi="宋体"/>
                <w:sz w:val="18"/>
                <w:szCs w:val="18"/>
                <w:lang w:val="en-US" w:eastAsia="zh-CN"/>
              </w:rPr>
              <w:t>1</w:t>
            </w:r>
            <w:r>
              <w:rPr>
                <w:rFonts w:ascii="宋体" w:hAnsi="宋体"/>
                <w:color w:val="000000"/>
                <w:sz w:val="18"/>
                <w:szCs w:val="18"/>
              </w:rPr>
              <w:t>00</w:t>
            </w:r>
            <w:r>
              <w:rPr>
                <w:rFonts w:ascii="宋体" w:hAnsi="宋体"/>
                <w:sz w:val="18"/>
                <w:szCs w:val="18"/>
              </w:rPr>
              <w:t xml:space="preserve">μg </w:t>
            </w:r>
            <w:r>
              <w:rPr>
                <w:rFonts w:hint="eastAsia" w:ascii="宋体" w:hAnsi="宋体"/>
                <w:sz w:val="18"/>
                <w:szCs w:val="18"/>
                <w:lang w:val="en-US" w:eastAsia="zh-CN"/>
              </w:rPr>
              <w:t>Al</w:t>
            </w:r>
          </w:p>
        </w:tc>
        <w:tc>
          <w:tcPr>
            <w:tcW w:w="1320" w:type="dxa"/>
            <w:noWrap w:val="0"/>
            <w:vAlign w:val="bottom"/>
          </w:tcPr>
          <w:p w14:paraId="36A54335">
            <w:pPr>
              <w:shd w:val="clea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0.30</w:t>
            </w:r>
          </w:p>
        </w:tc>
        <w:tc>
          <w:tcPr>
            <w:tcW w:w="1065" w:type="dxa"/>
            <w:noWrap w:val="0"/>
            <w:vAlign w:val="bottom"/>
          </w:tcPr>
          <w:p w14:paraId="631AE573">
            <w:pPr>
              <w:shd w:val="clear"/>
              <w:spacing w:line="360" w:lineRule="auto"/>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w:t>
            </w:r>
          </w:p>
        </w:tc>
        <w:tc>
          <w:tcPr>
            <w:tcW w:w="1890" w:type="dxa"/>
            <w:noWrap w:val="0"/>
            <w:vAlign w:val="bottom"/>
          </w:tcPr>
          <w:p w14:paraId="2092CBB5">
            <w:pPr>
              <w:shd w:val="clea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cs="宋体"/>
                <w:lang w:val="en-US" w:eastAsia="zh-CN"/>
              </w:rPr>
              <w:t>Gd</w:t>
            </w:r>
            <w:r>
              <w:rPr>
                <w:rFonts w:ascii="宋体" w:hAnsi="宋体"/>
                <w:sz w:val="18"/>
                <w:szCs w:val="18"/>
              </w:rPr>
              <w:t>+</w:t>
            </w:r>
            <w:r>
              <w:rPr>
                <w:rFonts w:hint="eastAsia" w:ascii="宋体" w:hAnsi="宋体"/>
                <w:sz w:val="18"/>
                <w:szCs w:val="18"/>
                <w:lang w:val="en-US" w:eastAsia="zh-CN"/>
              </w:rPr>
              <w:t>100</w:t>
            </w:r>
            <w:r>
              <w:rPr>
                <w:rFonts w:ascii="宋体" w:hAnsi="宋体"/>
                <w:sz w:val="18"/>
                <w:szCs w:val="18"/>
              </w:rPr>
              <w:t xml:space="preserve">μg </w:t>
            </w:r>
            <w:r>
              <w:rPr>
                <w:rFonts w:hint="eastAsia" w:ascii="宋体" w:hAnsi="宋体"/>
                <w:sz w:val="18"/>
                <w:szCs w:val="18"/>
                <w:lang w:val="en-US" w:eastAsia="zh-CN"/>
              </w:rPr>
              <w:t>Si</w:t>
            </w:r>
          </w:p>
        </w:tc>
        <w:tc>
          <w:tcPr>
            <w:tcW w:w="1260" w:type="dxa"/>
            <w:noWrap w:val="0"/>
            <w:vAlign w:val="bottom"/>
          </w:tcPr>
          <w:p w14:paraId="6EF9B31F">
            <w:pPr>
              <w:shd w:val="clea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0.15</w:t>
            </w:r>
          </w:p>
        </w:tc>
        <w:tc>
          <w:tcPr>
            <w:tcW w:w="1320" w:type="dxa"/>
            <w:noWrap w:val="0"/>
            <w:vAlign w:val="bottom"/>
          </w:tcPr>
          <w:p w14:paraId="2D9DAA17">
            <w:pPr>
              <w:shd w:val="clea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r>
      <w:tr w14:paraId="0E2F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28" w:type="dxa"/>
            <w:tcBorders>
              <w:left w:val="single" w:color="auto" w:sz="12" w:space="0"/>
            </w:tcBorders>
            <w:noWrap w:val="0"/>
            <w:vAlign w:val="bottom"/>
          </w:tcPr>
          <w:p w14:paraId="00F4B718">
            <w:pPr>
              <w:shd w:val="clear"/>
              <w:spacing w:line="360" w:lineRule="auto"/>
              <w:jc w:val="center"/>
              <w:rPr>
                <w:rFonts w:hint="default" w:ascii="宋体" w:hAnsi="宋体" w:eastAsia="宋体"/>
                <w:color w:val="000000"/>
                <w:sz w:val="18"/>
                <w:szCs w:val="18"/>
                <w:lang w:val="en-US" w:eastAsia="zh-CN"/>
              </w:rPr>
            </w:pPr>
            <w:r>
              <w:rPr>
                <w:rFonts w:hint="eastAsia" w:ascii="宋体" w:hAnsi="宋体" w:cs="宋体"/>
                <w:lang w:val="en-US" w:eastAsia="zh-CN"/>
              </w:rPr>
              <w:t>Gd</w:t>
            </w:r>
            <w:r>
              <w:rPr>
                <w:rFonts w:ascii="宋体" w:hAnsi="宋体"/>
                <w:sz w:val="18"/>
                <w:szCs w:val="18"/>
              </w:rPr>
              <w:t>+</w:t>
            </w:r>
            <w:r>
              <w:rPr>
                <w:rFonts w:hint="eastAsia" w:ascii="宋体" w:hAnsi="宋体"/>
                <w:sz w:val="18"/>
                <w:szCs w:val="18"/>
                <w:lang w:val="en-US" w:eastAsia="zh-CN"/>
              </w:rPr>
              <w:t>1</w:t>
            </w:r>
            <w:r>
              <w:rPr>
                <w:rFonts w:ascii="宋体" w:hAnsi="宋体"/>
                <w:color w:val="000000"/>
                <w:sz w:val="18"/>
                <w:szCs w:val="18"/>
              </w:rPr>
              <w:t>00</w:t>
            </w:r>
            <w:r>
              <w:rPr>
                <w:rFonts w:ascii="宋体" w:hAnsi="宋体"/>
                <w:sz w:val="18"/>
                <w:szCs w:val="18"/>
              </w:rPr>
              <w:t xml:space="preserve">μg </w:t>
            </w:r>
            <w:r>
              <w:rPr>
                <w:rFonts w:hint="eastAsia" w:ascii="宋体" w:hAnsi="宋体"/>
                <w:sz w:val="18"/>
                <w:szCs w:val="18"/>
                <w:lang w:val="en-US" w:eastAsia="zh-CN"/>
              </w:rPr>
              <w:t>Al</w:t>
            </w:r>
            <w:r>
              <w:rPr>
                <w:rFonts w:ascii="宋体" w:hAnsi="宋体"/>
                <w:sz w:val="18"/>
                <w:szCs w:val="18"/>
              </w:rPr>
              <w:t>+</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320" w:type="dxa"/>
            <w:noWrap w:val="0"/>
            <w:vAlign w:val="bottom"/>
          </w:tcPr>
          <w:p w14:paraId="67548BCB">
            <w:pPr>
              <w:shd w:val="clea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4.94</w:t>
            </w:r>
          </w:p>
        </w:tc>
        <w:tc>
          <w:tcPr>
            <w:tcW w:w="1065" w:type="dxa"/>
            <w:noWrap w:val="0"/>
            <w:vAlign w:val="bottom"/>
          </w:tcPr>
          <w:p w14:paraId="1E67C122">
            <w:pPr>
              <w:shd w:val="clea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98.8</w:t>
            </w:r>
          </w:p>
        </w:tc>
        <w:tc>
          <w:tcPr>
            <w:tcW w:w="1890" w:type="dxa"/>
            <w:noWrap w:val="0"/>
            <w:vAlign w:val="bottom"/>
          </w:tcPr>
          <w:p w14:paraId="4EB4C827">
            <w:pPr>
              <w:shd w:val="clea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sz w:val="18"/>
                <w:szCs w:val="18"/>
                <w:lang w:val="en-US" w:eastAsia="zh-CN"/>
              </w:rPr>
              <w:t>Gd</w:t>
            </w:r>
            <w:r>
              <w:rPr>
                <w:rFonts w:ascii="宋体" w:hAnsi="宋体"/>
                <w:sz w:val="18"/>
                <w:szCs w:val="18"/>
              </w:rPr>
              <w:t>+</w:t>
            </w:r>
            <w:r>
              <w:rPr>
                <w:rFonts w:hint="eastAsia" w:ascii="宋体" w:hAnsi="宋体"/>
                <w:sz w:val="18"/>
                <w:szCs w:val="18"/>
                <w:lang w:val="en-US" w:eastAsia="zh-CN"/>
              </w:rPr>
              <w:t>100</w:t>
            </w:r>
            <w:r>
              <w:rPr>
                <w:rFonts w:ascii="宋体" w:hAnsi="宋体"/>
                <w:sz w:val="18"/>
                <w:szCs w:val="18"/>
              </w:rPr>
              <w:t xml:space="preserve">μg </w:t>
            </w:r>
            <w:r>
              <w:rPr>
                <w:rFonts w:hint="eastAsia" w:ascii="宋体" w:hAnsi="宋体"/>
                <w:sz w:val="18"/>
                <w:szCs w:val="18"/>
                <w:lang w:val="en-US" w:eastAsia="zh-CN"/>
              </w:rPr>
              <w:t>Si</w:t>
            </w:r>
            <w:r>
              <w:rPr>
                <w:rFonts w:ascii="宋体" w:hAnsi="宋体"/>
                <w:sz w:val="18"/>
                <w:szCs w:val="18"/>
              </w:rPr>
              <w:t>+</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260" w:type="dxa"/>
            <w:noWrap w:val="0"/>
            <w:vAlign w:val="bottom"/>
          </w:tcPr>
          <w:p w14:paraId="63B17C26">
            <w:pPr>
              <w:shd w:val="clea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5.35</w:t>
            </w:r>
          </w:p>
        </w:tc>
        <w:tc>
          <w:tcPr>
            <w:tcW w:w="1320" w:type="dxa"/>
            <w:noWrap w:val="0"/>
            <w:vAlign w:val="bottom"/>
          </w:tcPr>
          <w:p w14:paraId="5CE427A5">
            <w:pPr>
              <w:shd w:val="clea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107.0</w:t>
            </w:r>
          </w:p>
        </w:tc>
      </w:tr>
      <w:tr w14:paraId="7656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28" w:type="dxa"/>
            <w:tcBorders>
              <w:left w:val="single" w:color="auto" w:sz="12" w:space="0"/>
            </w:tcBorders>
            <w:noWrap w:val="0"/>
            <w:vAlign w:val="bottom"/>
          </w:tcPr>
          <w:p w14:paraId="215D0CA3">
            <w:pPr>
              <w:shd w:val="clear"/>
              <w:spacing w:line="360" w:lineRule="auto"/>
              <w:jc w:val="center"/>
              <w:rPr>
                <w:rFonts w:hint="default" w:ascii="宋体" w:hAnsi="宋体"/>
                <w:color w:val="000000"/>
                <w:sz w:val="18"/>
                <w:szCs w:val="18"/>
                <w:lang w:val="en-US"/>
              </w:rPr>
            </w:pPr>
            <w:r>
              <w:rPr>
                <w:rFonts w:hint="eastAsia" w:ascii="宋体" w:hAnsi="宋体" w:cs="宋体"/>
                <w:lang w:val="en-US" w:eastAsia="zh-CN"/>
              </w:rPr>
              <w:t>Dy</w:t>
            </w:r>
            <w:r>
              <w:rPr>
                <w:rFonts w:ascii="宋体" w:hAnsi="宋体"/>
                <w:sz w:val="18"/>
                <w:szCs w:val="18"/>
              </w:rPr>
              <w:t>+</w:t>
            </w:r>
            <w:r>
              <w:rPr>
                <w:rFonts w:hint="eastAsia" w:ascii="宋体" w:hAnsi="宋体"/>
                <w:sz w:val="18"/>
                <w:szCs w:val="18"/>
                <w:lang w:val="en-US" w:eastAsia="zh-CN"/>
              </w:rPr>
              <w:t>100</w:t>
            </w:r>
            <w:r>
              <w:rPr>
                <w:rFonts w:ascii="宋体" w:hAnsi="宋体"/>
                <w:sz w:val="18"/>
                <w:szCs w:val="18"/>
              </w:rPr>
              <w:t xml:space="preserve">μg </w:t>
            </w:r>
            <w:r>
              <w:rPr>
                <w:rFonts w:hint="eastAsia" w:ascii="宋体" w:hAnsi="宋体"/>
                <w:sz w:val="18"/>
                <w:szCs w:val="18"/>
                <w:lang w:val="en-US" w:eastAsia="zh-CN"/>
              </w:rPr>
              <w:t>Al</w:t>
            </w:r>
          </w:p>
        </w:tc>
        <w:tc>
          <w:tcPr>
            <w:tcW w:w="1320" w:type="dxa"/>
            <w:noWrap w:val="0"/>
            <w:vAlign w:val="bottom"/>
          </w:tcPr>
          <w:p w14:paraId="421BAE7C">
            <w:pPr>
              <w:shd w:val="clea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0.26</w:t>
            </w:r>
          </w:p>
        </w:tc>
        <w:tc>
          <w:tcPr>
            <w:tcW w:w="1065" w:type="dxa"/>
            <w:noWrap w:val="0"/>
            <w:vAlign w:val="bottom"/>
          </w:tcPr>
          <w:p w14:paraId="54D6F512">
            <w:pPr>
              <w:shd w:val="clear"/>
              <w:spacing w:line="360" w:lineRule="auto"/>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w:t>
            </w:r>
          </w:p>
        </w:tc>
        <w:tc>
          <w:tcPr>
            <w:tcW w:w="1890" w:type="dxa"/>
            <w:noWrap w:val="0"/>
            <w:vAlign w:val="bottom"/>
          </w:tcPr>
          <w:p w14:paraId="33CD5A1B">
            <w:pPr>
              <w:shd w:val="clea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cs="宋体"/>
                <w:lang w:val="en-US" w:eastAsia="zh-CN"/>
              </w:rPr>
              <w:t>Dy</w:t>
            </w:r>
            <w:r>
              <w:rPr>
                <w:rFonts w:ascii="宋体" w:hAnsi="宋体"/>
                <w:sz w:val="18"/>
                <w:szCs w:val="18"/>
              </w:rPr>
              <w:t>+</w:t>
            </w:r>
            <w:r>
              <w:rPr>
                <w:rFonts w:hint="eastAsia" w:ascii="宋体" w:hAnsi="宋体"/>
                <w:sz w:val="18"/>
                <w:szCs w:val="18"/>
                <w:lang w:val="en-US" w:eastAsia="zh-CN"/>
              </w:rPr>
              <w:t>5</w:t>
            </w:r>
            <w:r>
              <w:rPr>
                <w:rFonts w:ascii="宋体" w:hAnsi="宋体"/>
                <w:color w:val="000000"/>
                <w:sz w:val="18"/>
                <w:szCs w:val="18"/>
              </w:rPr>
              <w:t>0</w:t>
            </w:r>
            <w:r>
              <w:rPr>
                <w:rFonts w:ascii="宋体" w:hAnsi="宋体"/>
                <w:sz w:val="18"/>
                <w:szCs w:val="18"/>
              </w:rPr>
              <w:t xml:space="preserve">μg </w:t>
            </w:r>
            <w:r>
              <w:rPr>
                <w:rFonts w:hint="eastAsia" w:ascii="宋体" w:hAnsi="宋体"/>
                <w:sz w:val="18"/>
                <w:szCs w:val="18"/>
                <w:lang w:val="en-US" w:eastAsia="zh-CN"/>
              </w:rPr>
              <w:t>Si</w:t>
            </w:r>
          </w:p>
        </w:tc>
        <w:tc>
          <w:tcPr>
            <w:tcW w:w="1260" w:type="dxa"/>
            <w:noWrap w:val="0"/>
            <w:vAlign w:val="bottom"/>
          </w:tcPr>
          <w:p w14:paraId="74E6C47F">
            <w:pPr>
              <w:shd w:val="clea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0.18</w:t>
            </w:r>
          </w:p>
        </w:tc>
        <w:tc>
          <w:tcPr>
            <w:tcW w:w="1320" w:type="dxa"/>
            <w:noWrap w:val="0"/>
            <w:vAlign w:val="bottom"/>
          </w:tcPr>
          <w:p w14:paraId="73C4B1E5">
            <w:pPr>
              <w:shd w:val="clea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w:t>
            </w:r>
          </w:p>
        </w:tc>
      </w:tr>
      <w:tr w14:paraId="3412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28" w:type="dxa"/>
            <w:tcBorders>
              <w:left w:val="single" w:color="auto" w:sz="12" w:space="0"/>
            </w:tcBorders>
            <w:noWrap w:val="0"/>
            <w:vAlign w:val="bottom"/>
          </w:tcPr>
          <w:p w14:paraId="63319DC9">
            <w:pPr>
              <w:shd w:val="clear"/>
              <w:spacing w:line="360" w:lineRule="auto"/>
              <w:jc w:val="center"/>
              <w:rPr>
                <w:rFonts w:hint="default" w:ascii="宋体" w:hAnsi="宋体" w:eastAsia="宋体"/>
                <w:color w:val="000000"/>
                <w:sz w:val="18"/>
                <w:szCs w:val="18"/>
                <w:lang w:val="en-US" w:eastAsia="zh-CN"/>
              </w:rPr>
            </w:pPr>
            <w:r>
              <w:rPr>
                <w:rFonts w:hint="eastAsia" w:ascii="宋体" w:hAnsi="宋体" w:cs="宋体"/>
                <w:lang w:val="en-US" w:eastAsia="zh-CN"/>
              </w:rPr>
              <w:t>Dy</w:t>
            </w:r>
            <w:r>
              <w:rPr>
                <w:rFonts w:ascii="宋体" w:hAnsi="宋体"/>
                <w:sz w:val="18"/>
                <w:szCs w:val="18"/>
              </w:rPr>
              <w:t>+</w:t>
            </w:r>
            <w:r>
              <w:rPr>
                <w:rFonts w:hint="eastAsia" w:ascii="宋体" w:hAnsi="宋体"/>
                <w:sz w:val="18"/>
                <w:szCs w:val="18"/>
                <w:lang w:val="en-US" w:eastAsia="zh-CN"/>
              </w:rPr>
              <w:t>100</w:t>
            </w:r>
            <w:r>
              <w:rPr>
                <w:rFonts w:ascii="宋体" w:hAnsi="宋体"/>
                <w:sz w:val="18"/>
                <w:szCs w:val="18"/>
              </w:rPr>
              <w:t xml:space="preserve">μg </w:t>
            </w:r>
            <w:r>
              <w:rPr>
                <w:rFonts w:hint="eastAsia" w:ascii="宋体" w:hAnsi="宋体"/>
                <w:sz w:val="18"/>
                <w:szCs w:val="18"/>
                <w:lang w:val="en-US" w:eastAsia="zh-CN"/>
              </w:rPr>
              <w:t>Al</w:t>
            </w:r>
            <w:r>
              <w:rPr>
                <w:rFonts w:ascii="宋体" w:hAnsi="宋体"/>
                <w:sz w:val="18"/>
                <w:szCs w:val="18"/>
              </w:rPr>
              <w:t>+</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320" w:type="dxa"/>
            <w:noWrap w:val="0"/>
            <w:vAlign w:val="bottom"/>
          </w:tcPr>
          <w:p w14:paraId="0C6E2B10">
            <w:pPr>
              <w:shd w:val="clea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4.97</w:t>
            </w:r>
          </w:p>
        </w:tc>
        <w:tc>
          <w:tcPr>
            <w:tcW w:w="1065" w:type="dxa"/>
            <w:noWrap w:val="0"/>
            <w:vAlign w:val="bottom"/>
          </w:tcPr>
          <w:p w14:paraId="32E043C5">
            <w:pPr>
              <w:shd w:val="clea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99.4</w:t>
            </w:r>
          </w:p>
        </w:tc>
        <w:tc>
          <w:tcPr>
            <w:tcW w:w="1890" w:type="dxa"/>
            <w:noWrap w:val="0"/>
            <w:vAlign w:val="bottom"/>
          </w:tcPr>
          <w:p w14:paraId="2CEF0101">
            <w:pPr>
              <w:shd w:val="clea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cs="宋体"/>
                <w:lang w:val="en-US" w:eastAsia="zh-CN"/>
              </w:rPr>
              <w:t>Dy</w:t>
            </w:r>
            <w:r>
              <w:rPr>
                <w:rFonts w:ascii="宋体" w:hAnsi="宋体"/>
                <w:sz w:val="18"/>
                <w:szCs w:val="18"/>
              </w:rPr>
              <w:t>+</w:t>
            </w:r>
            <w:r>
              <w:rPr>
                <w:rFonts w:hint="eastAsia" w:ascii="宋体" w:hAnsi="宋体"/>
                <w:sz w:val="18"/>
                <w:szCs w:val="18"/>
                <w:lang w:val="en-US" w:eastAsia="zh-CN"/>
              </w:rPr>
              <w:t>5</w:t>
            </w:r>
            <w:r>
              <w:rPr>
                <w:rFonts w:ascii="宋体" w:hAnsi="宋体"/>
                <w:color w:val="000000"/>
                <w:sz w:val="18"/>
                <w:szCs w:val="18"/>
              </w:rPr>
              <w:t>0</w:t>
            </w:r>
            <w:r>
              <w:rPr>
                <w:rFonts w:ascii="宋体" w:hAnsi="宋体"/>
                <w:sz w:val="18"/>
                <w:szCs w:val="18"/>
              </w:rPr>
              <w:t xml:space="preserve">μg </w:t>
            </w:r>
            <w:r>
              <w:rPr>
                <w:rFonts w:hint="eastAsia" w:ascii="宋体" w:hAnsi="宋体"/>
                <w:sz w:val="18"/>
                <w:szCs w:val="18"/>
                <w:lang w:val="en-US" w:eastAsia="zh-CN"/>
              </w:rPr>
              <w:t>Si</w:t>
            </w:r>
            <w:r>
              <w:rPr>
                <w:rFonts w:ascii="宋体" w:hAnsi="宋体"/>
                <w:sz w:val="18"/>
                <w:szCs w:val="18"/>
              </w:rPr>
              <w:t>+</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260" w:type="dxa"/>
            <w:noWrap w:val="0"/>
            <w:vAlign w:val="bottom"/>
          </w:tcPr>
          <w:p w14:paraId="6167D029">
            <w:pPr>
              <w:shd w:val="clea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5.07</w:t>
            </w:r>
          </w:p>
        </w:tc>
        <w:tc>
          <w:tcPr>
            <w:tcW w:w="1320" w:type="dxa"/>
            <w:noWrap w:val="0"/>
            <w:vAlign w:val="bottom"/>
          </w:tcPr>
          <w:p w14:paraId="3EC4A117">
            <w:pPr>
              <w:shd w:val="clea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101.4</w:t>
            </w:r>
          </w:p>
        </w:tc>
      </w:tr>
    </w:tbl>
    <w:p w14:paraId="7CE7F6A4">
      <w:pPr>
        <w:shd w:val="clear"/>
        <w:spacing w:line="360" w:lineRule="auto"/>
        <w:ind w:firstLine="210" w:firstLineChars="100"/>
        <w:rPr>
          <w:rFonts w:hint="eastAsia" w:ascii="宋体" w:hAnsi="宋体" w:cs="宋体"/>
          <w:color w:val="000000"/>
          <w:lang w:val="en-US" w:eastAsia="zh-CN"/>
        </w:rPr>
      </w:pPr>
      <w:r>
        <w:rPr>
          <w:rFonts w:hint="eastAsia" w:ascii="宋体" w:hAnsi="宋体" w:cs="宋体"/>
          <w:color w:val="000000"/>
          <w:lang w:val="en-US" w:eastAsia="zh-CN"/>
        </w:rPr>
        <w:t>由表6可见，在稀土基体存在时，硅和铝不干扰测定</w:t>
      </w:r>
    </w:p>
    <w:p w14:paraId="012D950D">
      <w:pPr>
        <w:pStyle w:val="12"/>
        <w:spacing w:line="360" w:lineRule="auto"/>
        <w:ind w:firstLine="0"/>
        <w:rPr>
          <w:rFonts w:hint="default" w:ascii="宋体" w:hAnsi="宋体"/>
          <w:b/>
          <w:bCs/>
          <w:sz w:val="21"/>
          <w:szCs w:val="21"/>
          <w:lang w:eastAsia="zh-CN"/>
        </w:rPr>
      </w:pPr>
      <w:r>
        <w:rPr>
          <w:rFonts w:hint="eastAsia" w:ascii="宋体" w:hAnsi="宋体"/>
          <w:b/>
          <w:bCs/>
          <w:sz w:val="21"/>
          <w:szCs w:val="21"/>
          <w:lang w:val="en-US" w:eastAsia="zh-CN"/>
        </w:rPr>
        <w:t xml:space="preserve">2.4.3 </w:t>
      </w:r>
      <w:r>
        <w:rPr>
          <w:rFonts w:hint="default" w:ascii="宋体" w:hAnsi="宋体"/>
          <w:b/>
          <w:bCs/>
          <w:sz w:val="21"/>
          <w:szCs w:val="21"/>
          <w:lang w:eastAsia="zh-CN"/>
        </w:rPr>
        <w:t>有</w:t>
      </w:r>
      <w:r>
        <w:rPr>
          <w:rFonts w:hint="eastAsia" w:ascii="宋体" w:hAnsi="宋体"/>
          <w:b/>
          <w:bCs/>
          <w:sz w:val="21"/>
          <w:szCs w:val="21"/>
          <w:lang w:eastAsia="zh-CN"/>
        </w:rPr>
        <w:t>稀土</w:t>
      </w:r>
      <w:r>
        <w:rPr>
          <w:rFonts w:hint="default" w:ascii="宋体" w:hAnsi="宋体"/>
          <w:b/>
          <w:bCs/>
          <w:sz w:val="21"/>
          <w:szCs w:val="21"/>
          <w:lang w:eastAsia="zh-CN"/>
        </w:rPr>
        <w:t>基体</w:t>
      </w:r>
      <w:r>
        <w:rPr>
          <w:rFonts w:hint="eastAsia" w:ascii="宋体" w:hAnsi="宋体"/>
          <w:b/>
          <w:bCs/>
          <w:sz w:val="21"/>
          <w:szCs w:val="21"/>
          <w:lang w:eastAsia="zh-CN"/>
        </w:rPr>
        <w:t>情况下</w:t>
      </w:r>
      <w:r>
        <w:rPr>
          <w:rFonts w:hint="eastAsia" w:ascii="宋体" w:hAnsi="宋体"/>
          <w:b/>
          <w:bCs/>
          <w:sz w:val="21"/>
          <w:szCs w:val="21"/>
          <w:lang w:val="en-US" w:eastAsia="zh-CN"/>
        </w:rPr>
        <w:t>Fe、Ni、Cu、Zn、Pb、K、Ca、Na</w:t>
      </w:r>
      <w:r>
        <w:rPr>
          <w:rFonts w:hint="eastAsia" w:ascii="宋体" w:hAnsi="宋体"/>
          <w:b/>
          <w:bCs/>
          <w:sz w:val="21"/>
          <w:szCs w:val="21"/>
          <w:lang w:eastAsia="zh-CN"/>
        </w:rPr>
        <w:t>元素</w:t>
      </w:r>
      <w:r>
        <w:rPr>
          <w:rFonts w:hint="default" w:ascii="宋体" w:hAnsi="宋体"/>
          <w:b/>
          <w:bCs/>
          <w:sz w:val="21"/>
          <w:szCs w:val="21"/>
          <w:lang w:eastAsia="zh-CN"/>
        </w:rPr>
        <w:t>的干扰实验</w:t>
      </w:r>
    </w:p>
    <w:p w14:paraId="4707797F">
      <w:pPr>
        <w:spacing w:line="360" w:lineRule="auto"/>
        <w:ind w:firstLine="210" w:firstLineChars="100"/>
        <w:rPr>
          <w:rFonts w:hint="eastAsia" w:ascii="宋体" w:hAnsi="宋体" w:cs="宋体"/>
          <w:color w:val="000000"/>
          <w:lang w:val="en-US" w:eastAsia="zh-CN"/>
        </w:rPr>
      </w:pPr>
      <w:r>
        <w:rPr>
          <w:rFonts w:hint="eastAsia" w:ascii="宋体" w:hAnsi="宋体" w:cs="宋体"/>
          <w:color w:val="000000"/>
          <w:lang w:val="en-US" w:eastAsia="zh-CN"/>
        </w:rPr>
        <w:t xml:space="preserve">  选取</w:t>
      </w:r>
      <w:r>
        <w:rPr>
          <w:rFonts w:hint="eastAsia" w:ascii="宋体" w:hAnsi="宋体" w:cs="宋体"/>
          <w:lang w:val="en-US" w:eastAsia="zh-CN"/>
        </w:rPr>
        <w:t>Gd</w:t>
      </w:r>
      <w:r>
        <w:rPr>
          <w:rFonts w:hint="eastAsia" w:ascii="宋体" w:hAnsi="宋体" w:cs="宋体"/>
          <w:vertAlign w:val="subscript"/>
        </w:rPr>
        <w:t>2</w:t>
      </w:r>
      <w:r>
        <w:rPr>
          <w:rFonts w:hint="eastAsia" w:ascii="宋体" w:hAnsi="宋体" w:cs="宋体"/>
        </w:rPr>
        <w:t>O</w:t>
      </w:r>
      <w:r>
        <w:rPr>
          <w:rFonts w:hint="eastAsia" w:ascii="宋体" w:hAnsi="宋体" w:cs="宋体"/>
          <w:vertAlign w:val="subscript"/>
        </w:rPr>
        <w:t>3</w:t>
      </w:r>
      <w:r>
        <w:rPr>
          <w:rFonts w:hint="eastAsia" w:ascii="宋体" w:hAnsi="宋体" w:cs="宋体"/>
        </w:rPr>
        <w:t>、</w:t>
      </w:r>
      <w:r>
        <w:rPr>
          <w:rFonts w:hint="eastAsia" w:ascii="宋体" w:hAnsi="宋体" w:cs="宋体"/>
          <w:lang w:val="en-US" w:eastAsia="zh-CN"/>
        </w:rPr>
        <w:t>Ho</w:t>
      </w:r>
      <w:r>
        <w:rPr>
          <w:rFonts w:hint="eastAsia" w:ascii="宋体" w:hAnsi="宋体" w:cs="宋体"/>
          <w:vertAlign w:val="subscript"/>
        </w:rPr>
        <w:t>2</w:t>
      </w:r>
      <w:r>
        <w:rPr>
          <w:rFonts w:hint="eastAsia" w:ascii="宋体" w:hAnsi="宋体" w:cs="宋体"/>
        </w:rPr>
        <w:t>O</w:t>
      </w:r>
      <w:r>
        <w:rPr>
          <w:rFonts w:hint="eastAsia" w:ascii="宋体" w:hAnsi="宋体" w:cs="宋体"/>
          <w:vertAlign w:val="subscript"/>
        </w:rPr>
        <w:t>3</w:t>
      </w:r>
      <w:r>
        <w:rPr>
          <w:rFonts w:hint="eastAsia" w:ascii="宋体" w:hAnsi="宋体"/>
        </w:rPr>
        <w:t>的</w:t>
      </w:r>
      <w:r>
        <w:rPr>
          <w:rFonts w:hint="eastAsia" w:ascii="宋体" w:hAnsi="宋体"/>
          <w:lang w:eastAsia="zh-CN"/>
        </w:rPr>
        <w:t>两</w:t>
      </w:r>
      <w:r>
        <w:rPr>
          <w:rFonts w:hint="eastAsia" w:ascii="宋体" w:hAnsi="宋体"/>
        </w:rPr>
        <w:t>种不同基体</w:t>
      </w:r>
      <w:r>
        <w:rPr>
          <w:rFonts w:hint="eastAsia" w:ascii="宋体" w:hAnsi="宋体"/>
          <w:lang w:eastAsia="zh-CN"/>
        </w:rPr>
        <w:t>，</w:t>
      </w:r>
      <w:r>
        <w:rPr>
          <w:rFonts w:hint="eastAsia" w:ascii="宋体" w:hAnsi="宋体"/>
        </w:rPr>
        <w:t>配制浓度</w:t>
      </w:r>
      <w:r>
        <w:rPr>
          <w:rFonts w:hint="eastAsia" w:ascii="宋体" w:hAnsi="宋体"/>
          <w:lang w:val="en-US" w:eastAsia="zh-CN"/>
        </w:rPr>
        <w:t>8</w:t>
      </w:r>
      <w:r>
        <w:rPr>
          <w:rFonts w:hint="eastAsia" w:ascii="宋体" w:hAnsi="宋体"/>
        </w:rPr>
        <w:t>mg/mL</w:t>
      </w:r>
      <w:r>
        <w:rPr>
          <w:rFonts w:hint="eastAsia" w:ascii="宋体" w:hAnsi="宋体"/>
          <w:lang w:eastAsia="zh-CN"/>
        </w:rPr>
        <w:t>，</w:t>
      </w:r>
      <w:r>
        <w:rPr>
          <w:rFonts w:hint="eastAsia" w:ascii="宋体" w:hAnsi="宋体" w:cs="宋体"/>
          <w:color w:val="000000"/>
          <w:lang w:eastAsia="zh-CN"/>
        </w:rPr>
        <w:t>分别加入</w:t>
      </w:r>
      <w:r>
        <w:rPr>
          <w:rFonts w:ascii="宋体" w:hAnsi="宋体"/>
          <w:color w:val="000000" w:themeColor="text1"/>
          <w14:textFill>
            <w14:solidFill>
              <w14:schemeClr w14:val="tx1"/>
            </w14:solidFill>
          </w14:textFill>
        </w:rPr>
        <w:t>200µgFe、</w:t>
      </w:r>
      <w:r>
        <w:rPr>
          <w:rFonts w:hint="eastAsia" w:ascii="宋体" w:hAnsi="宋体"/>
          <w:color w:val="000000" w:themeColor="text1"/>
          <w:lang w:val="en-US" w:eastAsia="zh-CN"/>
          <w14:textFill>
            <w14:solidFill>
              <w14:schemeClr w14:val="tx1"/>
            </w14:solidFill>
          </w14:textFill>
        </w:rPr>
        <w:t>200</w:t>
      </w:r>
      <w:r>
        <w:rPr>
          <w:rFonts w:ascii="宋体" w:hAnsi="宋体"/>
          <w:color w:val="000000" w:themeColor="text1"/>
          <w14:textFill>
            <w14:solidFill>
              <w14:schemeClr w14:val="tx1"/>
            </w14:solidFill>
          </w14:textFill>
        </w:rPr>
        <w:t>µgNi、</w:t>
      </w:r>
      <w:r>
        <w:rPr>
          <w:rFonts w:hint="eastAsia" w:ascii="宋体" w:hAnsi="宋体"/>
          <w:color w:val="000000" w:themeColor="text1"/>
          <w:lang w:val="en-US" w:eastAsia="zh-CN"/>
          <w14:textFill>
            <w14:solidFill>
              <w14:schemeClr w14:val="tx1"/>
            </w14:solidFill>
          </w14:textFill>
        </w:rPr>
        <w:t>200</w:t>
      </w:r>
      <w:r>
        <w:rPr>
          <w:rFonts w:ascii="宋体" w:hAnsi="宋体"/>
          <w:color w:val="000000" w:themeColor="text1"/>
          <w14:textFill>
            <w14:solidFill>
              <w14:schemeClr w14:val="tx1"/>
            </w14:solidFill>
          </w14:textFill>
        </w:rPr>
        <w:t>µgCu、</w:t>
      </w:r>
      <w:r>
        <w:rPr>
          <w:rFonts w:hint="eastAsia" w:ascii="宋体" w:hAnsi="宋体"/>
          <w:color w:val="000000" w:themeColor="text1"/>
          <w:lang w:val="en-US" w:eastAsia="zh-CN"/>
          <w14:textFill>
            <w14:solidFill>
              <w14:schemeClr w14:val="tx1"/>
            </w14:solidFill>
          </w14:textFill>
        </w:rPr>
        <w:t>20</w:t>
      </w:r>
      <w:r>
        <w:rPr>
          <w:rFonts w:ascii="宋体" w:hAnsi="宋体"/>
          <w:color w:val="000000" w:themeColor="text1"/>
          <w14:textFill>
            <w14:solidFill>
              <w14:schemeClr w14:val="tx1"/>
            </w14:solidFill>
          </w14:textFill>
        </w:rPr>
        <w:t>0µgZn、</w:t>
      </w:r>
      <w:r>
        <w:rPr>
          <w:rFonts w:hint="eastAsia" w:ascii="宋体" w:hAnsi="宋体"/>
          <w:color w:val="000000" w:themeColor="text1"/>
          <w:lang w:val="en-US" w:eastAsia="zh-CN"/>
          <w14:textFill>
            <w14:solidFill>
              <w14:schemeClr w14:val="tx1"/>
            </w14:solidFill>
          </w14:textFill>
        </w:rPr>
        <w:t>20</w:t>
      </w:r>
      <w:r>
        <w:rPr>
          <w:rFonts w:ascii="宋体" w:hAnsi="宋体"/>
          <w:color w:val="000000" w:themeColor="text1"/>
          <w14:textFill>
            <w14:solidFill>
              <w14:schemeClr w14:val="tx1"/>
            </w14:solidFill>
          </w14:textFill>
        </w:rPr>
        <w:t>0µg</w:t>
      </w:r>
      <w:r>
        <w:rPr>
          <w:rFonts w:hint="eastAsia" w:ascii="宋体" w:hAnsi="宋体"/>
          <w:color w:val="000000" w:themeColor="text1"/>
          <w:lang w:val="en-US" w:eastAsia="zh-CN"/>
          <w14:textFill>
            <w14:solidFill>
              <w14:schemeClr w14:val="tx1"/>
            </w14:solidFill>
          </w14:textFill>
        </w:rPr>
        <w:t>Pb</w:t>
      </w:r>
      <w:r>
        <w:rPr>
          <w:rFonts w:ascii="宋体" w:hAnsi="宋体"/>
          <w:color w:val="000000" w:themeColor="text1"/>
          <w14:textFill>
            <w14:solidFill>
              <w14:schemeClr w14:val="tx1"/>
            </w14:solidFill>
          </w14:textFill>
        </w:rPr>
        <w:t>、200µgK、400µg</w:t>
      </w:r>
      <w:r>
        <w:rPr>
          <w:rFonts w:hint="eastAsia" w:ascii="宋体" w:hAnsi="宋体"/>
          <w:color w:val="000000" w:themeColor="text1"/>
          <w:lang w:val="en-US" w:eastAsia="zh-CN"/>
          <w14:textFill>
            <w14:solidFill>
              <w14:schemeClr w14:val="tx1"/>
            </w14:solidFill>
          </w14:textFill>
        </w:rPr>
        <w:t>Ca</w:t>
      </w:r>
      <w:r>
        <w:rPr>
          <w:rFonts w:ascii="宋体" w:hAnsi="宋体"/>
          <w:color w:val="000000" w:themeColor="text1"/>
          <w14:textFill>
            <w14:solidFill>
              <w14:schemeClr w14:val="tx1"/>
            </w14:solidFill>
          </w14:textFill>
        </w:rPr>
        <w:t>、400µgNa</w:t>
      </w:r>
      <w:r>
        <w:rPr>
          <w:rFonts w:hint="eastAsia" w:ascii="宋体" w:hAnsi="宋体" w:cs="宋体"/>
          <w:color w:val="000000"/>
        </w:rPr>
        <w:t>干扰液</w:t>
      </w:r>
      <w:r>
        <w:rPr>
          <w:rFonts w:hint="eastAsia" w:ascii="宋体" w:hAnsi="宋体" w:cs="宋体"/>
          <w:color w:val="000000"/>
          <w:lang w:eastAsia="zh-CN"/>
        </w:rPr>
        <w:t>，</w:t>
      </w:r>
      <w:r>
        <w:rPr>
          <w:rFonts w:hint="eastAsia" w:ascii="宋体" w:hAnsi="宋体" w:cs="宋体"/>
          <w:lang w:eastAsia="zh-CN"/>
        </w:rPr>
        <w:t>在镁波长处</w:t>
      </w:r>
      <w:r>
        <w:rPr>
          <w:rFonts w:hint="eastAsia" w:ascii="宋体" w:hAnsi="宋体" w:cs="宋体"/>
          <w:color w:val="000000"/>
        </w:rPr>
        <w:t>进行检测，</w:t>
      </w:r>
      <w:r>
        <w:rPr>
          <w:rFonts w:hint="eastAsia" w:ascii="宋体" w:hAnsi="宋体" w:cs="宋体"/>
          <w:color w:val="000000"/>
          <w:lang w:eastAsia="zh-CN"/>
        </w:rPr>
        <w:t>数据见表</w:t>
      </w:r>
      <w:r>
        <w:rPr>
          <w:rFonts w:hint="eastAsia" w:ascii="宋体" w:hAnsi="宋体" w:cs="宋体"/>
          <w:color w:val="000000"/>
          <w:lang w:val="en-US" w:eastAsia="zh-CN"/>
        </w:rPr>
        <w:t>1。</w:t>
      </w:r>
    </w:p>
    <w:p w14:paraId="766DAC75">
      <w:pPr>
        <w:spacing w:line="360" w:lineRule="auto"/>
        <w:ind w:firstLine="210" w:firstLineChars="100"/>
        <w:jc w:val="center"/>
        <w:rPr>
          <w:rFonts w:hint="default" w:ascii="宋体" w:hAnsi="宋体" w:cs="宋体"/>
          <w:color w:val="000000"/>
          <w:lang w:val="en-US" w:eastAsia="zh-CN"/>
        </w:rPr>
      </w:pPr>
      <w:r>
        <w:rPr>
          <w:rFonts w:hint="eastAsia" w:ascii="宋体" w:hAnsi="宋体" w:cs="宋体"/>
          <w:color w:val="000000"/>
          <w:lang w:val="en-US" w:eastAsia="zh-CN"/>
        </w:rPr>
        <w:t>表7</w:t>
      </w:r>
    </w:p>
    <w:tbl>
      <w:tblPr>
        <w:tblStyle w:val="19"/>
        <w:tblW w:w="9855"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1605"/>
        <w:gridCol w:w="1410"/>
        <w:gridCol w:w="2160"/>
        <w:gridCol w:w="1320"/>
        <w:gridCol w:w="1005"/>
      </w:tblGrid>
      <w:tr w14:paraId="619C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55" w:type="dxa"/>
            <w:tcBorders>
              <w:left w:val="single" w:color="auto" w:sz="12" w:space="0"/>
            </w:tcBorders>
            <w:noWrap w:val="0"/>
            <w:vAlign w:val="bottom"/>
          </w:tcPr>
          <w:p w14:paraId="079D5CBE">
            <w:pPr>
              <w:spacing w:line="360" w:lineRule="auto"/>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共存元素</w:t>
            </w:r>
          </w:p>
        </w:tc>
        <w:tc>
          <w:tcPr>
            <w:tcW w:w="1605" w:type="dxa"/>
            <w:noWrap w:val="0"/>
            <w:vAlign w:val="bottom"/>
          </w:tcPr>
          <w:p w14:paraId="7E351677">
            <w:pPr>
              <w:spacing w:line="360" w:lineRule="auto"/>
              <w:jc w:val="center"/>
              <w:rPr>
                <w:rFonts w:ascii="宋体" w:hAnsi="宋体"/>
                <w:color w:val="000000"/>
                <w:sz w:val="18"/>
                <w:szCs w:val="18"/>
              </w:rPr>
            </w:pPr>
            <w:r>
              <w:rPr>
                <w:rFonts w:ascii="宋体" w:hAnsi="宋体"/>
                <w:color w:val="000000"/>
                <w:sz w:val="18"/>
                <w:szCs w:val="18"/>
              </w:rPr>
              <w:t>测得</w:t>
            </w:r>
            <w:r>
              <w:rPr>
                <w:rFonts w:hint="eastAsia" w:ascii="宋体" w:hAnsi="宋体"/>
                <w:color w:val="000000"/>
                <w:sz w:val="18"/>
                <w:szCs w:val="18"/>
                <w:lang w:val="en-US" w:eastAsia="zh-CN"/>
              </w:rPr>
              <w:t>Mg</w:t>
            </w:r>
            <w:r>
              <w:rPr>
                <w:rFonts w:ascii="宋体" w:hAnsi="宋体"/>
                <w:color w:val="000000"/>
                <w:sz w:val="18"/>
                <w:szCs w:val="18"/>
              </w:rPr>
              <w:t>/</w:t>
            </w:r>
            <w:r>
              <w:rPr>
                <w:rFonts w:ascii="宋体" w:hAnsi="宋体"/>
                <w:sz w:val="18"/>
                <w:szCs w:val="18"/>
              </w:rPr>
              <w:t>μg</w:t>
            </w:r>
          </w:p>
        </w:tc>
        <w:tc>
          <w:tcPr>
            <w:tcW w:w="1410" w:type="dxa"/>
            <w:noWrap w:val="0"/>
            <w:vAlign w:val="bottom"/>
          </w:tcPr>
          <w:p w14:paraId="046428A0">
            <w:pPr>
              <w:spacing w:line="360" w:lineRule="auto"/>
              <w:jc w:val="center"/>
              <w:rPr>
                <w:rFonts w:ascii="宋体" w:hAnsi="宋体"/>
                <w:color w:val="000000"/>
                <w:sz w:val="18"/>
                <w:szCs w:val="18"/>
              </w:rPr>
            </w:pPr>
            <w:r>
              <w:rPr>
                <w:rFonts w:ascii="宋体" w:hAnsi="宋体"/>
                <w:color w:val="000000"/>
                <w:sz w:val="18"/>
                <w:szCs w:val="18"/>
              </w:rPr>
              <w:t>回收率 %</w:t>
            </w:r>
          </w:p>
        </w:tc>
        <w:tc>
          <w:tcPr>
            <w:tcW w:w="2160" w:type="dxa"/>
            <w:noWrap w:val="0"/>
            <w:vAlign w:val="bottom"/>
          </w:tcPr>
          <w:p w14:paraId="56037E3B">
            <w:pPr>
              <w:spacing w:line="360" w:lineRule="auto"/>
              <w:jc w:val="center"/>
              <w:rPr>
                <w:rFonts w:ascii="宋体" w:hAnsi="宋体" w:eastAsia="宋体" w:cs="Times New Roman"/>
                <w:color w:val="000000"/>
                <w:kern w:val="2"/>
                <w:sz w:val="18"/>
                <w:szCs w:val="18"/>
                <w:lang w:val="en-US" w:eastAsia="zh-CN" w:bidi="ar-SA"/>
              </w:rPr>
            </w:pPr>
            <w:r>
              <w:rPr>
                <w:rFonts w:hint="eastAsia" w:ascii="宋体" w:hAnsi="宋体" w:cs="宋体"/>
                <w:color w:val="000000"/>
                <w:sz w:val="18"/>
                <w:szCs w:val="18"/>
                <w:lang w:eastAsia="zh-CN"/>
              </w:rPr>
              <w:t>共存元素</w:t>
            </w:r>
          </w:p>
        </w:tc>
        <w:tc>
          <w:tcPr>
            <w:tcW w:w="1320" w:type="dxa"/>
            <w:noWrap w:val="0"/>
            <w:vAlign w:val="bottom"/>
          </w:tcPr>
          <w:p w14:paraId="1EEA3B62">
            <w:pPr>
              <w:spacing w:line="360" w:lineRule="auto"/>
              <w:jc w:val="center"/>
              <w:rPr>
                <w:rFonts w:ascii="宋体" w:hAnsi="宋体" w:eastAsia="宋体" w:cs="Times New Roman"/>
                <w:color w:val="000000"/>
                <w:kern w:val="2"/>
                <w:sz w:val="18"/>
                <w:szCs w:val="18"/>
                <w:lang w:val="en-US" w:eastAsia="zh-CN" w:bidi="ar-SA"/>
              </w:rPr>
            </w:pPr>
            <w:r>
              <w:rPr>
                <w:rFonts w:ascii="宋体" w:hAnsi="宋体"/>
                <w:color w:val="000000"/>
                <w:sz w:val="18"/>
                <w:szCs w:val="18"/>
              </w:rPr>
              <w:t>测得</w:t>
            </w:r>
            <w:r>
              <w:rPr>
                <w:rFonts w:hint="eastAsia" w:ascii="宋体" w:hAnsi="宋体"/>
                <w:color w:val="000000"/>
                <w:sz w:val="18"/>
                <w:szCs w:val="18"/>
                <w:lang w:val="en-US" w:eastAsia="zh-CN"/>
              </w:rPr>
              <w:t>Mg</w:t>
            </w:r>
            <w:r>
              <w:rPr>
                <w:rFonts w:ascii="宋体" w:hAnsi="宋体"/>
                <w:color w:val="000000"/>
                <w:sz w:val="18"/>
                <w:szCs w:val="18"/>
              </w:rPr>
              <w:t>/</w:t>
            </w:r>
            <w:r>
              <w:rPr>
                <w:rFonts w:ascii="宋体" w:hAnsi="宋体"/>
                <w:sz w:val="18"/>
                <w:szCs w:val="18"/>
              </w:rPr>
              <w:t>μg</w:t>
            </w:r>
          </w:p>
        </w:tc>
        <w:tc>
          <w:tcPr>
            <w:tcW w:w="1005" w:type="dxa"/>
            <w:noWrap w:val="0"/>
            <w:vAlign w:val="bottom"/>
          </w:tcPr>
          <w:p w14:paraId="6CE3A3CC">
            <w:pPr>
              <w:spacing w:line="360" w:lineRule="auto"/>
              <w:jc w:val="center"/>
              <w:rPr>
                <w:rFonts w:ascii="宋体" w:hAnsi="宋体"/>
                <w:color w:val="000000"/>
                <w:sz w:val="18"/>
                <w:szCs w:val="18"/>
              </w:rPr>
            </w:pPr>
            <w:r>
              <w:rPr>
                <w:rFonts w:ascii="宋体" w:hAnsi="宋体"/>
                <w:color w:val="000000"/>
                <w:sz w:val="18"/>
                <w:szCs w:val="18"/>
              </w:rPr>
              <w:t>回收率 %</w:t>
            </w:r>
          </w:p>
        </w:tc>
      </w:tr>
      <w:tr w14:paraId="307B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55" w:type="dxa"/>
            <w:tcBorders>
              <w:left w:val="single" w:color="auto" w:sz="12" w:space="0"/>
            </w:tcBorders>
            <w:noWrap w:val="0"/>
            <w:vAlign w:val="bottom"/>
          </w:tcPr>
          <w:p w14:paraId="21C1A7C1">
            <w:pPr>
              <w:spacing w:line="360" w:lineRule="auto"/>
              <w:jc w:val="center"/>
              <w:rPr>
                <w:rFonts w:hint="eastAsia" w:ascii="宋体" w:hAnsi="宋体" w:cs="宋体"/>
                <w:color w:val="000000"/>
                <w:sz w:val="18"/>
                <w:szCs w:val="18"/>
              </w:rPr>
            </w:pPr>
            <w:r>
              <w:rPr>
                <w:rFonts w:hint="eastAsia" w:ascii="宋体" w:hAnsi="宋体" w:cs="宋体"/>
                <w:color w:val="000000"/>
                <w:sz w:val="18"/>
                <w:szCs w:val="18"/>
              </w:rPr>
              <w:t>空白</w:t>
            </w:r>
          </w:p>
        </w:tc>
        <w:tc>
          <w:tcPr>
            <w:tcW w:w="1605" w:type="dxa"/>
            <w:noWrap w:val="0"/>
            <w:vAlign w:val="bottom"/>
          </w:tcPr>
          <w:p w14:paraId="4909D219">
            <w:pP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0.06</w:t>
            </w:r>
          </w:p>
        </w:tc>
        <w:tc>
          <w:tcPr>
            <w:tcW w:w="1410" w:type="dxa"/>
            <w:noWrap w:val="0"/>
            <w:vAlign w:val="bottom"/>
          </w:tcPr>
          <w:p w14:paraId="1BDE70FA">
            <w:pPr>
              <w:spacing w:line="360" w:lineRule="auto"/>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w:t>
            </w:r>
          </w:p>
        </w:tc>
        <w:tc>
          <w:tcPr>
            <w:tcW w:w="2160" w:type="dxa"/>
            <w:noWrap w:val="0"/>
            <w:vAlign w:val="bottom"/>
          </w:tcPr>
          <w:p w14:paraId="74ED7FA9">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c>
          <w:tcPr>
            <w:tcW w:w="1320" w:type="dxa"/>
            <w:noWrap w:val="0"/>
            <w:vAlign w:val="bottom"/>
          </w:tcPr>
          <w:p w14:paraId="2B19A4E5">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c>
          <w:tcPr>
            <w:tcW w:w="1005" w:type="dxa"/>
            <w:noWrap w:val="0"/>
            <w:vAlign w:val="bottom"/>
          </w:tcPr>
          <w:p w14:paraId="0ECAF294">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r>
      <w:tr w14:paraId="54ED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55" w:type="dxa"/>
            <w:tcBorders>
              <w:left w:val="single" w:color="auto" w:sz="12" w:space="0"/>
            </w:tcBorders>
            <w:noWrap w:val="0"/>
            <w:vAlign w:val="bottom"/>
          </w:tcPr>
          <w:p w14:paraId="7E40CB16">
            <w:pPr>
              <w:spacing w:line="360" w:lineRule="auto"/>
              <w:jc w:val="center"/>
              <w:rPr>
                <w:rFonts w:hint="default" w:ascii="宋体" w:hAnsi="宋体" w:eastAsia="宋体"/>
                <w:color w:val="000000"/>
                <w:sz w:val="18"/>
                <w:szCs w:val="18"/>
                <w:lang w:val="en-US" w:eastAsia="zh-CN"/>
              </w:rPr>
            </w:pPr>
            <w:r>
              <w:rPr>
                <w:rFonts w:ascii="宋体" w:hAnsi="宋体"/>
                <w:color w:val="000000"/>
                <w:sz w:val="18"/>
                <w:szCs w:val="18"/>
              </w:rPr>
              <w:t>5</w:t>
            </w:r>
            <w:r>
              <w:rPr>
                <w:rFonts w:ascii="宋体" w:hAnsi="宋体"/>
                <w:sz w:val="18"/>
                <w:szCs w:val="18"/>
              </w:rPr>
              <w:t>μg</w:t>
            </w:r>
            <w:r>
              <w:rPr>
                <w:rFonts w:hint="eastAsia" w:ascii="宋体" w:hAnsi="宋体"/>
                <w:sz w:val="18"/>
                <w:szCs w:val="18"/>
                <w:lang w:val="en-US" w:eastAsia="zh-CN"/>
              </w:rPr>
              <w:t xml:space="preserve"> Mg</w:t>
            </w:r>
          </w:p>
        </w:tc>
        <w:tc>
          <w:tcPr>
            <w:tcW w:w="1605" w:type="dxa"/>
            <w:noWrap w:val="0"/>
            <w:vAlign w:val="bottom"/>
          </w:tcPr>
          <w:p w14:paraId="7A08835A">
            <w:pP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5.00</w:t>
            </w:r>
          </w:p>
        </w:tc>
        <w:tc>
          <w:tcPr>
            <w:tcW w:w="1410" w:type="dxa"/>
            <w:noWrap w:val="0"/>
            <w:vAlign w:val="bottom"/>
          </w:tcPr>
          <w:p w14:paraId="6AE12F16">
            <w:pP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100</w:t>
            </w:r>
          </w:p>
        </w:tc>
        <w:tc>
          <w:tcPr>
            <w:tcW w:w="2160" w:type="dxa"/>
            <w:noWrap w:val="0"/>
            <w:vAlign w:val="bottom"/>
          </w:tcPr>
          <w:p w14:paraId="61BC23A2">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c>
          <w:tcPr>
            <w:tcW w:w="1320" w:type="dxa"/>
            <w:noWrap w:val="0"/>
            <w:vAlign w:val="bottom"/>
          </w:tcPr>
          <w:p w14:paraId="0BEA3117">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c>
          <w:tcPr>
            <w:tcW w:w="1005" w:type="dxa"/>
            <w:noWrap w:val="0"/>
            <w:vAlign w:val="bottom"/>
          </w:tcPr>
          <w:p w14:paraId="28ED04AF">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r>
      <w:tr w14:paraId="5979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55" w:type="dxa"/>
            <w:tcBorders>
              <w:left w:val="single" w:color="auto" w:sz="12" w:space="0"/>
            </w:tcBorders>
            <w:noWrap w:val="0"/>
            <w:vAlign w:val="bottom"/>
          </w:tcPr>
          <w:p w14:paraId="2B9B2E90">
            <w:pPr>
              <w:spacing w:line="360" w:lineRule="auto"/>
              <w:jc w:val="center"/>
              <w:rPr>
                <w:rFonts w:hint="default" w:ascii="宋体" w:hAnsi="宋体" w:eastAsia="宋体"/>
                <w:color w:val="000000"/>
                <w:sz w:val="18"/>
                <w:szCs w:val="18"/>
                <w:lang w:val="en-US" w:eastAsia="zh-CN"/>
              </w:rPr>
            </w:pPr>
            <w:r>
              <w:rPr>
                <w:rFonts w:hint="eastAsia" w:ascii="宋体" w:hAnsi="宋体" w:cs="宋体"/>
                <w:lang w:val="en-US" w:eastAsia="zh-CN"/>
              </w:rPr>
              <w:t>Gd</w:t>
            </w:r>
            <w:r>
              <w:rPr>
                <w:rFonts w:ascii="宋体" w:hAnsi="宋体"/>
                <w:sz w:val="18"/>
                <w:szCs w:val="18"/>
              </w:rPr>
              <w:t>+</w:t>
            </w:r>
            <w:r>
              <w:rPr>
                <w:rFonts w:hint="eastAsia" w:ascii="宋体" w:hAnsi="宋体"/>
                <w:sz w:val="18"/>
                <w:szCs w:val="18"/>
                <w:lang w:val="en-US" w:eastAsia="zh-CN"/>
              </w:rPr>
              <w:t>200</w:t>
            </w:r>
            <w:r>
              <w:rPr>
                <w:rFonts w:ascii="宋体" w:hAnsi="宋体"/>
                <w:sz w:val="18"/>
                <w:szCs w:val="18"/>
              </w:rPr>
              <w:t xml:space="preserve">μg </w:t>
            </w:r>
            <w:r>
              <w:rPr>
                <w:rFonts w:hint="eastAsia" w:ascii="宋体" w:hAnsi="宋体"/>
                <w:sz w:val="18"/>
                <w:szCs w:val="18"/>
                <w:lang w:val="en-US" w:eastAsia="zh-CN"/>
              </w:rPr>
              <w:t>Fe</w:t>
            </w:r>
          </w:p>
        </w:tc>
        <w:tc>
          <w:tcPr>
            <w:tcW w:w="1605" w:type="dxa"/>
            <w:noWrap w:val="0"/>
            <w:vAlign w:val="bottom"/>
          </w:tcPr>
          <w:p w14:paraId="4496ED7A">
            <w:pP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0.16</w:t>
            </w:r>
          </w:p>
        </w:tc>
        <w:tc>
          <w:tcPr>
            <w:tcW w:w="1410" w:type="dxa"/>
            <w:noWrap w:val="0"/>
            <w:vAlign w:val="bottom"/>
          </w:tcPr>
          <w:p w14:paraId="376050DA">
            <w:pPr>
              <w:spacing w:line="360" w:lineRule="auto"/>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w:t>
            </w:r>
          </w:p>
        </w:tc>
        <w:tc>
          <w:tcPr>
            <w:tcW w:w="2160" w:type="dxa"/>
            <w:noWrap w:val="0"/>
            <w:vAlign w:val="bottom"/>
          </w:tcPr>
          <w:p w14:paraId="609AD659">
            <w:pP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cs="宋体"/>
                <w:lang w:val="en-US" w:eastAsia="zh-CN"/>
              </w:rPr>
              <w:t>Ho</w:t>
            </w:r>
            <w:r>
              <w:rPr>
                <w:rFonts w:ascii="宋体" w:hAnsi="宋体"/>
                <w:sz w:val="18"/>
                <w:szCs w:val="18"/>
              </w:rPr>
              <w:t>+</w:t>
            </w:r>
            <w:r>
              <w:rPr>
                <w:rFonts w:hint="eastAsia" w:ascii="宋体" w:hAnsi="宋体"/>
                <w:sz w:val="18"/>
                <w:szCs w:val="18"/>
                <w:lang w:val="en-US" w:eastAsia="zh-CN"/>
              </w:rPr>
              <w:t>200</w:t>
            </w:r>
            <w:r>
              <w:rPr>
                <w:rFonts w:ascii="宋体" w:hAnsi="宋体"/>
                <w:sz w:val="18"/>
                <w:szCs w:val="18"/>
              </w:rPr>
              <w:t xml:space="preserve">μg </w:t>
            </w:r>
            <w:r>
              <w:rPr>
                <w:rFonts w:hint="eastAsia" w:ascii="宋体" w:hAnsi="宋体"/>
                <w:sz w:val="18"/>
                <w:szCs w:val="18"/>
                <w:lang w:val="en-US" w:eastAsia="zh-CN"/>
              </w:rPr>
              <w:t>Fe</w:t>
            </w:r>
          </w:p>
        </w:tc>
        <w:tc>
          <w:tcPr>
            <w:tcW w:w="1320" w:type="dxa"/>
            <w:noWrap w:val="0"/>
            <w:vAlign w:val="bottom"/>
          </w:tcPr>
          <w:p w14:paraId="378B116C">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0.22</w:t>
            </w:r>
          </w:p>
        </w:tc>
        <w:tc>
          <w:tcPr>
            <w:tcW w:w="1005" w:type="dxa"/>
            <w:noWrap w:val="0"/>
            <w:vAlign w:val="bottom"/>
          </w:tcPr>
          <w:p w14:paraId="322B743D">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r>
      <w:tr w14:paraId="096B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55" w:type="dxa"/>
            <w:tcBorders>
              <w:left w:val="single" w:color="auto" w:sz="12" w:space="0"/>
            </w:tcBorders>
            <w:noWrap w:val="0"/>
            <w:vAlign w:val="bottom"/>
          </w:tcPr>
          <w:p w14:paraId="239C6113">
            <w:pPr>
              <w:spacing w:line="360" w:lineRule="auto"/>
              <w:jc w:val="center"/>
              <w:rPr>
                <w:rFonts w:hint="default" w:ascii="宋体" w:hAnsi="宋体" w:eastAsia="宋体"/>
                <w:color w:val="000000"/>
                <w:sz w:val="18"/>
                <w:szCs w:val="18"/>
                <w:lang w:val="en-US" w:eastAsia="zh-CN"/>
              </w:rPr>
            </w:pPr>
            <w:r>
              <w:rPr>
                <w:rFonts w:hint="eastAsia" w:ascii="宋体" w:hAnsi="宋体" w:cs="宋体"/>
                <w:lang w:val="en-US" w:eastAsia="zh-CN"/>
              </w:rPr>
              <w:t>Gd</w:t>
            </w:r>
            <w:r>
              <w:rPr>
                <w:rFonts w:ascii="宋体" w:hAnsi="宋体"/>
                <w:sz w:val="18"/>
                <w:szCs w:val="18"/>
              </w:rPr>
              <w:t>+</w:t>
            </w:r>
            <w:r>
              <w:rPr>
                <w:rFonts w:hint="eastAsia" w:ascii="宋体" w:hAnsi="宋体"/>
                <w:sz w:val="18"/>
                <w:szCs w:val="18"/>
                <w:lang w:val="en-US" w:eastAsia="zh-CN"/>
              </w:rPr>
              <w:t>200</w:t>
            </w:r>
            <w:r>
              <w:rPr>
                <w:rFonts w:ascii="宋体" w:hAnsi="宋体"/>
                <w:sz w:val="18"/>
                <w:szCs w:val="18"/>
              </w:rPr>
              <w:t xml:space="preserve">μg </w:t>
            </w:r>
            <w:r>
              <w:rPr>
                <w:rFonts w:hint="eastAsia" w:ascii="宋体" w:hAnsi="宋体"/>
                <w:sz w:val="18"/>
                <w:szCs w:val="18"/>
                <w:lang w:val="en-US" w:eastAsia="zh-CN"/>
              </w:rPr>
              <w:t>Fe</w:t>
            </w:r>
            <w:r>
              <w:rPr>
                <w:rFonts w:ascii="宋体" w:hAnsi="宋体"/>
                <w:sz w:val="18"/>
                <w:szCs w:val="18"/>
              </w:rPr>
              <w:t>+</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605" w:type="dxa"/>
            <w:noWrap w:val="0"/>
            <w:vAlign w:val="bottom"/>
          </w:tcPr>
          <w:p w14:paraId="61D31241">
            <w:pP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4.85</w:t>
            </w:r>
          </w:p>
        </w:tc>
        <w:tc>
          <w:tcPr>
            <w:tcW w:w="1410" w:type="dxa"/>
            <w:noWrap w:val="0"/>
            <w:vAlign w:val="bottom"/>
          </w:tcPr>
          <w:p w14:paraId="5850FA02">
            <w:pPr>
              <w:spacing w:line="36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97.0</w:t>
            </w:r>
          </w:p>
        </w:tc>
        <w:tc>
          <w:tcPr>
            <w:tcW w:w="2160" w:type="dxa"/>
            <w:noWrap w:val="0"/>
            <w:vAlign w:val="bottom"/>
          </w:tcPr>
          <w:p w14:paraId="5B9E4505">
            <w:pP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cs="宋体"/>
                <w:lang w:val="en-US" w:eastAsia="zh-CN"/>
              </w:rPr>
              <w:t>Ho</w:t>
            </w:r>
            <w:r>
              <w:rPr>
                <w:rFonts w:ascii="宋体" w:hAnsi="宋体"/>
                <w:sz w:val="18"/>
                <w:szCs w:val="18"/>
              </w:rPr>
              <w:t>+</w:t>
            </w:r>
            <w:r>
              <w:rPr>
                <w:rFonts w:hint="eastAsia" w:ascii="宋体" w:hAnsi="宋体"/>
                <w:sz w:val="18"/>
                <w:szCs w:val="18"/>
                <w:lang w:val="en-US" w:eastAsia="zh-CN"/>
              </w:rPr>
              <w:t>200</w:t>
            </w:r>
            <w:r>
              <w:rPr>
                <w:rFonts w:ascii="宋体" w:hAnsi="宋体"/>
                <w:sz w:val="18"/>
                <w:szCs w:val="18"/>
              </w:rPr>
              <w:t xml:space="preserve">μg </w:t>
            </w:r>
            <w:r>
              <w:rPr>
                <w:rFonts w:hint="eastAsia" w:ascii="宋体" w:hAnsi="宋体"/>
                <w:sz w:val="18"/>
                <w:szCs w:val="18"/>
                <w:lang w:val="en-US" w:eastAsia="zh-CN"/>
              </w:rPr>
              <w:t>Fe</w:t>
            </w:r>
            <w:r>
              <w:rPr>
                <w:rFonts w:ascii="宋体" w:hAnsi="宋体"/>
                <w:sz w:val="18"/>
                <w:szCs w:val="18"/>
              </w:rPr>
              <w:t>+</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320" w:type="dxa"/>
            <w:noWrap w:val="0"/>
            <w:vAlign w:val="bottom"/>
          </w:tcPr>
          <w:p w14:paraId="7A4C5D16">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4.88</w:t>
            </w:r>
          </w:p>
        </w:tc>
        <w:tc>
          <w:tcPr>
            <w:tcW w:w="1005" w:type="dxa"/>
            <w:noWrap w:val="0"/>
            <w:vAlign w:val="bottom"/>
          </w:tcPr>
          <w:p w14:paraId="00A499FF">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97.6</w:t>
            </w:r>
          </w:p>
        </w:tc>
      </w:tr>
      <w:tr w14:paraId="3243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55" w:type="dxa"/>
            <w:tcBorders>
              <w:left w:val="single" w:color="auto" w:sz="12" w:space="0"/>
            </w:tcBorders>
            <w:shd w:val="clear" w:color="auto" w:fill="auto"/>
            <w:noWrap w:val="0"/>
            <w:vAlign w:val="bottom"/>
          </w:tcPr>
          <w:p w14:paraId="3496F0AD">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s="宋体"/>
                <w:lang w:val="en-US" w:eastAsia="zh-CN"/>
              </w:rPr>
              <w:t>Gd</w:t>
            </w:r>
            <w:r>
              <w:rPr>
                <w:rFonts w:ascii="宋体" w:hAnsi="宋体"/>
                <w:sz w:val="18"/>
                <w:szCs w:val="18"/>
              </w:rPr>
              <w:t>+</w:t>
            </w:r>
            <w:r>
              <w:rPr>
                <w:rFonts w:hint="eastAsia" w:ascii="宋体" w:hAnsi="宋体"/>
                <w:sz w:val="18"/>
                <w:szCs w:val="18"/>
                <w:lang w:val="en-US" w:eastAsia="zh-CN"/>
              </w:rPr>
              <w:t>200</w:t>
            </w:r>
            <w:r>
              <w:rPr>
                <w:rFonts w:ascii="宋体" w:hAnsi="宋体"/>
                <w:sz w:val="18"/>
                <w:szCs w:val="18"/>
              </w:rPr>
              <w:t xml:space="preserve">μg </w:t>
            </w:r>
            <w:r>
              <w:rPr>
                <w:rFonts w:hint="eastAsia" w:ascii="宋体" w:hAnsi="宋体"/>
                <w:sz w:val="18"/>
                <w:szCs w:val="18"/>
                <w:lang w:val="en-US" w:eastAsia="zh-CN"/>
              </w:rPr>
              <w:t>K</w:t>
            </w:r>
          </w:p>
        </w:tc>
        <w:tc>
          <w:tcPr>
            <w:tcW w:w="1605" w:type="dxa"/>
            <w:noWrap w:val="0"/>
            <w:vAlign w:val="bottom"/>
          </w:tcPr>
          <w:p w14:paraId="6270B073">
            <w:pPr>
              <w:spacing w:line="360" w:lineRule="auto"/>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0.16</w:t>
            </w:r>
          </w:p>
        </w:tc>
        <w:tc>
          <w:tcPr>
            <w:tcW w:w="1410" w:type="dxa"/>
            <w:noWrap w:val="0"/>
            <w:vAlign w:val="bottom"/>
          </w:tcPr>
          <w:p w14:paraId="40B7AD19">
            <w:pPr>
              <w:spacing w:line="360" w:lineRule="auto"/>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w:t>
            </w:r>
          </w:p>
        </w:tc>
        <w:tc>
          <w:tcPr>
            <w:tcW w:w="2160" w:type="dxa"/>
            <w:noWrap w:val="0"/>
            <w:vAlign w:val="bottom"/>
          </w:tcPr>
          <w:p w14:paraId="24495EFD">
            <w:pP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cs="宋体"/>
                <w:lang w:val="en-US" w:eastAsia="zh-CN"/>
              </w:rPr>
              <w:t>Ho</w:t>
            </w:r>
            <w:r>
              <w:rPr>
                <w:rFonts w:ascii="宋体" w:hAnsi="宋体"/>
                <w:sz w:val="18"/>
                <w:szCs w:val="18"/>
              </w:rPr>
              <w:t>+</w:t>
            </w:r>
            <w:r>
              <w:rPr>
                <w:rFonts w:hint="eastAsia" w:ascii="宋体" w:hAnsi="宋体"/>
                <w:sz w:val="18"/>
                <w:szCs w:val="18"/>
                <w:lang w:val="en-US" w:eastAsia="zh-CN"/>
              </w:rPr>
              <w:t>200</w:t>
            </w:r>
            <w:r>
              <w:rPr>
                <w:rFonts w:ascii="宋体" w:hAnsi="宋体"/>
                <w:sz w:val="18"/>
                <w:szCs w:val="18"/>
              </w:rPr>
              <w:t xml:space="preserve">μg </w:t>
            </w:r>
            <w:r>
              <w:rPr>
                <w:rFonts w:hint="eastAsia" w:ascii="宋体" w:hAnsi="宋体"/>
                <w:sz w:val="18"/>
                <w:szCs w:val="18"/>
                <w:lang w:val="en-US" w:eastAsia="zh-CN"/>
              </w:rPr>
              <w:t>K</w:t>
            </w:r>
          </w:p>
        </w:tc>
        <w:tc>
          <w:tcPr>
            <w:tcW w:w="1320" w:type="dxa"/>
            <w:noWrap w:val="0"/>
            <w:vAlign w:val="bottom"/>
          </w:tcPr>
          <w:p w14:paraId="7277ED43">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0.19</w:t>
            </w:r>
          </w:p>
        </w:tc>
        <w:tc>
          <w:tcPr>
            <w:tcW w:w="1005" w:type="dxa"/>
            <w:noWrap w:val="0"/>
            <w:vAlign w:val="bottom"/>
          </w:tcPr>
          <w:p w14:paraId="4EAAD888">
            <w:pP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w:t>
            </w:r>
          </w:p>
        </w:tc>
      </w:tr>
      <w:tr w14:paraId="50DB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55" w:type="dxa"/>
            <w:tcBorders>
              <w:left w:val="single" w:color="auto" w:sz="12" w:space="0"/>
            </w:tcBorders>
            <w:shd w:val="clear" w:color="auto" w:fill="auto"/>
            <w:noWrap w:val="0"/>
            <w:vAlign w:val="bottom"/>
          </w:tcPr>
          <w:p w14:paraId="7B351E2A">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s="宋体"/>
                <w:lang w:val="en-US" w:eastAsia="zh-CN"/>
              </w:rPr>
              <w:t>Gd</w:t>
            </w:r>
            <w:r>
              <w:rPr>
                <w:rFonts w:ascii="宋体" w:hAnsi="宋体"/>
                <w:sz w:val="18"/>
                <w:szCs w:val="18"/>
              </w:rPr>
              <w:t>+</w:t>
            </w:r>
            <w:r>
              <w:rPr>
                <w:rFonts w:hint="eastAsia" w:ascii="宋体" w:hAnsi="宋体"/>
                <w:sz w:val="18"/>
                <w:szCs w:val="18"/>
                <w:lang w:val="en-US" w:eastAsia="zh-CN"/>
              </w:rPr>
              <w:t>200</w:t>
            </w:r>
            <w:r>
              <w:rPr>
                <w:rFonts w:ascii="宋体" w:hAnsi="宋体"/>
                <w:sz w:val="18"/>
                <w:szCs w:val="18"/>
              </w:rPr>
              <w:t xml:space="preserve">μg </w:t>
            </w:r>
            <w:r>
              <w:rPr>
                <w:rFonts w:hint="eastAsia" w:ascii="宋体" w:hAnsi="宋体"/>
                <w:sz w:val="18"/>
                <w:szCs w:val="18"/>
                <w:lang w:val="en-US" w:eastAsia="zh-CN"/>
              </w:rPr>
              <w:t>K</w:t>
            </w:r>
            <w:r>
              <w:rPr>
                <w:rFonts w:ascii="宋体" w:hAnsi="宋体"/>
                <w:sz w:val="18"/>
                <w:szCs w:val="18"/>
              </w:rPr>
              <w:t>+</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605" w:type="dxa"/>
            <w:noWrap w:val="0"/>
            <w:vAlign w:val="bottom"/>
          </w:tcPr>
          <w:p w14:paraId="23F20790">
            <w:pPr>
              <w:spacing w:line="360" w:lineRule="auto"/>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4.8</w:t>
            </w:r>
            <w:r>
              <w:rPr>
                <w:rFonts w:hint="eastAsia" w:ascii="宋体" w:hAnsi="宋体"/>
                <w:color w:val="000000"/>
                <w:sz w:val="18"/>
                <w:szCs w:val="18"/>
                <w:lang w:val="en-US" w:eastAsia="zh-CN"/>
              </w:rPr>
              <w:t>3</w:t>
            </w:r>
          </w:p>
        </w:tc>
        <w:tc>
          <w:tcPr>
            <w:tcW w:w="1410" w:type="dxa"/>
            <w:noWrap w:val="0"/>
            <w:vAlign w:val="bottom"/>
          </w:tcPr>
          <w:p w14:paraId="57629F20">
            <w:pPr>
              <w:spacing w:line="360" w:lineRule="auto"/>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96.</w:t>
            </w:r>
            <w:r>
              <w:rPr>
                <w:rFonts w:hint="eastAsia" w:ascii="宋体" w:hAnsi="宋体"/>
                <w:color w:val="000000"/>
                <w:sz w:val="18"/>
                <w:szCs w:val="18"/>
                <w:lang w:val="en-US" w:eastAsia="zh-CN"/>
              </w:rPr>
              <w:t>6</w:t>
            </w:r>
          </w:p>
        </w:tc>
        <w:tc>
          <w:tcPr>
            <w:tcW w:w="2160" w:type="dxa"/>
            <w:noWrap w:val="0"/>
            <w:vAlign w:val="bottom"/>
          </w:tcPr>
          <w:p w14:paraId="7C476074">
            <w:pP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cs="宋体"/>
                <w:lang w:val="en-US" w:eastAsia="zh-CN"/>
              </w:rPr>
              <w:t>Ho</w:t>
            </w:r>
            <w:r>
              <w:rPr>
                <w:rFonts w:ascii="宋体" w:hAnsi="宋体"/>
                <w:sz w:val="18"/>
                <w:szCs w:val="18"/>
              </w:rPr>
              <w:t>+</w:t>
            </w:r>
            <w:r>
              <w:rPr>
                <w:rFonts w:hint="eastAsia" w:ascii="宋体" w:hAnsi="宋体"/>
                <w:sz w:val="18"/>
                <w:szCs w:val="18"/>
                <w:lang w:val="en-US" w:eastAsia="zh-CN"/>
              </w:rPr>
              <w:t>200</w:t>
            </w:r>
            <w:r>
              <w:rPr>
                <w:rFonts w:ascii="宋体" w:hAnsi="宋体"/>
                <w:sz w:val="18"/>
                <w:szCs w:val="18"/>
              </w:rPr>
              <w:t xml:space="preserve">μg </w:t>
            </w:r>
            <w:r>
              <w:rPr>
                <w:rFonts w:hint="eastAsia" w:ascii="宋体" w:hAnsi="宋体"/>
                <w:sz w:val="18"/>
                <w:szCs w:val="18"/>
                <w:lang w:val="en-US" w:eastAsia="zh-CN"/>
              </w:rPr>
              <w:t>K</w:t>
            </w:r>
            <w:r>
              <w:rPr>
                <w:rFonts w:ascii="宋体" w:hAnsi="宋体"/>
                <w:sz w:val="18"/>
                <w:szCs w:val="18"/>
              </w:rPr>
              <w:t>+</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320" w:type="dxa"/>
            <w:noWrap w:val="0"/>
            <w:vAlign w:val="bottom"/>
          </w:tcPr>
          <w:p w14:paraId="66D917E0">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4.89</w:t>
            </w:r>
          </w:p>
        </w:tc>
        <w:tc>
          <w:tcPr>
            <w:tcW w:w="1005" w:type="dxa"/>
            <w:noWrap w:val="0"/>
            <w:vAlign w:val="bottom"/>
          </w:tcPr>
          <w:p w14:paraId="027AE2C4">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97.8</w:t>
            </w:r>
          </w:p>
        </w:tc>
      </w:tr>
      <w:tr w14:paraId="6D98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55" w:type="dxa"/>
            <w:tcBorders>
              <w:left w:val="single" w:color="auto" w:sz="12" w:space="0"/>
            </w:tcBorders>
            <w:shd w:val="clear" w:color="auto" w:fill="auto"/>
            <w:noWrap w:val="0"/>
            <w:vAlign w:val="bottom"/>
          </w:tcPr>
          <w:p w14:paraId="46CFB392">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s="宋体"/>
                <w:lang w:val="en-US" w:eastAsia="zh-CN"/>
              </w:rPr>
              <w:t>Gd</w:t>
            </w:r>
            <w:r>
              <w:rPr>
                <w:rFonts w:ascii="宋体" w:hAnsi="宋体"/>
                <w:sz w:val="18"/>
                <w:szCs w:val="18"/>
              </w:rPr>
              <w:t>+</w:t>
            </w:r>
            <w:r>
              <w:rPr>
                <w:rFonts w:hint="eastAsia" w:ascii="宋体" w:hAnsi="宋体"/>
                <w:sz w:val="18"/>
                <w:szCs w:val="18"/>
                <w:lang w:val="en-US" w:eastAsia="zh-CN"/>
              </w:rPr>
              <w:t>200</w:t>
            </w:r>
            <w:r>
              <w:rPr>
                <w:rFonts w:ascii="宋体" w:hAnsi="宋体"/>
                <w:sz w:val="18"/>
                <w:szCs w:val="18"/>
              </w:rPr>
              <w:t xml:space="preserve">μg </w:t>
            </w:r>
            <w:r>
              <w:rPr>
                <w:rFonts w:hint="eastAsia" w:ascii="宋体" w:hAnsi="宋体"/>
                <w:sz w:val="18"/>
                <w:szCs w:val="18"/>
                <w:lang w:val="en-US" w:eastAsia="zh-CN"/>
              </w:rPr>
              <w:t>Ni</w:t>
            </w:r>
          </w:p>
        </w:tc>
        <w:tc>
          <w:tcPr>
            <w:tcW w:w="1605" w:type="dxa"/>
            <w:noWrap w:val="0"/>
            <w:vAlign w:val="bottom"/>
          </w:tcPr>
          <w:p w14:paraId="156E42FD">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0.19</w:t>
            </w:r>
          </w:p>
        </w:tc>
        <w:tc>
          <w:tcPr>
            <w:tcW w:w="1410" w:type="dxa"/>
            <w:noWrap w:val="0"/>
            <w:vAlign w:val="bottom"/>
          </w:tcPr>
          <w:p w14:paraId="0DC19D7F">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c>
          <w:tcPr>
            <w:tcW w:w="2160" w:type="dxa"/>
            <w:shd w:val="clear" w:color="auto" w:fill="auto"/>
            <w:noWrap w:val="0"/>
            <w:vAlign w:val="bottom"/>
          </w:tcPr>
          <w:p w14:paraId="710D82B2">
            <w:pP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cs="宋体"/>
                <w:lang w:val="en-US" w:eastAsia="zh-CN"/>
              </w:rPr>
              <w:t>Ho</w:t>
            </w:r>
            <w:r>
              <w:rPr>
                <w:rFonts w:ascii="宋体" w:hAnsi="宋体"/>
                <w:sz w:val="18"/>
                <w:szCs w:val="18"/>
              </w:rPr>
              <w:t>+</w:t>
            </w:r>
            <w:r>
              <w:rPr>
                <w:rFonts w:hint="eastAsia" w:ascii="宋体" w:hAnsi="宋体"/>
                <w:sz w:val="18"/>
                <w:szCs w:val="18"/>
                <w:lang w:val="en-US" w:eastAsia="zh-CN"/>
              </w:rPr>
              <w:t>200</w:t>
            </w:r>
            <w:r>
              <w:rPr>
                <w:rFonts w:ascii="宋体" w:hAnsi="宋体"/>
                <w:sz w:val="18"/>
                <w:szCs w:val="18"/>
              </w:rPr>
              <w:t xml:space="preserve">μg </w:t>
            </w:r>
            <w:r>
              <w:rPr>
                <w:rFonts w:hint="eastAsia" w:ascii="宋体" w:hAnsi="宋体"/>
                <w:sz w:val="18"/>
                <w:szCs w:val="18"/>
                <w:lang w:val="en-US" w:eastAsia="zh-CN"/>
              </w:rPr>
              <w:t>Ni</w:t>
            </w:r>
          </w:p>
        </w:tc>
        <w:tc>
          <w:tcPr>
            <w:tcW w:w="1320" w:type="dxa"/>
            <w:noWrap w:val="0"/>
            <w:vAlign w:val="bottom"/>
          </w:tcPr>
          <w:p w14:paraId="6126C88A">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0.22</w:t>
            </w:r>
          </w:p>
        </w:tc>
        <w:tc>
          <w:tcPr>
            <w:tcW w:w="1005" w:type="dxa"/>
            <w:noWrap w:val="0"/>
            <w:vAlign w:val="bottom"/>
          </w:tcPr>
          <w:p w14:paraId="59514E7B">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r>
      <w:tr w14:paraId="2ED9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55" w:type="dxa"/>
            <w:tcBorders>
              <w:left w:val="single" w:color="auto" w:sz="12" w:space="0"/>
            </w:tcBorders>
            <w:shd w:val="clear" w:color="auto" w:fill="auto"/>
            <w:noWrap w:val="0"/>
            <w:vAlign w:val="bottom"/>
          </w:tcPr>
          <w:p w14:paraId="1A36EA43">
            <w:pP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cs="宋体"/>
                <w:lang w:val="en-US" w:eastAsia="zh-CN"/>
              </w:rPr>
              <w:t>Gd</w:t>
            </w:r>
            <w:r>
              <w:rPr>
                <w:rFonts w:ascii="宋体" w:hAnsi="宋体"/>
                <w:sz w:val="18"/>
                <w:szCs w:val="18"/>
              </w:rPr>
              <w:t>+</w:t>
            </w:r>
            <w:r>
              <w:rPr>
                <w:rFonts w:hint="eastAsia" w:ascii="宋体" w:hAnsi="宋体"/>
                <w:sz w:val="18"/>
                <w:szCs w:val="18"/>
                <w:lang w:val="en-US" w:eastAsia="zh-CN"/>
              </w:rPr>
              <w:t>200</w:t>
            </w:r>
            <w:r>
              <w:rPr>
                <w:rFonts w:ascii="宋体" w:hAnsi="宋体"/>
                <w:sz w:val="18"/>
                <w:szCs w:val="18"/>
              </w:rPr>
              <w:t xml:space="preserve">μg </w:t>
            </w:r>
            <w:r>
              <w:rPr>
                <w:rFonts w:hint="eastAsia" w:ascii="宋体" w:hAnsi="宋体"/>
                <w:sz w:val="18"/>
                <w:szCs w:val="18"/>
                <w:lang w:val="en-US" w:eastAsia="zh-CN"/>
              </w:rPr>
              <w:t>Ni</w:t>
            </w:r>
            <w:r>
              <w:rPr>
                <w:rFonts w:ascii="宋体" w:hAnsi="宋体"/>
                <w:sz w:val="18"/>
                <w:szCs w:val="18"/>
              </w:rPr>
              <w:t>+</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605" w:type="dxa"/>
            <w:noWrap w:val="0"/>
            <w:vAlign w:val="bottom"/>
          </w:tcPr>
          <w:p w14:paraId="6050CBA6">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4.85</w:t>
            </w:r>
          </w:p>
        </w:tc>
        <w:tc>
          <w:tcPr>
            <w:tcW w:w="1410" w:type="dxa"/>
            <w:noWrap w:val="0"/>
            <w:vAlign w:val="bottom"/>
          </w:tcPr>
          <w:p w14:paraId="47FC9B5D">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97.0</w:t>
            </w:r>
          </w:p>
        </w:tc>
        <w:tc>
          <w:tcPr>
            <w:tcW w:w="2160" w:type="dxa"/>
            <w:shd w:val="clear" w:color="auto" w:fill="auto"/>
            <w:noWrap w:val="0"/>
            <w:vAlign w:val="bottom"/>
          </w:tcPr>
          <w:p w14:paraId="04254608">
            <w:pP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cs="宋体"/>
                <w:lang w:val="en-US" w:eastAsia="zh-CN"/>
              </w:rPr>
              <w:t>Ho</w:t>
            </w:r>
            <w:r>
              <w:rPr>
                <w:rFonts w:ascii="宋体" w:hAnsi="宋体"/>
                <w:sz w:val="18"/>
                <w:szCs w:val="18"/>
              </w:rPr>
              <w:t>+</w:t>
            </w:r>
            <w:r>
              <w:rPr>
                <w:rFonts w:hint="eastAsia" w:ascii="宋体" w:hAnsi="宋体"/>
                <w:sz w:val="18"/>
                <w:szCs w:val="18"/>
                <w:lang w:val="en-US" w:eastAsia="zh-CN"/>
              </w:rPr>
              <w:t>200</w:t>
            </w:r>
            <w:r>
              <w:rPr>
                <w:rFonts w:ascii="宋体" w:hAnsi="宋体"/>
                <w:sz w:val="18"/>
                <w:szCs w:val="18"/>
              </w:rPr>
              <w:t xml:space="preserve">μg </w:t>
            </w:r>
            <w:r>
              <w:rPr>
                <w:rFonts w:hint="eastAsia" w:ascii="宋体" w:hAnsi="宋体"/>
                <w:sz w:val="18"/>
                <w:szCs w:val="18"/>
                <w:lang w:val="en-US" w:eastAsia="zh-CN"/>
              </w:rPr>
              <w:t>Ni</w:t>
            </w:r>
            <w:r>
              <w:rPr>
                <w:rFonts w:ascii="宋体" w:hAnsi="宋体"/>
                <w:sz w:val="18"/>
                <w:szCs w:val="18"/>
              </w:rPr>
              <w:t>+</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320" w:type="dxa"/>
            <w:noWrap w:val="0"/>
            <w:vAlign w:val="bottom"/>
          </w:tcPr>
          <w:p w14:paraId="73EDA6BF">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4.84</w:t>
            </w:r>
          </w:p>
        </w:tc>
        <w:tc>
          <w:tcPr>
            <w:tcW w:w="1005" w:type="dxa"/>
            <w:noWrap w:val="0"/>
            <w:vAlign w:val="bottom"/>
          </w:tcPr>
          <w:p w14:paraId="3F9E2A04">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96.8</w:t>
            </w:r>
          </w:p>
        </w:tc>
      </w:tr>
      <w:tr w14:paraId="0BD7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55" w:type="dxa"/>
            <w:tcBorders>
              <w:left w:val="single" w:color="auto" w:sz="12" w:space="0"/>
            </w:tcBorders>
            <w:shd w:val="clear" w:color="auto" w:fill="auto"/>
            <w:noWrap w:val="0"/>
            <w:vAlign w:val="bottom"/>
          </w:tcPr>
          <w:p w14:paraId="02A64CA3">
            <w:pPr>
              <w:spacing w:line="360" w:lineRule="auto"/>
              <w:jc w:val="center"/>
              <w:rPr>
                <w:rFonts w:hint="default" w:ascii="宋体" w:hAnsi="宋体" w:eastAsia="宋体" w:cs="Times New Roman"/>
                <w:color w:val="000000"/>
                <w:kern w:val="2"/>
                <w:sz w:val="18"/>
                <w:szCs w:val="18"/>
                <w:lang w:val="en-US" w:eastAsia="zh-CN" w:bidi="ar-SA"/>
              </w:rPr>
            </w:pPr>
            <w:r>
              <w:rPr>
                <w:rFonts w:hint="eastAsia" w:ascii="宋体" w:hAnsi="宋体" w:cs="宋体"/>
                <w:lang w:val="en-US" w:eastAsia="zh-CN"/>
              </w:rPr>
              <w:t>Gd</w:t>
            </w:r>
            <w:r>
              <w:rPr>
                <w:rFonts w:ascii="宋体" w:hAnsi="宋体"/>
                <w:sz w:val="18"/>
                <w:szCs w:val="18"/>
              </w:rPr>
              <w:t>+</w:t>
            </w:r>
            <w:r>
              <w:rPr>
                <w:rFonts w:hint="eastAsia" w:ascii="宋体" w:hAnsi="宋体"/>
                <w:sz w:val="18"/>
                <w:szCs w:val="18"/>
                <w:lang w:val="en-US" w:eastAsia="zh-CN"/>
              </w:rPr>
              <w:t>200</w:t>
            </w:r>
            <w:r>
              <w:rPr>
                <w:rFonts w:ascii="宋体" w:hAnsi="宋体"/>
                <w:sz w:val="18"/>
                <w:szCs w:val="18"/>
              </w:rPr>
              <w:t xml:space="preserve">μg </w:t>
            </w:r>
            <w:r>
              <w:rPr>
                <w:rFonts w:hint="eastAsia" w:ascii="宋体" w:hAnsi="宋体"/>
                <w:sz w:val="18"/>
                <w:szCs w:val="18"/>
                <w:lang w:val="en-US" w:eastAsia="zh-CN"/>
              </w:rPr>
              <w:t>Cu</w:t>
            </w:r>
          </w:p>
        </w:tc>
        <w:tc>
          <w:tcPr>
            <w:tcW w:w="1605" w:type="dxa"/>
            <w:noWrap w:val="0"/>
            <w:vAlign w:val="bottom"/>
          </w:tcPr>
          <w:p w14:paraId="240F749D">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0.24</w:t>
            </w:r>
          </w:p>
        </w:tc>
        <w:tc>
          <w:tcPr>
            <w:tcW w:w="1410" w:type="dxa"/>
            <w:noWrap w:val="0"/>
            <w:vAlign w:val="bottom"/>
          </w:tcPr>
          <w:p w14:paraId="5D387C57">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c>
          <w:tcPr>
            <w:tcW w:w="2160" w:type="dxa"/>
            <w:shd w:val="clear" w:color="auto" w:fill="auto"/>
            <w:noWrap w:val="0"/>
            <w:vAlign w:val="bottom"/>
          </w:tcPr>
          <w:p w14:paraId="6AB1F1A4">
            <w:pP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cs="宋体"/>
                <w:lang w:val="en-US" w:eastAsia="zh-CN"/>
              </w:rPr>
              <w:t>Ho</w:t>
            </w:r>
            <w:r>
              <w:rPr>
                <w:rFonts w:ascii="宋体" w:hAnsi="宋体"/>
                <w:sz w:val="18"/>
                <w:szCs w:val="18"/>
              </w:rPr>
              <w:t>+</w:t>
            </w:r>
            <w:r>
              <w:rPr>
                <w:rFonts w:hint="eastAsia" w:ascii="宋体" w:hAnsi="宋体"/>
                <w:sz w:val="18"/>
                <w:szCs w:val="18"/>
                <w:lang w:val="en-US" w:eastAsia="zh-CN"/>
              </w:rPr>
              <w:t>200</w:t>
            </w:r>
            <w:r>
              <w:rPr>
                <w:rFonts w:ascii="宋体" w:hAnsi="宋体"/>
                <w:sz w:val="18"/>
                <w:szCs w:val="18"/>
              </w:rPr>
              <w:t xml:space="preserve">μg </w:t>
            </w:r>
            <w:r>
              <w:rPr>
                <w:rFonts w:hint="eastAsia" w:ascii="宋体" w:hAnsi="宋体"/>
                <w:sz w:val="18"/>
                <w:szCs w:val="18"/>
                <w:lang w:val="en-US" w:eastAsia="zh-CN"/>
              </w:rPr>
              <w:t>Cu</w:t>
            </w:r>
          </w:p>
        </w:tc>
        <w:tc>
          <w:tcPr>
            <w:tcW w:w="1320" w:type="dxa"/>
            <w:noWrap w:val="0"/>
            <w:vAlign w:val="bottom"/>
          </w:tcPr>
          <w:p w14:paraId="7E228FA1">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0.29</w:t>
            </w:r>
          </w:p>
        </w:tc>
        <w:tc>
          <w:tcPr>
            <w:tcW w:w="1005" w:type="dxa"/>
            <w:noWrap w:val="0"/>
            <w:vAlign w:val="bottom"/>
          </w:tcPr>
          <w:p w14:paraId="34BD160A">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r>
      <w:tr w14:paraId="2A9A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55" w:type="dxa"/>
            <w:tcBorders>
              <w:left w:val="single" w:color="auto" w:sz="12" w:space="0"/>
            </w:tcBorders>
            <w:shd w:val="clear" w:color="auto" w:fill="auto"/>
            <w:noWrap w:val="0"/>
            <w:vAlign w:val="bottom"/>
          </w:tcPr>
          <w:p w14:paraId="4F73EA81">
            <w:pP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cs="宋体"/>
                <w:lang w:val="en-US" w:eastAsia="zh-CN"/>
              </w:rPr>
              <w:t>Gd</w:t>
            </w:r>
            <w:r>
              <w:rPr>
                <w:rFonts w:ascii="宋体" w:hAnsi="宋体"/>
                <w:sz w:val="18"/>
                <w:szCs w:val="18"/>
              </w:rPr>
              <w:t>+</w:t>
            </w:r>
            <w:r>
              <w:rPr>
                <w:rFonts w:hint="eastAsia" w:ascii="宋体" w:hAnsi="宋体"/>
                <w:sz w:val="18"/>
                <w:szCs w:val="18"/>
                <w:lang w:val="en-US" w:eastAsia="zh-CN"/>
              </w:rPr>
              <w:t>200</w:t>
            </w:r>
            <w:r>
              <w:rPr>
                <w:rFonts w:ascii="宋体" w:hAnsi="宋体"/>
                <w:sz w:val="18"/>
                <w:szCs w:val="18"/>
              </w:rPr>
              <w:t xml:space="preserve">μg </w:t>
            </w:r>
            <w:r>
              <w:rPr>
                <w:rFonts w:hint="eastAsia" w:ascii="宋体" w:hAnsi="宋体"/>
                <w:sz w:val="18"/>
                <w:szCs w:val="18"/>
                <w:lang w:val="en-US" w:eastAsia="zh-CN"/>
              </w:rPr>
              <w:t>Cu</w:t>
            </w:r>
            <w:r>
              <w:rPr>
                <w:rFonts w:ascii="宋体" w:hAnsi="宋体"/>
                <w:sz w:val="18"/>
                <w:szCs w:val="18"/>
              </w:rPr>
              <w:t>+</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605" w:type="dxa"/>
            <w:noWrap w:val="0"/>
            <w:vAlign w:val="bottom"/>
          </w:tcPr>
          <w:p w14:paraId="6FDBA4C7">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4.87</w:t>
            </w:r>
          </w:p>
        </w:tc>
        <w:tc>
          <w:tcPr>
            <w:tcW w:w="1410" w:type="dxa"/>
            <w:noWrap w:val="0"/>
            <w:vAlign w:val="bottom"/>
          </w:tcPr>
          <w:p w14:paraId="26A6E238">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97.4</w:t>
            </w:r>
          </w:p>
        </w:tc>
        <w:tc>
          <w:tcPr>
            <w:tcW w:w="2160" w:type="dxa"/>
            <w:shd w:val="clear" w:color="auto" w:fill="auto"/>
            <w:noWrap w:val="0"/>
            <w:vAlign w:val="bottom"/>
          </w:tcPr>
          <w:p w14:paraId="7EEE204E">
            <w:pPr>
              <w:spacing w:line="360" w:lineRule="auto"/>
              <w:jc w:val="center"/>
              <w:rPr>
                <w:rFonts w:hint="eastAsia" w:ascii="宋体" w:hAnsi="宋体" w:eastAsia="宋体" w:cs="Times New Roman"/>
                <w:color w:val="000000"/>
                <w:kern w:val="2"/>
                <w:sz w:val="18"/>
                <w:szCs w:val="18"/>
                <w:lang w:val="en-US" w:eastAsia="zh-CN" w:bidi="ar-SA"/>
              </w:rPr>
            </w:pPr>
            <w:r>
              <w:rPr>
                <w:rFonts w:hint="eastAsia" w:ascii="宋体" w:hAnsi="宋体" w:cs="宋体"/>
                <w:lang w:val="en-US" w:eastAsia="zh-CN"/>
              </w:rPr>
              <w:t>Ho</w:t>
            </w:r>
            <w:r>
              <w:rPr>
                <w:rFonts w:ascii="宋体" w:hAnsi="宋体"/>
                <w:sz w:val="18"/>
                <w:szCs w:val="18"/>
              </w:rPr>
              <w:t>+</w:t>
            </w:r>
            <w:r>
              <w:rPr>
                <w:rFonts w:hint="eastAsia" w:ascii="宋体" w:hAnsi="宋体"/>
                <w:sz w:val="18"/>
                <w:szCs w:val="18"/>
                <w:lang w:val="en-US" w:eastAsia="zh-CN"/>
              </w:rPr>
              <w:t>200</w:t>
            </w:r>
            <w:r>
              <w:rPr>
                <w:rFonts w:ascii="宋体" w:hAnsi="宋体"/>
                <w:sz w:val="18"/>
                <w:szCs w:val="18"/>
              </w:rPr>
              <w:t xml:space="preserve">μg </w:t>
            </w:r>
            <w:r>
              <w:rPr>
                <w:rFonts w:hint="eastAsia" w:ascii="宋体" w:hAnsi="宋体"/>
                <w:sz w:val="18"/>
                <w:szCs w:val="18"/>
                <w:lang w:val="en-US" w:eastAsia="zh-CN"/>
              </w:rPr>
              <w:t>Cu</w:t>
            </w:r>
            <w:r>
              <w:rPr>
                <w:rFonts w:ascii="宋体" w:hAnsi="宋体"/>
                <w:sz w:val="18"/>
                <w:szCs w:val="18"/>
              </w:rPr>
              <w:t>+</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320" w:type="dxa"/>
            <w:noWrap w:val="0"/>
            <w:vAlign w:val="bottom"/>
          </w:tcPr>
          <w:p w14:paraId="06869127">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4.86</w:t>
            </w:r>
          </w:p>
        </w:tc>
        <w:tc>
          <w:tcPr>
            <w:tcW w:w="1005" w:type="dxa"/>
            <w:noWrap w:val="0"/>
            <w:vAlign w:val="bottom"/>
          </w:tcPr>
          <w:p w14:paraId="4E41E3F1">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97.2</w:t>
            </w:r>
          </w:p>
        </w:tc>
      </w:tr>
      <w:tr w14:paraId="7F80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55" w:type="dxa"/>
            <w:tcBorders>
              <w:left w:val="single" w:color="auto" w:sz="12" w:space="0"/>
            </w:tcBorders>
            <w:shd w:val="clear" w:color="auto" w:fill="auto"/>
            <w:noWrap w:val="0"/>
            <w:vAlign w:val="bottom"/>
          </w:tcPr>
          <w:p w14:paraId="49553944">
            <w:pPr>
              <w:spacing w:line="360" w:lineRule="auto"/>
              <w:jc w:val="center"/>
              <w:rPr>
                <w:rFonts w:hint="eastAsia" w:ascii="宋体" w:hAnsi="宋体" w:cs="宋体"/>
                <w:lang w:val="en-US" w:eastAsia="zh-CN"/>
              </w:rPr>
            </w:pPr>
            <w:r>
              <w:rPr>
                <w:rFonts w:hint="eastAsia" w:ascii="宋体" w:hAnsi="宋体" w:cs="宋体"/>
                <w:lang w:val="en-US" w:eastAsia="zh-CN"/>
              </w:rPr>
              <w:t>Gd</w:t>
            </w:r>
            <w:r>
              <w:rPr>
                <w:rFonts w:ascii="宋体" w:hAnsi="宋体"/>
                <w:sz w:val="18"/>
                <w:szCs w:val="18"/>
              </w:rPr>
              <w:t>+</w:t>
            </w:r>
            <w:r>
              <w:rPr>
                <w:rFonts w:hint="eastAsia" w:ascii="宋体" w:hAnsi="宋体"/>
                <w:color w:val="000000" w:themeColor="text1"/>
                <w:lang w:val="en-US" w:eastAsia="zh-CN"/>
                <w14:textFill>
                  <w14:solidFill>
                    <w14:schemeClr w14:val="tx1"/>
                  </w14:solidFill>
                </w14:textFill>
              </w:rPr>
              <w:t>20</w:t>
            </w:r>
            <w:r>
              <w:rPr>
                <w:rFonts w:ascii="宋体" w:hAnsi="宋体"/>
                <w:color w:val="000000" w:themeColor="text1"/>
                <w14:textFill>
                  <w14:solidFill>
                    <w14:schemeClr w14:val="tx1"/>
                  </w14:solidFill>
                </w14:textFill>
              </w:rPr>
              <w:t>0µgZn</w:t>
            </w:r>
          </w:p>
        </w:tc>
        <w:tc>
          <w:tcPr>
            <w:tcW w:w="1605" w:type="dxa"/>
            <w:noWrap w:val="0"/>
            <w:vAlign w:val="bottom"/>
          </w:tcPr>
          <w:p w14:paraId="722C8D40">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0.21</w:t>
            </w:r>
          </w:p>
        </w:tc>
        <w:tc>
          <w:tcPr>
            <w:tcW w:w="1410" w:type="dxa"/>
            <w:noWrap w:val="0"/>
            <w:vAlign w:val="bottom"/>
          </w:tcPr>
          <w:p w14:paraId="2619A6A5">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c>
          <w:tcPr>
            <w:tcW w:w="2160" w:type="dxa"/>
            <w:shd w:val="clear" w:color="auto" w:fill="auto"/>
            <w:noWrap w:val="0"/>
            <w:vAlign w:val="bottom"/>
          </w:tcPr>
          <w:p w14:paraId="2F97EE46">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lang w:val="en-US" w:eastAsia="zh-CN"/>
              </w:rPr>
              <w:t>Ho</w:t>
            </w:r>
            <w:r>
              <w:rPr>
                <w:rFonts w:ascii="宋体" w:hAnsi="宋体"/>
                <w:sz w:val="18"/>
                <w:szCs w:val="18"/>
              </w:rPr>
              <w:t>+</w:t>
            </w:r>
            <w:r>
              <w:rPr>
                <w:rFonts w:hint="eastAsia" w:ascii="宋体" w:hAnsi="宋体"/>
                <w:color w:val="000000" w:themeColor="text1"/>
                <w:lang w:val="en-US" w:eastAsia="zh-CN"/>
                <w14:textFill>
                  <w14:solidFill>
                    <w14:schemeClr w14:val="tx1"/>
                  </w14:solidFill>
                </w14:textFill>
              </w:rPr>
              <w:t>20</w:t>
            </w:r>
            <w:r>
              <w:rPr>
                <w:rFonts w:ascii="宋体" w:hAnsi="宋体"/>
                <w:color w:val="000000" w:themeColor="text1"/>
                <w14:textFill>
                  <w14:solidFill>
                    <w14:schemeClr w14:val="tx1"/>
                  </w14:solidFill>
                </w14:textFill>
              </w:rPr>
              <w:t>0µgZn</w:t>
            </w:r>
          </w:p>
        </w:tc>
        <w:tc>
          <w:tcPr>
            <w:tcW w:w="1320" w:type="dxa"/>
            <w:noWrap w:val="0"/>
            <w:vAlign w:val="bottom"/>
          </w:tcPr>
          <w:p w14:paraId="350FD376">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0.26</w:t>
            </w:r>
          </w:p>
        </w:tc>
        <w:tc>
          <w:tcPr>
            <w:tcW w:w="1005" w:type="dxa"/>
            <w:noWrap w:val="0"/>
            <w:vAlign w:val="bottom"/>
          </w:tcPr>
          <w:p w14:paraId="43815FA7">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r>
      <w:tr w14:paraId="34EA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55" w:type="dxa"/>
            <w:tcBorders>
              <w:left w:val="single" w:color="auto" w:sz="12" w:space="0"/>
            </w:tcBorders>
            <w:shd w:val="clear" w:color="auto" w:fill="auto"/>
            <w:noWrap w:val="0"/>
            <w:vAlign w:val="bottom"/>
          </w:tcPr>
          <w:p w14:paraId="2D42FA97">
            <w:pPr>
              <w:spacing w:line="360" w:lineRule="auto"/>
              <w:jc w:val="center"/>
              <w:rPr>
                <w:rFonts w:hint="eastAsia" w:ascii="宋体" w:hAnsi="宋体" w:cs="宋体"/>
                <w:lang w:val="en-US" w:eastAsia="zh-CN"/>
              </w:rPr>
            </w:pPr>
            <w:r>
              <w:rPr>
                <w:rFonts w:hint="eastAsia" w:ascii="宋体" w:hAnsi="宋体" w:cs="宋体"/>
                <w:lang w:val="en-US" w:eastAsia="zh-CN"/>
              </w:rPr>
              <w:t>Gd</w:t>
            </w:r>
            <w:r>
              <w:rPr>
                <w:rFonts w:ascii="宋体" w:hAnsi="宋体"/>
                <w:sz w:val="18"/>
                <w:szCs w:val="18"/>
              </w:rPr>
              <w:t>+</w:t>
            </w:r>
            <w:r>
              <w:rPr>
                <w:rFonts w:hint="eastAsia" w:ascii="宋体" w:hAnsi="宋体"/>
                <w:color w:val="000000" w:themeColor="text1"/>
                <w:lang w:val="en-US" w:eastAsia="zh-CN"/>
                <w14:textFill>
                  <w14:solidFill>
                    <w14:schemeClr w14:val="tx1"/>
                  </w14:solidFill>
                </w14:textFill>
              </w:rPr>
              <w:t>20</w:t>
            </w:r>
            <w:r>
              <w:rPr>
                <w:rFonts w:ascii="宋体" w:hAnsi="宋体"/>
                <w:color w:val="000000" w:themeColor="text1"/>
                <w14:textFill>
                  <w14:solidFill>
                    <w14:schemeClr w14:val="tx1"/>
                  </w14:solidFill>
                </w14:textFill>
              </w:rPr>
              <w:t>0µgZn</w:t>
            </w:r>
            <w:r>
              <w:rPr>
                <w:rFonts w:ascii="宋体" w:hAnsi="宋体"/>
                <w:sz w:val="18"/>
                <w:szCs w:val="18"/>
              </w:rPr>
              <w:t>+</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605" w:type="dxa"/>
            <w:noWrap w:val="0"/>
            <w:vAlign w:val="bottom"/>
          </w:tcPr>
          <w:p w14:paraId="44393779">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4.66</w:t>
            </w:r>
          </w:p>
        </w:tc>
        <w:tc>
          <w:tcPr>
            <w:tcW w:w="1410" w:type="dxa"/>
            <w:noWrap w:val="0"/>
            <w:vAlign w:val="bottom"/>
          </w:tcPr>
          <w:p w14:paraId="246D2B5B">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93.2</w:t>
            </w:r>
          </w:p>
        </w:tc>
        <w:tc>
          <w:tcPr>
            <w:tcW w:w="2160" w:type="dxa"/>
            <w:shd w:val="clear" w:color="auto" w:fill="auto"/>
            <w:noWrap w:val="0"/>
            <w:vAlign w:val="bottom"/>
          </w:tcPr>
          <w:p w14:paraId="0EA8CC9B">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lang w:val="en-US" w:eastAsia="zh-CN"/>
              </w:rPr>
              <w:t>Ho</w:t>
            </w:r>
            <w:r>
              <w:rPr>
                <w:rFonts w:ascii="宋体" w:hAnsi="宋体"/>
                <w:sz w:val="18"/>
                <w:szCs w:val="18"/>
              </w:rPr>
              <w:t>+</w:t>
            </w:r>
            <w:r>
              <w:rPr>
                <w:rFonts w:hint="eastAsia" w:ascii="宋体" w:hAnsi="宋体"/>
                <w:color w:val="000000" w:themeColor="text1"/>
                <w:lang w:val="en-US" w:eastAsia="zh-CN"/>
                <w14:textFill>
                  <w14:solidFill>
                    <w14:schemeClr w14:val="tx1"/>
                  </w14:solidFill>
                </w14:textFill>
              </w:rPr>
              <w:t>20</w:t>
            </w:r>
            <w:r>
              <w:rPr>
                <w:rFonts w:ascii="宋体" w:hAnsi="宋体"/>
                <w:color w:val="000000" w:themeColor="text1"/>
                <w14:textFill>
                  <w14:solidFill>
                    <w14:schemeClr w14:val="tx1"/>
                  </w14:solidFill>
                </w14:textFill>
              </w:rPr>
              <w:t>0µgZn</w:t>
            </w:r>
            <w:r>
              <w:rPr>
                <w:rFonts w:ascii="宋体" w:hAnsi="宋体"/>
                <w:sz w:val="18"/>
                <w:szCs w:val="18"/>
              </w:rPr>
              <w:t>+</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320" w:type="dxa"/>
            <w:noWrap w:val="0"/>
            <w:vAlign w:val="bottom"/>
          </w:tcPr>
          <w:p w14:paraId="7589598A">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4.74</w:t>
            </w:r>
          </w:p>
        </w:tc>
        <w:tc>
          <w:tcPr>
            <w:tcW w:w="1005" w:type="dxa"/>
            <w:noWrap w:val="0"/>
            <w:vAlign w:val="bottom"/>
          </w:tcPr>
          <w:p w14:paraId="6DB60B9F">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94.8</w:t>
            </w:r>
          </w:p>
        </w:tc>
      </w:tr>
      <w:tr w14:paraId="7FFD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55" w:type="dxa"/>
            <w:tcBorders>
              <w:left w:val="single" w:color="auto" w:sz="12" w:space="0"/>
            </w:tcBorders>
            <w:shd w:val="clear" w:color="auto" w:fill="auto"/>
            <w:noWrap w:val="0"/>
            <w:vAlign w:val="bottom"/>
          </w:tcPr>
          <w:p w14:paraId="686B37DE">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lang w:val="en-US" w:eastAsia="zh-CN"/>
              </w:rPr>
              <w:t>Gd</w:t>
            </w:r>
            <w:r>
              <w:rPr>
                <w:rFonts w:ascii="宋体" w:hAnsi="宋体"/>
                <w:sz w:val="18"/>
                <w:szCs w:val="18"/>
              </w:rPr>
              <w:t>+</w:t>
            </w:r>
            <w:r>
              <w:rPr>
                <w:rFonts w:hint="eastAsia" w:ascii="宋体" w:hAnsi="宋体"/>
                <w:color w:val="000000" w:themeColor="text1"/>
                <w:lang w:val="en-US" w:eastAsia="zh-CN"/>
                <w14:textFill>
                  <w14:solidFill>
                    <w14:schemeClr w14:val="tx1"/>
                  </w14:solidFill>
                </w14:textFill>
              </w:rPr>
              <w:t>20</w:t>
            </w:r>
            <w:r>
              <w:rPr>
                <w:rFonts w:ascii="宋体" w:hAnsi="宋体"/>
                <w:color w:val="000000" w:themeColor="text1"/>
                <w14:textFill>
                  <w14:solidFill>
                    <w14:schemeClr w14:val="tx1"/>
                  </w14:solidFill>
                </w14:textFill>
              </w:rPr>
              <w:t>0µg</w:t>
            </w:r>
            <w:r>
              <w:rPr>
                <w:rFonts w:hint="eastAsia" w:ascii="宋体" w:hAnsi="宋体"/>
                <w:color w:val="000000" w:themeColor="text1"/>
                <w:lang w:val="en-US" w:eastAsia="zh-CN"/>
                <w14:textFill>
                  <w14:solidFill>
                    <w14:schemeClr w14:val="tx1"/>
                  </w14:solidFill>
                </w14:textFill>
              </w:rPr>
              <w:t>Pb</w:t>
            </w:r>
          </w:p>
        </w:tc>
        <w:tc>
          <w:tcPr>
            <w:tcW w:w="1605" w:type="dxa"/>
            <w:noWrap w:val="0"/>
            <w:vAlign w:val="bottom"/>
          </w:tcPr>
          <w:p w14:paraId="64D137B2">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0.21</w:t>
            </w:r>
          </w:p>
        </w:tc>
        <w:tc>
          <w:tcPr>
            <w:tcW w:w="1410" w:type="dxa"/>
            <w:noWrap w:val="0"/>
            <w:vAlign w:val="bottom"/>
          </w:tcPr>
          <w:p w14:paraId="3203C44A">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c>
          <w:tcPr>
            <w:tcW w:w="2160" w:type="dxa"/>
            <w:shd w:val="clear" w:color="auto" w:fill="auto"/>
            <w:noWrap w:val="0"/>
            <w:vAlign w:val="bottom"/>
          </w:tcPr>
          <w:p w14:paraId="55BAD3C6">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lang w:val="en-US" w:eastAsia="zh-CN"/>
              </w:rPr>
              <w:t>Ho</w:t>
            </w:r>
            <w:r>
              <w:rPr>
                <w:rFonts w:ascii="宋体" w:hAnsi="宋体"/>
                <w:sz w:val="18"/>
                <w:szCs w:val="18"/>
              </w:rPr>
              <w:t>+</w:t>
            </w:r>
            <w:r>
              <w:rPr>
                <w:rFonts w:hint="eastAsia" w:ascii="宋体" w:hAnsi="宋体"/>
                <w:color w:val="000000" w:themeColor="text1"/>
                <w:lang w:val="en-US" w:eastAsia="zh-CN"/>
                <w14:textFill>
                  <w14:solidFill>
                    <w14:schemeClr w14:val="tx1"/>
                  </w14:solidFill>
                </w14:textFill>
              </w:rPr>
              <w:t>20</w:t>
            </w:r>
            <w:r>
              <w:rPr>
                <w:rFonts w:ascii="宋体" w:hAnsi="宋体"/>
                <w:color w:val="000000" w:themeColor="text1"/>
                <w14:textFill>
                  <w14:solidFill>
                    <w14:schemeClr w14:val="tx1"/>
                  </w14:solidFill>
                </w14:textFill>
              </w:rPr>
              <w:t>0µg</w:t>
            </w:r>
            <w:r>
              <w:rPr>
                <w:rFonts w:hint="eastAsia" w:ascii="宋体" w:hAnsi="宋体"/>
                <w:color w:val="000000" w:themeColor="text1"/>
                <w:lang w:val="en-US" w:eastAsia="zh-CN"/>
                <w14:textFill>
                  <w14:solidFill>
                    <w14:schemeClr w14:val="tx1"/>
                  </w14:solidFill>
                </w14:textFill>
              </w:rPr>
              <w:t>Pb</w:t>
            </w:r>
          </w:p>
        </w:tc>
        <w:tc>
          <w:tcPr>
            <w:tcW w:w="1320" w:type="dxa"/>
            <w:noWrap w:val="0"/>
            <w:vAlign w:val="bottom"/>
          </w:tcPr>
          <w:p w14:paraId="5D49C676">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0.24</w:t>
            </w:r>
          </w:p>
        </w:tc>
        <w:tc>
          <w:tcPr>
            <w:tcW w:w="1005" w:type="dxa"/>
            <w:noWrap w:val="0"/>
            <w:vAlign w:val="bottom"/>
          </w:tcPr>
          <w:p w14:paraId="13975CC7">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r>
      <w:tr w14:paraId="3052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55" w:type="dxa"/>
            <w:tcBorders>
              <w:left w:val="single" w:color="auto" w:sz="12" w:space="0"/>
            </w:tcBorders>
            <w:shd w:val="clear" w:color="auto" w:fill="auto"/>
            <w:noWrap w:val="0"/>
            <w:vAlign w:val="bottom"/>
          </w:tcPr>
          <w:p w14:paraId="4253FE3C">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lang w:val="en-US" w:eastAsia="zh-CN"/>
              </w:rPr>
              <w:t>Gd</w:t>
            </w:r>
            <w:r>
              <w:rPr>
                <w:rFonts w:ascii="宋体" w:hAnsi="宋体"/>
                <w:sz w:val="18"/>
                <w:szCs w:val="18"/>
              </w:rPr>
              <w:t>+</w:t>
            </w:r>
            <w:r>
              <w:rPr>
                <w:rFonts w:hint="eastAsia" w:ascii="宋体" w:hAnsi="宋体"/>
                <w:color w:val="000000" w:themeColor="text1"/>
                <w:lang w:val="en-US" w:eastAsia="zh-CN"/>
                <w14:textFill>
                  <w14:solidFill>
                    <w14:schemeClr w14:val="tx1"/>
                  </w14:solidFill>
                </w14:textFill>
              </w:rPr>
              <w:t>20</w:t>
            </w:r>
            <w:r>
              <w:rPr>
                <w:rFonts w:ascii="宋体" w:hAnsi="宋体"/>
                <w:color w:val="000000" w:themeColor="text1"/>
                <w14:textFill>
                  <w14:solidFill>
                    <w14:schemeClr w14:val="tx1"/>
                  </w14:solidFill>
                </w14:textFill>
              </w:rPr>
              <w:t>0µg</w:t>
            </w:r>
            <w:r>
              <w:rPr>
                <w:rFonts w:hint="eastAsia" w:ascii="宋体" w:hAnsi="宋体"/>
                <w:color w:val="000000" w:themeColor="text1"/>
                <w:lang w:val="en-US" w:eastAsia="zh-CN"/>
                <w14:textFill>
                  <w14:solidFill>
                    <w14:schemeClr w14:val="tx1"/>
                  </w14:solidFill>
                </w14:textFill>
              </w:rPr>
              <w:t>Pb</w:t>
            </w:r>
            <w:r>
              <w:rPr>
                <w:rFonts w:ascii="宋体" w:hAnsi="宋体"/>
                <w:sz w:val="18"/>
                <w:szCs w:val="18"/>
              </w:rPr>
              <w:t>+</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605" w:type="dxa"/>
            <w:noWrap w:val="0"/>
            <w:vAlign w:val="bottom"/>
          </w:tcPr>
          <w:p w14:paraId="2EF44AD7">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4.69</w:t>
            </w:r>
          </w:p>
        </w:tc>
        <w:tc>
          <w:tcPr>
            <w:tcW w:w="1410" w:type="dxa"/>
            <w:noWrap w:val="0"/>
            <w:vAlign w:val="bottom"/>
          </w:tcPr>
          <w:p w14:paraId="0993AE1C">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93.8</w:t>
            </w:r>
          </w:p>
        </w:tc>
        <w:tc>
          <w:tcPr>
            <w:tcW w:w="2160" w:type="dxa"/>
            <w:shd w:val="clear" w:color="auto" w:fill="auto"/>
            <w:noWrap w:val="0"/>
            <w:vAlign w:val="bottom"/>
          </w:tcPr>
          <w:p w14:paraId="6B3CD1C2">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lang w:val="en-US" w:eastAsia="zh-CN"/>
              </w:rPr>
              <w:t>Ho</w:t>
            </w:r>
            <w:r>
              <w:rPr>
                <w:rFonts w:ascii="宋体" w:hAnsi="宋体"/>
                <w:sz w:val="18"/>
                <w:szCs w:val="18"/>
              </w:rPr>
              <w:t>+</w:t>
            </w:r>
            <w:r>
              <w:rPr>
                <w:rFonts w:hint="eastAsia" w:ascii="宋体" w:hAnsi="宋体"/>
                <w:color w:val="000000" w:themeColor="text1"/>
                <w:lang w:val="en-US" w:eastAsia="zh-CN"/>
                <w14:textFill>
                  <w14:solidFill>
                    <w14:schemeClr w14:val="tx1"/>
                  </w14:solidFill>
                </w14:textFill>
              </w:rPr>
              <w:t>20</w:t>
            </w:r>
            <w:r>
              <w:rPr>
                <w:rFonts w:ascii="宋体" w:hAnsi="宋体"/>
                <w:color w:val="000000" w:themeColor="text1"/>
                <w14:textFill>
                  <w14:solidFill>
                    <w14:schemeClr w14:val="tx1"/>
                  </w14:solidFill>
                </w14:textFill>
              </w:rPr>
              <w:t>0µg</w:t>
            </w:r>
            <w:r>
              <w:rPr>
                <w:rFonts w:hint="eastAsia" w:ascii="宋体" w:hAnsi="宋体"/>
                <w:color w:val="000000" w:themeColor="text1"/>
                <w:lang w:val="en-US" w:eastAsia="zh-CN"/>
                <w14:textFill>
                  <w14:solidFill>
                    <w14:schemeClr w14:val="tx1"/>
                  </w14:solidFill>
                </w14:textFill>
              </w:rPr>
              <w:t>Pb</w:t>
            </w:r>
            <w:r>
              <w:rPr>
                <w:rFonts w:ascii="宋体" w:hAnsi="宋体"/>
                <w:sz w:val="18"/>
                <w:szCs w:val="18"/>
              </w:rPr>
              <w:t>+</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320" w:type="dxa"/>
            <w:noWrap w:val="0"/>
            <w:vAlign w:val="bottom"/>
          </w:tcPr>
          <w:p w14:paraId="1AC0FD32">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4.74</w:t>
            </w:r>
          </w:p>
        </w:tc>
        <w:tc>
          <w:tcPr>
            <w:tcW w:w="1005" w:type="dxa"/>
            <w:noWrap w:val="0"/>
            <w:vAlign w:val="bottom"/>
          </w:tcPr>
          <w:p w14:paraId="65F38F28">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94.8</w:t>
            </w:r>
          </w:p>
          <w:p w14:paraId="361CF822">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.6</w:t>
            </w:r>
          </w:p>
        </w:tc>
      </w:tr>
      <w:tr w14:paraId="4B1D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55" w:type="dxa"/>
            <w:tcBorders>
              <w:left w:val="single" w:color="auto" w:sz="12" w:space="0"/>
            </w:tcBorders>
            <w:shd w:val="clear" w:color="auto" w:fill="auto"/>
            <w:noWrap w:val="0"/>
            <w:vAlign w:val="bottom"/>
          </w:tcPr>
          <w:p w14:paraId="723CEA8A">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lang w:val="en-US" w:eastAsia="zh-CN"/>
              </w:rPr>
              <w:t>Gd</w:t>
            </w:r>
            <w:r>
              <w:rPr>
                <w:rFonts w:ascii="宋体" w:hAnsi="宋体"/>
                <w:sz w:val="18"/>
                <w:szCs w:val="18"/>
              </w:rPr>
              <w:t>+</w:t>
            </w:r>
            <w:r>
              <w:rPr>
                <w:rFonts w:hint="eastAsia" w:ascii="宋体" w:hAnsi="宋体"/>
                <w:color w:val="000000" w:themeColor="text1"/>
                <w:lang w:val="en-US" w:eastAsia="zh-CN"/>
                <w14:textFill>
                  <w14:solidFill>
                    <w14:schemeClr w14:val="tx1"/>
                  </w14:solidFill>
                </w14:textFill>
              </w:rPr>
              <w:t>40</w:t>
            </w:r>
            <w:r>
              <w:rPr>
                <w:rFonts w:ascii="宋体" w:hAnsi="宋体"/>
                <w:color w:val="000000" w:themeColor="text1"/>
                <w14:textFill>
                  <w14:solidFill>
                    <w14:schemeClr w14:val="tx1"/>
                  </w14:solidFill>
                </w14:textFill>
              </w:rPr>
              <w:t>0µg</w:t>
            </w:r>
            <w:r>
              <w:rPr>
                <w:rFonts w:hint="eastAsia" w:ascii="宋体" w:hAnsi="宋体"/>
                <w:color w:val="000000" w:themeColor="text1"/>
                <w:lang w:val="en-US" w:eastAsia="zh-CN"/>
                <w14:textFill>
                  <w14:solidFill>
                    <w14:schemeClr w14:val="tx1"/>
                  </w14:solidFill>
                </w14:textFill>
              </w:rPr>
              <w:t>Ca</w:t>
            </w:r>
          </w:p>
        </w:tc>
        <w:tc>
          <w:tcPr>
            <w:tcW w:w="1605" w:type="dxa"/>
            <w:noWrap w:val="0"/>
            <w:vAlign w:val="bottom"/>
          </w:tcPr>
          <w:p w14:paraId="5EBB4F09">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0.21</w:t>
            </w:r>
          </w:p>
        </w:tc>
        <w:tc>
          <w:tcPr>
            <w:tcW w:w="1410" w:type="dxa"/>
            <w:noWrap w:val="0"/>
            <w:vAlign w:val="bottom"/>
          </w:tcPr>
          <w:p w14:paraId="7405BA46">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c>
          <w:tcPr>
            <w:tcW w:w="2160" w:type="dxa"/>
            <w:shd w:val="clear" w:color="auto" w:fill="auto"/>
            <w:noWrap w:val="0"/>
            <w:vAlign w:val="bottom"/>
          </w:tcPr>
          <w:p w14:paraId="7384F052">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lang w:val="en-US" w:eastAsia="zh-CN"/>
              </w:rPr>
              <w:t>Ho</w:t>
            </w:r>
            <w:r>
              <w:rPr>
                <w:rFonts w:ascii="宋体" w:hAnsi="宋体"/>
                <w:sz w:val="18"/>
                <w:szCs w:val="18"/>
              </w:rPr>
              <w:t>+</w:t>
            </w:r>
            <w:r>
              <w:rPr>
                <w:rFonts w:hint="eastAsia" w:ascii="宋体" w:hAnsi="宋体"/>
                <w:color w:val="000000" w:themeColor="text1"/>
                <w:lang w:val="en-US" w:eastAsia="zh-CN"/>
                <w14:textFill>
                  <w14:solidFill>
                    <w14:schemeClr w14:val="tx1"/>
                  </w14:solidFill>
                </w14:textFill>
              </w:rPr>
              <w:t>40</w:t>
            </w:r>
            <w:r>
              <w:rPr>
                <w:rFonts w:ascii="宋体" w:hAnsi="宋体"/>
                <w:color w:val="000000" w:themeColor="text1"/>
                <w14:textFill>
                  <w14:solidFill>
                    <w14:schemeClr w14:val="tx1"/>
                  </w14:solidFill>
                </w14:textFill>
              </w:rPr>
              <w:t>0µg</w:t>
            </w:r>
            <w:r>
              <w:rPr>
                <w:rFonts w:hint="eastAsia" w:ascii="宋体" w:hAnsi="宋体"/>
                <w:color w:val="000000" w:themeColor="text1"/>
                <w:lang w:val="en-US" w:eastAsia="zh-CN"/>
                <w14:textFill>
                  <w14:solidFill>
                    <w14:schemeClr w14:val="tx1"/>
                  </w14:solidFill>
                </w14:textFill>
              </w:rPr>
              <w:t>Ca</w:t>
            </w:r>
          </w:p>
        </w:tc>
        <w:tc>
          <w:tcPr>
            <w:tcW w:w="1320" w:type="dxa"/>
            <w:noWrap w:val="0"/>
            <w:vAlign w:val="bottom"/>
          </w:tcPr>
          <w:p w14:paraId="4202609F">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0.21</w:t>
            </w:r>
          </w:p>
        </w:tc>
        <w:tc>
          <w:tcPr>
            <w:tcW w:w="1005" w:type="dxa"/>
            <w:noWrap w:val="0"/>
            <w:vAlign w:val="bottom"/>
          </w:tcPr>
          <w:p w14:paraId="793CDFB0">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r>
      <w:tr w14:paraId="7B79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55" w:type="dxa"/>
            <w:tcBorders>
              <w:left w:val="single" w:color="auto" w:sz="12" w:space="0"/>
            </w:tcBorders>
            <w:shd w:val="clear" w:color="auto" w:fill="auto"/>
            <w:noWrap w:val="0"/>
            <w:vAlign w:val="bottom"/>
          </w:tcPr>
          <w:p w14:paraId="3EF270EB">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lang w:val="en-US" w:eastAsia="zh-CN"/>
              </w:rPr>
              <w:t>Gd</w:t>
            </w:r>
            <w:r>
              <w:rPr>
                <w:rFonts w:ascii="宋体" w:hAnsi="宋体"/>
                <w:sz w:val="18"/>
                <w:szCs w:val="18"/>
              </w:rPr>
              <w:t>+</w:t>
            </w:r>
            <w:r>
              <w:rPr>
                <w:rFonts w:hint="eastAsia" w:ascii="宋体" w:hAnsi="宋体"/>
                <w:color w:val="000000" w:themeColor="text1"/>
                <w:lang w:val="en-US" w:eastAsia="zh-CN"/>
                <w14:textFill>
                  <w14:solidFill>
                    <w14:schemeClr w14:val="tx1"/>
                  </w14:solidFill>
                </w14:textFill>
              </w:rPr>
              <w:t>40</w:t>
            </w:r>
            <w:r>
              <w:rPr>
                <w:rFonts w:ascii="宋体" w:hAnsi="宋体"/>
                <w:color w:val="000000" w:themeColor="text1"/>
                <w14:textFill>
                  <w14:solidFill>
                    <w14:schemeClr w14:val="tx1"/>
                  </w14:solidFill>
                </w14:textFill>
              </w:rPr>
              <w:t>0µg</w:t>
            </w:r>
            <w:r>
              <w:rPr>
                <w:rFonts w:hint="eastAsia" w:ascii="宋体" w:hAnsi="宋体"/>
                <w:color w:val="000000" w:themeColor="text1"/>
                <w:lang w:val="en-US" w:eastAsia="zh-CN"/>
                <w14:textFill>
                  <w14:solidFill>
                    <w14:schemeClr w14:val="tx1"/>
                  </w14:solidFill>
                </w14:textFill>
              </w:rPr>
              <w:t>Ca</w:t>
            </w:r>
            <w:r>
              <w:rPr>
                <w:rFonts w:ascii="宋体" w:hAnsi="宋体"/>
                <w:sz w:val="18"/>
                <w:szCs w:val="18"/>
              </w:rPr>
              <w:t>+</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605" w:type="dxa"/>
            <w:noWrap w:val="0"/>
            <w:vAlign w:val="bottom"/>
          </w:tcPr>
          <w:p w14:paraId="12F9048A">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4.63</w:t>
            </w:r>
          </w:p>
        </w:tc>
        <w:tc>
          <w:tcPr>
            <w:tcW w:w="1410" w:type="dxa"/>
            <w:noWrap w:val="0"/>
            <w:vAlign w:val="bottom"/>
          </w:tcPr>
          <w:p w14:paraId="32112245">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92.6</w:t>
            </w:r>
          </w:p>
        </w:tc>
        <w:tc>
          <w:tcPr>
            <w:tcW w:w="2160" w:type="dxa"/>
            <w:shd w:val="clear" w:color="auto" w:fill="auto"/>
            <w:noWrap w:val="0"/>
            <w:vAlign w:val="bottom"/>
          </w:tcPr>
          <w:p w14:paraId="1B5925E1">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lang w:val="en-US" w:eastAsia="zh-CN"/>
              </w:rPr>
              <w:t>Ho</w:t>
            </w:r>
            <w:r>
              <w:rPr>
                <w:rFonts w:ascii="宋体" w:hAnsi="宋体"/>
                <w:sz w:val="18"/>
                <w:szCs w:val="18"/>
              </w:rPr>
              <w:t>+</w:t>
            </w:r>
            <w:r>
              <w:rPr>
                <w:rFonts w:hint="eastAsia" w:ascii="宋体" w:hAnsi="宋体"/>
                <w:color w:val="000000" w:themeColor="text1"/>
                <w:lang w:val="en-US" w:eastAsia="zh-CN"/>
                <w14:textFill>
                  <w14:solidFill>
                    <w14:schemeClr w14:val="tx1"/>
                  </w14:solidFill>
                </w14:textFill>
              </w:rPr>
              <w:t>40</w:t>
            </w:r>
            <w:r>
              <w:rPr>
                <w:rFonts w:ascii="宋体" w:hAnsi="宋体"/>
                <w:color w:val="000000" w:themeColor="text1"/>
                <w14:textFill>
                  <w14:solidFill>
                    <w14:schemeClr w14:val="tx1"/>
                  </w14:solidFill>
                </w14:textFill>
              </w:rPr>
              <w:t>0µg</w:t>
            </w:r>
            <w:r>
              <w:rPr>
                <w:rFonts w:hint="eastAsia" w:ascii="宋体" w:hAnsi="宋体"/>
                <w:color w:val="000000" w:themeColor="text1"/>
                <w:lang w:val="en-US" w:eastAsia="zh-CN"/>
                <w14:textFill>
                  <w14:solidFill>
                    <w14:schemeClr w14:val="tx1"/>
                  </w14:solidFill>
                </w14:textFill>
              </w:rPr>
              <w:t>Ca</w:t>
            </w:r>
            <w:r>
              <w:rPr>
                <w:rFonts w:ascii="宋体" w:hAnsi="宋体"/>
                <w:sz w:val="18"/>
                <w:szCs w:val="18"/>
              </w:rPr>
              <w:t>+</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320" w:type="dxa"/>
            <w:noWrap w:val="0"/>
            <w:vAlign w:val="bottom"/>
          </w:tcPr>
          <w:p w14:paraId="6D883AC6">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4.75</w:t>
            </w:r>
          </w:p>
        </w:tc>
        <w:tc>
          <w:tcPr>
            <w:tcW w:w="1005" w:type="dxa"/>
            <w:noWrap w:val="0"/>
            <w:vAlign w:val="bottom"/>
          </w:tcPr>
          <w:p w14:paraId="735C6DE6">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95.0</w:t>
            </w:r>
          </w:p>
        </w:tc>
      </w:tr>
      <w:tr w14:paraId="0172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55" w:type="dxa"/>
            <w:tcBorders>
              <w:left w:val="single" w:color="auto" w:sz="12" w:space="0"/>
            </w:tcBorders>
            <w:shd w:val="clear" w:color="auto" w:fill="auto"/>
            <w:noWrap w:val="0"/>
            <w:vAlign w:val="bottom"/>
          </w:tcPr>
          <w:p w14:paraId="77526780">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lang w:val="en-US" w:eastAsia="zh-CN"/>
              </w:rPr>
              <w:t>Gd</w:t>
            </w:r>
            <w:r>
              <w:rPr>
                <w:rFonts w:ascii="宋体" w:hAnsi="宋体"/>
                <w:sz w:val="18"/>
                <w:szCs w:val="18"/>
              </w:rPr>
              <w:t>+</w:t>
            </w:r>
            <w:r>
              <w:rPr>
                <w:rFonts w:hint="eastAsia" w:ascii="宋体" w:hAnsi="宋体"/>
                <w:color w:val="000000" w:themeColor="text1"/>
                <w:lang w:val="en-US" w:eastAsia="zh-CN"/>
                <w14:textFill>
                  <w14:solidFill>
                    <w14:schemeClr w14:val="tx1"/>
                  </w14:solidFill>
                </w14:textFill>
              </w:rPr>
              <w:t>40</w:t>
            </w:r>
            <w:r>
              <w:rPr>
                <w:rFonts w:ascii="宋体" w:hAnsi="宋体"/>
                <w:color w:val="000000" w:themeColor="text1"/>
                <w14:textFill>
                  <w14:solidFill>
                    <w14:schemeClr w14:val="tx1"/>
                  </w14:solidFill>
                </w14:textFill>
              </w:rPr>
              <w:t>0µg</w:t>
            </w:r>
            <w:r>
              <w:rPr>
                <w:rFonts w:hint="eastAsia" w:ascii="宋体" w:hAnsi="宋体"/>
                <w:color w:val="000000" w:themeColor="text1"/>
                <w:lang w:val="en-US" w:eastAsia="zh-CN"/>
                <w14:textFill>
                  <w14:solidFill>
                    <w14:schemeClr w14:val="tx1"/>
                  </w14:solidFill>
                </w14:textFill>
              </w:rPr>
              <w:t>Na</w:t>
            </w:r>
          </w:p>
        </w:tc>
        <w:tc>
          <w:tcPr>
            <w:tcW w:w="1605" w:type="dxa"/>
            <w:noWrap w:val="0"/>
            <w:vAlign w:val="bottom"/>
          </w:tcPr>
          <w:p w14:paraId="5ADC46FF">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0.19</w:t>
            </w:r>
          </w:p>
        </w:tc>
        <w:tc>
          <w:tcPr>
            <w:tcW w:w="1410" w:type="dxa"/>
            <w:noWrap w:val="0"/>
            <w:vAlign w:val="bottom"/>
          </w:tcPr>
          <w:p w14:paraId="7D32DA88">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c>
          <w:tcPr>
            <w:tcW w:w="2160" w:type="dxa"/>
            <w:shd w:val="clear" w:color="auto" w:fill="auto"/>
            <w:noWrap w:val="0"/>
            <w:vAlign w:val="bottom"/>
          </w:tcPr>
          <w:p w14:paraId="458AFD10">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lang w:val="en-US" w:eastAsia="zh-CN"/>
              </w:rPr>
              <w:t>Ho</w:t>
            </w:r>
            <w:r>
              <w:rPr>
                <w:rFonts w:ascii="宋体" w:hAnsi="宋体"/>
                <w:sz w:val="18"/>
                <w:szCs w:val="18"/>
              </w:rPr>
              <w:t>+</w:t>
            </w:r>
            <w:r>
              <w:rPr>
                <w:rFonts w:hint="eastAsia" w:ascii="宋体" w:hAnsi="宋体"/>
                <w:color w:val="000000" w:themeColor="text1"/>
                <w:lang w:val="en-US" w:eastAsia="zh-CN"/>
                <w14:textFill>
                  <w14:solidFill>
                    <w14:schemeClr w14:val="tx1"/>
                  </w14:solidFill>
                </w14:textFill>
              </w:rPr>
              <w:t>40</w:t>
            </w:r>
            <w:r>
              <w:rPr>
                <w:rFonts w:ascii="宋体" w:hAnsi="宋体"/>
                <w:color w:val="000000" w:themeColor="text1"/>
                <w14:textFill>
                  <w14:solidFill>
                    <w14:schemeClr w14:val="tx1"/>
                  </w14:solidFill>
                </w14:textFill>
              </w:rPr>
              <w:t>0µg</w:t>
            </w:r>
            <w:r>
              <w:rPr>
                <w:rFonts w:hint="eastAsia" w:ascii="宋体" w:hAnsi="宋体"/>
                <w:color w:val="000000" w:themeColor="text1"/>
                <w:lang w:val="en-US" w:eastAsia="zh-CN"/>
                <w14:textFill>
                  <w14:solidFill>
                    <w14:schemeClr w14:val="tx1"/>
                  </w14:solidFill>
                </w14:textFill>
              </w:rPr>
              <w:t>Na</w:t>
            </w:r>
          </w:p>
        </w:tc>
        <w:tc>
          <w:tcPr>
            <w:tcW w:w="1320" w:type="dxa"/>
            <w:noWrap w:val="0"/>
            <w:vAlign w:val="bottom"/>
          </w:tcPr>
          <w:p w14:paraId="1E6A2939">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0.17</w:t>
            </w:r>
          </w:p>
        </w:tc>
        <w:tc>
          <w:tcPr>
            <w:tcW w:w="1005" w:type="dxa"/>
            <w:noWrap w:val="0"/>
            <w:vAlign w:val="bottom"/>
          </w:tcPr>
          <w:p w14:paraId="22FF12F6">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r>
      <w:tr w14:paraId="5A42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55" w:type="dxa"/>
            <w:tcBorders>
              <w:left w:val="single" w:color="auto" w:sz="12" w:space="0"/>
            </w:tcBorders>
            <w:shd w:val="clear" w:color="auto" w:fill="auto"/>
            <w:noWrap w:val="0"/>
            <w:vAlign w:val="bottom"/>
          </w:tcPr>
          <w:p w14:paraId="3A8ADDF2">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lang w:val="en-US" w:eastAsia="zh-CN"/>
              </w:rPr>
              <w:t>Gd</w:t>
            </w:r>
            <w:r>
              <w:rPr>
                <w:rFonts w:ascii="宋体" w:hAnsi="宋体"/>
                <w:sz w:val="18"/>
                <w:szCs w:val="18"/>
              </w:rPr>
              <w:t>+</w:t>
            </w:r>
            <w:r>
              <w:rPr>
                <w:rFonts w:hint="eastAsia" w:ascii="宋体" w:hAnsi="宋体"/>
                <w:color w:val="000000" w:themeColor="text1"/>
                <w:lang w:val="en-US" w:eastAsia="zh-CN"/>
                <w14:textFill>
                  <w14:solidFill>
                    <w14:schemeClr w14:val="tx1"/>
                  </w14:solidFill>
                </w14:textFill>
              </w:rPr>
              <w:t>40</w:t>
            </w:r>
            <w:r>
              <w:rPr>
                <w:rFonts w:ascii="宋体" w:hAnsi="宋体"/>
                <w:color w:val="000000" w:themeColor="text1"/>
                <w14:textFill>
                  <w14:solidFill>
                    <w14:schemeClr w14:val="tx1"/>
                  </w14:solidFill>
                </w14:textFill>
              </w:rPr>
              <w:t>0µg</w:t>
            </w:r>
            <w:r>
              <w:rPr>
                <w:rFonts w:hint="eastAsia" w:ascii="宋体" w:hAnsi="宋体"/>
                <w:color w:val="000000" w:themeColor="text1"/>
                <w:lang w:val="en-US" w:eastAsia="zh-CN"/>
                <w14:textFill>
                  <w14:solidFill>
                    <w14:schemeClr w14:val="tx1"/>
                  </w14:solidFill>
                </w14:textFill>
              </w:rPr>
              <w:t>Na</w:t>
            </w:r>
            <w:r>
              <w:rPr>
                <w:rFonts w:ascii="宋体" w:hAnsi="宋体"/>
                <w:sz w:val="18"/>
                <w:szCs w:val="18"/>
              </w:rPr>
              <w:t>+</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605" w:type="dxa"/>
            <w:noWrap w:val="0"/>
            <w:vAlign w:val="bottom"/>
          </w:tcPr>
          <w:p w14:paraId="2E6F6266">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4.70</w:t>
            </w:r>
          </w:p>
        </w:tc>
        <w:tc>
          <w:tcPr>
            <w:tcW w:w="1410" w:type="dxa"/>
            <w:noWrap w:val="0"/>
            <w:vAlign w:val="bottom"/>
          </w:tcPr>
          <w:p w14:paraId="6BE20065">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94.0</w:t>
            </w:r>
          </w:p>
        </w:tc>
        <w:tc>
          <w:tcPr>
            <w:tcW w:w="2160" w:type="dxa"/>
            <w:shd w:val="clear" w:color="auto" w:fill="auto"/>
            <w:noWrap w:val="0"/>
            <w:vAlign w:val="bottom"/>
          </w:tcPr>
          <w:p w14:paraId="2EB6BF32">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lang w:val="en-US" w:eastAsia="zh-CN"/>
              </w:rPr>
              <w:t>Ho</w:t>
            </w:r>
            <w:r>
              <w:rPr>
                <w:rFonts w:ascii="宋体" w:hAnsi="宋体"/>
                <w:sz w:val="18"/>
                <w:szCs w:val="18"/>
              </w:rPr>
              <w:t>+</w:t>
            </w:r>
            <w:r>
              <w:rPr>
                <w:rFonts w:hint="eastAsia" w:ascii="宋体" w:hAnsi="宋体"/>
                <w:color w:val="000000" w:themeColor="text1"/>
                <w:lang w:val="en-US" w:eastAsia="zh-CN"/>
                <w14:textFill>
                  <w14:solidFill>
                    <w14:schemeClr w14:val="tx1"/>
                  </w14:solidFill>
                </w14:textFill>
              </w:rPr>
              <w:t>40</w:t>
            </w:r>
            <w:r>
              <w:rPr>
                <w:rFonts w:ascii="宋体" w:hAnsi="宋体"/>
                <w:color w:val="000000" w:themeColor="text1"/>
                <w14:textFill>
                  <w14:solidFill>
                    <w14:schemeClr w14:val="tx1"/>
                  </w14:solidFill>
                </w14:textFill>
              </w:rPr>
              <w:t>0µg</w:t>
            </w:r>
            <w:r>
              <w:rPr>
                <w:rFonts w:hint="eastAsia" w:ascii="宋体" w:hAnsi="宋体"/>
                <w:color w:val="000000" w:themeColor="text1"/>
                <w:lang w:val="en-US" w:eastAsia="zh-CN"/>
                <w14:textFill>
                  <w14:solidFill>
                    <w14:schemeClr w14:val="tx1"/>
                  </w14:solidFill>
                </w14:textFill>
              </w:rPr>
              <w:t>Na</w:t>
            </w:r>
            <w:r>
              <w:rPr>
                <w:rFonts w:ascii="宋体" w:hAnsi="宋体"/>
                <w:sz w:val="18"/>
                <w:szCs w:val="18"/>
              </w:rPr>
              <w:t>+</w:t>
            </w:r>
            <w:r>
              <w:rPr>
                <w:rFonts w:ascii="宋体" w:hAnsi="宋体"/>
                <w:color w:val="000000"/>
                <w:sz w:val="18"/>
                <w:szCs w:val="18"/>
              </w:rPr>
              <w:t>5</w:t>
            </w:r>
            <w:r>
              <w:rPr>
                <w:rFonts w:ascii="宋体" w:hAnsi="宋体"/>
                <w:sz w:val="18"/>
                <w:szCs w:val="18"/>
              </w:rPr>
              <w:t xml:space="preserve">μg </w:t>
            </w:r>
            <w:r>
              <w:rPr>
                <w:rFonts w:hint="eastAsia" w:ascii="宋体" w:hAnsi="宋体"/>
                <w:sz w:val="18"/>
                <w:szCs w:val="18"/>
                <w:lang w:val="en-US" w:eastAsia="zh-CN"/>
              </w:rPr>
              <w:t>Mg</w:t>
            </w:r>
          </w:p>
        </w:tc>
        <w:tc>
          <w:tcPr>
            <w:tcW w:w="1320" w:type="dxa"/>
            <w:noWrap w:val="0"/>
            <w:vAlign w:val="bottom"/>
          </w:tcPr>
          <w:p w14:paraId="45DFA2D5">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4.78</w:t>
            </w:r>
          </w:p>
        </w:tc>
        <w:tc>
          <w:tcPr>
            <w:tcW w:w="1005" w:type="dxa"/>
            <w:noWrap w:val="0"/>
            <w:vAlign w:val="bottom"/>
          </w:tcPr>
          <w:p w14:paraId="727F1683">
            <w:pPr>
              <w:spacing w:line="36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95.6</w:t>
            </w:r>
          </w:p>
        </w:tc>
      </w:tr>
    </w:tbl>
    <w:p w14:paraId="1D1272A1">
      <w:pPr>
        <w:spacing w:line="360" w:lineRule="auto"/>
        <w:ind w:firstLine="210" w:firstLineChars="100"/>
        <w:rPr>
          <w:rFonts w:hint="default" w:ascii="宋体" w:hAnsi="宋体" w:cs="宋体"/>
          <w:color w:val="000000"/>
          <w:lang w:val="en-US" w:eastAsia="zh-CN"/>
        </w:rPr>
      </w:pPr>
      <w:r>
        <w:rPr>
          <w:rFonts w:hint="eastAsia" w:ascii="宋体" w:hAnsi="宋体" w:cs="宋体"/>
          <w:color w:val="000000"/>
          <w:lang w:val="en-US" w:eastAsia="zh-CN"/>
        </w:rPr>
        <w:t>由表7可见，在稀土基体存在时，</w:t>
      </w:r>
      <w:r>
        <w:rPr>
          <w:rFonts w:ascii="宋体" w:hAnsi="宋体"/>
          <w:color w:val="000000" w:themeColor="text1"/>
          <w14:textFill>
            <w14:solidFill>
              <w14:schemeClr w14:val="tx1"/>
            </w14:solidFill>
          </w14:textFill>
        </w:rPr>
        <w:t>200µgFe、</w:t>
      </w:r>
      <w:r>
        <w:rPr>
          <w:rFonts w:hint="eastAsia" w:ascii="宋体" w:hAnsi="宋体"/>
          <w:color w:val="000000" w:themeColor="text1"/>
          <w:lang w:val="en-US" w:eastAsia="zh-CN"/>
          <w14:textFill>
            <w14:solidFill>
              <w14:schemeClr w14:val="tx1"/>
            </w14:solidFill>
          </w14:textFill>
        </w:rPr>
        <w:t>200</w:t>
      </w:r>
      <w:r>
        <w:rPr>
          <w:rFonts w:ascii="宋体" w:hAnsi="宋体"/>
          <w:color w:val="000000" w:themeColor="text1"/>
          <w14:textFill>
            <w14:solidFill>
              <w14:schemeClr w14:val="tx1"/>
            </w14:solidFill>
          </w14:textFill>
        </w:rPr>
        <w:t>µgNi、</w:t>
      </w:r>
      <w:r>
        <w:rPr>
          <w:rFonts w:hint="eastAsia" w:ascii="宋体" w:hAnsi="宋体"/>
          <w:color w:val="000000" w:themeColor="text1"/>
          <w:lang w:val="en-US" w:eastAsia="zh-CN"/>
          <w14:textFill>
            <w14:solidFill>
              <w14:schemeClr w14:val="tx1"/>
            </w14:solidFill>
          </w14:textFill>
        </w:rPr>
        <w:t>200</w:t>
      </w:r>
      <w:r>
        <w:rPr>
          <w:rFonts w:ascii="宋体" w:hAnsi="宋体"/>
          <w:color w:val="000000" w:themeColor="text1"/>
          <w14:textFill>
            <w14:solidFill>
              <w14:schemeClr w14:val="tx1"/>
            </w14:solidFill>
          </w14:textFill>
        </w:rPr>
        <w:t>µgCu、</w:t>
      </w:r>
      <w:r>
        <w:rPr>
          <w:rFonts w:hint="eastAsia" w:ascii="宋体" w:hAnsi="宋体"/>
          <w:color w:val="000000" w:themeColor="text1"/>
          <w:lang w:val="en-US" w:eastAsia="zh-CN"/>
          <w14:textFill>
            <w14:solidFill>
              <w14:schemeClr w14:val="tx1"/>
            </w14:solidFill>
          </w14:textFill>
        </w:rPr>
        <w:t>20</w:t>
      </w:r>
      <w:r>
        <w:rPr>
          <w:rFonts w:ascii="宋体" w:hAnsi="宋体"/>
          <w:color w:val="000000" w:themeColor="text1"/>
          <w14:textFill>
            <w14:solidFill>
              <w14:schemeClr w14:val="tx1"/>
            </w14:solidFill>
          </w14:textFill>
        </w:rPr>
        <w:t>0µgZn、</w:t>
      </w:r>
      <w:r>
        <w:rPr>
          <w:rFonts w:hint="eastAsia" w:ascii="宋体" w:hAnsi="宋体"/>
          <w:color w:val="000000" w:themeColor="text1"/>
          <w:lang w:val="en-US" w:eastAsia="zh-CN"/>
          <w14:textFill>
            <w14:solidFill>
              <w14:schemeClr w14:val="tx1"/>
            </w14:solidFill>
          </w14:textFill>
        </w:rPr>
        <w:t>20</w:t>
      </w:r>
      <w:r>
        <w:rPr>
          <w:rFonts w:ascii="宋体" w:hAnsi="宋体"/>
          <w:color w:val="000000" w:themeColor="text1"/>
          <w14:textFill>
            <w14:solidFill>
              <w14:schemeClr w14:val="tx1"/>
            </w14:solidFill>
          </w14:textFill>
        </w:rPr>
        <w:t>0µg</w:t>
      </w:r>
      <w:r>
        <w:rPr>
          <w:rFonts w:hint="eastAsia" w:ascii="宋体" w:hAnsi="宋体"/>
          <w:color w:val="000000" w:themeColor="text1"/>
          <w:lang w:val="en-US" w:eastAsia="zh-CN"/>
          <w14:textFill>
            <w14:solidFill>
              <w14:schemeClr w14:val="tx1"/>
            </w14:solidFill>
          </w14:textFill>
        </w:rPr>
        <w:t>Pb</w:t>
      </w:r>
      <w:r>
        <w:rPr>
          <w:rFonts w:ascii="宋体" w:hAnsi="宋体"/>
          <w:color w:val="000000" w:themeColor="text1"/>
          <w14:textFill>
            <w14:solidFill>
              <w14:schemeClr w14:val="tx1"/>
            </w14:solidFill>
          </w14:textFill>
        </w:rPr>
        <w:t>、200µgK、400µg</w:t>
      </w:r>
      <w:r>
        <w:rPr>
          <w:rFonts w:hint="eastAsia" w:ascii="宋体" w:hAnsi="宋体"/>
          <w:color w:val="000000" w:themeColor="text1"/>
          <w:lang w:val="en-US" w:eastAsia="zh-CN"/>
          <w14:textFill>
            <w14:solidFill>
              <w14:schemeClr w14:val="tx1"/>
            </w14:solidFill>
          </w14:textFill>
        </w:rPr>
        <w:t>Ca</w:t>
      </w:r>
      <w:r>
        <w:rPr>
          <w:rFonts w:ascii="宋体" w:hAnsi="宋体"/>
          <w:color w:val="000000" w:themeColor="text1"/>
          <w14:textFill>
            <w14:solidFill>
              <w14:schemeClr w14:val="tx1"/>
            </w14:solidFill>
          </w14:textFill>
        </w:rPr>
        <w:t>、400µgNa</w:t>
      </w:r>
      <w:r>
        <w:rPr>
          <w:rFonts w:hint="eastAsia" w:ascii="宋体" w:hAnsi="宋体" w:cs="宋体"/>
          <w:color w:val="000000"/>
          <w:lang w:val="en-US" w:eastAsia="zh-CN"/>
        </w:rPr>
        <w:t>没有显著干扰。</w:t>
      </w:r>
    </w:p>
    <w:p w14:paraId="43DDADDB">
      <w:pPr>
        <w:shd w:val="clear"/>
        <w:spacing w:line="360" w:lineRule="auto"/>
        <w:rPr>
          <w:rFonts w:hint="eastAsia" w:ascii="宋体" w:hAnsi="宋体" w:eastAsia="宋体" w:cs="宋体"/>
          <w:bCs/>
          <w:sz w:val="21"/>
          <w:szCs w:val="21"/>
        </w:rPr>
      </w:pPr>
      <w:r>
        <w:rPr>
          <w:rFonts w:hint="eastAsia" w:ascii="宋体" w:hAnsi="宋体" w:eastAsia="宋体" w:cs="宋体"/>
          <w:b/>
          <w:bCs w:val="0"/>
          <w:sz w:val="21"/>
          <w:szCs w:val="21"/>
          <w:lang w:val="en-US" w:eastAsia="zh-CN"/>
        </w:rPr>
        <w:t>2.5</w:t>
      </w:r>
      <w:r>
        <w:rPr>
          <w:rFonts w:hint="eastAsia" w:ascii="宋体" w:hAnsi="宋体" w:eastAsia="宋体" w:cs="宋体"/>
          <w:b/>
          <w:bCs w:val="0"/>
          <w:sz w:val="21"/>
          <w:szCs w:val="21"/>
          <w:lang w:eastAsia="zh-CN"/>
        </w:rPr>
        <w:t>方</w:t>
      </w:r>
      <w:r>
        <w:rPr>
          <w:rFonts w:hint="eastAsia" w:ascii="宋体" w:hAnsi="宋体" w:eastAsia="宋体" w:cs="宋体"/>
          <w:b/>
          <w:bCs w:val="0"/>
          <w:sz w:val="21"/>
          <w:szCs w:val="21"/>
        </w:rPr>
        <w:t>法的检出限和测定下限</w:t>
      </w:r>
    </w:p>
    <w:p w14:paraId="0EB60F26">
      <w:pPr>
        <w:pStyle w:val="12"/>
        <w:spacing w:line="360" w:lineRule="auto"/>
        <w:ind w:firstLine="0"/>
        <w:rPr>
          <w:rFonts w:ascii="宋体" w:hAnsi="宋体"/>
        </w:rPr>
      </w:pPr>
      <w:r>
        <w:rPr>
          <w:rFonts w:hint="eastAsia" w:ascii="宋体" w:hAnsi="宋体"/>
        </w:rPr>
        <w:t xml:space="preserve">     </w:t>
      </w:r>
      <w:r>
        <w:rPr>
          <w:rFonts w:hint="eastAsia" w:ascii="宋体" w:hAnsi="宋体" w:eastAsia="宋体" w:cs="宋体"/>
        </w:rPr>
        <w:t>在选定的测定条件下，用</w:t>
      </w:r>
      <w:r>
        <w:rPr>
          <w:rFonts w:hint="eastAsia" w:ascii="宋体" w:hAnsi="宋体" w:eastAsia="宋体" w:cs="宋体"/>
          <w:lang w:eastAsia="zh-CN"/>
        </w:rPr>
        <w:t>酸空白溶液及任选一</w:t>
      </w:r>
      <w:r>
        <w:rPr>
          <w:rFonts w:hint="eastAsia" w:ascii="宋体" w:hAnsi="宋体" w:eastAsia="宋体" w:cs="宋体"/>
        </w:rPr>
        <w:t>基体空白溶液</w:t>
      </w:r>
      <w:r>
        <w:rPr>
          <w:rFonts w:hint="eastAsia" w:ascii="宋体" w:hAnsi="宋体" w:eastAsia="宋体" w:cs="宋体"/>
          <w:lang w:eastAsia="zh-CN"/>
        </w:rPr>
        <w:t>（本文选择氧化镧基体）用标准加入法</w:t>
      </w:r>
      <w:r>
        <w:rPr>
          <w:rFonts w:hint="eastAsia" w:ascii="宋体" w:hAnsi="宋体" w:eastAsia="宋体" w:cs="宋体"/>
        </w:rPr>
        <w:t>对被测元素</w:t>
      </w:r>
      <w:r>
        <w:rPr>
          <w:rFonts w:hint="eastAsia" w:ascii="宋体" w:hAnsi="宋体" w:eastAsia="宋体" w:cs="宋体"/>
          <w:lang w:val="en-US" w:eastAsia="zh-CN"/>
        </w:rPr>
        <w:t>Mg</w:t>
      </w:r>
      <w:r>
        <w:rPr>
          <w:rFonts w:hint="eastAsia" w:ascii="宋体" w:hAnsi="宋体" w:eastAsia="宋体" w:cs="宋体"/>
        </w:rPr>
        <w:t>测定11次，计算其标准偏差，以其3倍的标准偏差作为检出限；又以其10倍的标准偏差作为测定下限，结果如表</w:t>
      </w:r>
      <w:r>
        <w:rPr>
          <w:rFonts w:hint="eastAsia" w:ascii="宋体" w:hAnsi="宋体" w:cs="宋体"/>
          <w:lang w:val="en-US" w:eastAsia="zh-CN"/>
        </w:rPr>
        <w:t>8</w:t>
      </w:r>
      <w:r>
        <w:rPr>
          <w:rFonts w:hint="eastAsia" w:ascii="宋体" w:hAnsi="宋体" w:eastAsia="宋体" w:cs="宋体"/>
          <w:lang w:eastAsia="zh-CN"/>
        </w:rPr>
        <w:t>，</w:t>
      </w:r>
      <w:r>
        <w:rPr>
          <w:rFonts w:hint="eastAsia" w:ascii="宋体" w:hAnsi="宋体" w:eastAsia="宋体" w:cs="宋体"/>
          <w:color w:val="000000" w:themeColor="text1"/>
          <w:kern w:val="0"/>
          <w:szCs w:val="21"/>
          <w14:textFill>
            <w14:solidFill>
              <w14:schemeClr w14:val="tx1"/>
            </w14:solidFill>
          </w14:textFill>
        </w:rPr>
        <w:t>根据结果综合考虑规定方法的测定下限为0.00</w:t>
      </w:r>
      <w:r>
        <w:rPr>
          <w:rFonts w:hint="eastAsia" w:ascii="宋体" w:hAnsi="宋体" w:eastAsia="宋体" w:cs="宋体"/>
          <w:color w:val="000000" w:themeColor="text1"/>
          <w:kern w:val="0"/>
          <w:szCs w:val="21"/>
          <w:lang w:val="en-US" w:eastAsia="zh-CN"/>
          <w14:textFill>
            <w14:solidFill>
              <w14:schemeClr w14:val="tx1"/>
            </w14:solidFill>
          </w14:textFill>
        </w:rPr>
        <w:t>05</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rPr>
        <w:t>：</w:t>
      </w:r>
    </w:p>
    <w:p w14:paraId="73011AA3">
      <w:pPr>
        <w:pStyle w:val="12"/>
        <w:ind w:firstLine="0"/>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8</w:t>
      </w:r>
      <w:r>
        <w:rPr>
          <w:rFonts w:hint="eastAsia" w:ascii="黑体" w:hAnsi="黑体" w:eastAsia="黑体" w:cs="黑体"/>
        </w:rPr>
        <w:t>方法检出限、 测定下限</w:t>
      </w:r>
    </w:p>
    <w:tbl>
      <w:tblPr>
        <w:tblStyle w:val="20"/>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3680"/>
        <w:gridCol w:w="1456"/>
        <w:gridCol w:w="1456"/>
        <w:gridCol w:w="1457"/>
      </w:tblGrid>
      <w:tr w14:paraId="7879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7" w:type="dxa"/>
          </w:tcPr>
          <w:p w14:paraId="7B470F7F">
            <w:pPr>
              <w:spacing w:line="324" w:lineRule="auto"/>
              <w:jc w:val="center"/>
              <w:rPr>
                <w:rFonts w:hint="eastAsia" w:ascii="宋体" w:hAnsi="宋体" w:eastAsia="宋体" w:cs="宋体"/>
                <w:color w:val="auto"/>
                <w:kern w:val="0"/>
                <w:sz w:val="18"/>
                <w:szCs w:val="18"/>
              </w:rPr>
            </w:pPr>
          </w:p>
        </w:tc>
        <w:tc>
          <w:tcPr>
            <w:tcW w:w="3680" w:type="dxa"/>
          </w:tcPr>
          <w:p w14:paraId="03704FF5">
            <w:pPr>
              <w:spacing w:line="324"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测得量</w:t>
            </w:r>
            <w:r>
              <w:rPr>
                <w:rFonts w:hint="eastAsia" w:ascii="宋体" w:hAnsi="宋体" w:eastAsia="宋体" w:cs="宋体"/>
                <w:color w:val="auto"/>
                <w:kern w:val="0"/>
                <w:sz w:val="18"/>
                <w:szCs w:val="18"/>
              </w:rPr>
              <w:t>（</w:t>
            </w:r>
            <w:r>
              <w:rPr>
                <w:rFonts w:hint="eastAsia" w:ascii="宋体" w:hAnsi="宋体" w:eastAsia="宋体" w:cs="宋体"/>
                <w:color w:val="auto"/>
                <w:sz w:val="18"/>
                <w:szCs w:val="18"/>
              </w:rPr>
              <w:t>μg</w:t>
            </w:r>
            <w:r>
              <w:rPr>
                <w:rFonts w:hint="eastAsia" w:ascii="宋体" w:hAnsi="宋体" w:eastAsia="宋体" w:cs="宋体"/>
                <w:color w:val="auto"/>
                <w:kern w:val="0"/>
                <w:sz w:val="18"/>
                <w:szCs w:val="18"/>
              </w:rPr>
              <w:t>）</w:t>
            </w:r>
          </w:p>
        </w:tc>
        <w:tc>
          <w:tcPr>
            <w:tcW w:w="1456" w:type="dxa"/>
          </w:tcPr>
          <w:p w14:paraId="62A473FA">
            <w:pPr>
              <w:spacing w:line="324"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标准偏差S</w:t>
            </w:r>
          </w:p>
        </w:tc>
        <w:tc>
          <w:tcPr>
            <w:tcW w:w="1456" w:type="dxa"/>
          </w:tcPr>
          <w:p w14:paraId="625ADB2C">
            <w:pPr>
              <w:spacing w:line="324"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检出限%</w:t>
            </w:r>
          </w:p>
        </w:tc>
        <w:tc>
          <w:tcPr>
            <w:tcW w:w="1457" w:type="dxa"/>
          </w:tcPr>
          <w:p w14:paraId="33FBBA01">
            <w:pPr>
              <w:spacing w:line="324"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测定下限%</w:t>
            </w:r>
          </w:p>
        </w:tc>
      </w:tr>
      <w:tr w14:paraId="304A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7" w:type="dxa"/>
            <w:vAlign w:val="center"/>
          </w:tcPr>
          <w:p w14:paraId="255C5542">
            <w:pPr>
              <w:spacing w:line="324" w:lineRule="auto"/>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酸</w:t>
            </w:r>
            <w:r>
              <w:rPr>
                <w:rFonts w:hint="eastAsia" w:ascii="宋体" w:hAnsi="宋体" w:eastAsia="宋体" w:cs="宋体"/>
                <w:color w:val="auto"/>
                <w:kern w:val="0"/>
                <w:sz w:val="18"/>
                <w:szCs w:val="18"/>
                <w:lang w:eastAsia="zh-CN"/>
              </w:rPr>
              <w:t>空白</w:t>
            </w:r>
          </w:p>
        </w:tc>
        <w:tc>
          <w:tcPr>
            <w:tcW w:w="3680" w:type="dxa"/>
            <w:vAlign w:val="center"/>
          </w:tcPr>
          <w:p w14:paraId="307EDC8A">
            <w:pPr>
              <w:spacing w:line="240" w:lineRule="auto"/>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0.061 0.050 0.069 0.058 0.061 0.062 0.065 0.068 0.072 0.058 0.058</w:t>
            </w:r>
          </w:p>
        </w:tc>
        <w:tc>
          <w:tcPr>
            <w:tcW w:w="1456" w:type="dxa"/>
            <w:vAlign w:val="center"/>
          </w:tcPr>
          <w:p w14:paraId="5C51BC9D">
            <w:pPr>
              <w:spacing w:line="240" w:lineRule="auto"/>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0.00</w:t>
            </w:r>
            <w:r>
              <w:rPr>
                <w:rFonts w:hint="eastAsia" w:ascii="宋体" w:hAnsi="宋体" w:eastAsia="宋体" w:cs="宋体"/>
                <w:color w:val="auto"/>
                <w:kern w:val="0"/>
                <w:sz w:val="18"/>
                <w:szCs w:val="18"/>
                <w:lang w:val="en-US" w:eastAsia="zh-CN"/>
              </w:rPr>
              <w:t>63</w:t>
            </w:r>
          </w:p>
        </w:tc>
        <w:tc>
          <w:tcPr>
            <w:tcW w:w="1456" w:type="dxa"/>
            <w:vAlign w:val="center"/>
          </w:tcPr>
          <w:p w14:paraId="4BE76E66">
            <w:pPr>
              <w:spacing w:line="240" w:lineRule="auto"/>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0.000</w:t>
            </w:r>
            <w:r>
              <w:rPr>
                <w:rFonts w:hint="eastAsia" w:ascii="宋体" w:hAnsi="宋体" w:eastAsia="宋体" w:cs="宋体"/>
                <w:color w:val="auto"/>
                <w:kern w:val="0"/>
                <w:sz w:val="18"/>
                <w:szCs w:val="18"/>
                <w:lang w:val="en-US" w:eastAsia="zh-CN"/>
              </w:rPr>
              <w:t>01</w:t>
            </w:r>
          </w:p>
        </w:tc>
        <w:tc>
          <w:tcPr>
            <w:tcW w:w="1457" w:type="dxa"/>
            <w:vAlign w:val="center"/>
          </w:tcPr>
          <w:p w14:paraId="3AAF8C5D">
            <w:pPr>
              <w:spacing w:line="240" w:lineRule="auto"/>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0.000</w:t>
            </w:r>
            <w:r>
              <w:rPr>
                <w:rFonts w:hint="eastAsia" w:ascii="宋体" w:hAnsi="宋体" w:eastAsia="宋体" w:cs="宋体"/>
                <w:color w:val="auto"/>
                <w:kern w:val="0"/>
                <w:sz w:val="18"/>
                <w:szCs w:val="18"/>
                <w:lang w:val="en-US" w:eastAsia="zh-CN"/>
              </w:rPr>
              <w:t>1</w:t>
            </w:r>
          </w:p>
        </w:tc>
      </w:tr>
      <w:tr w14:paraId="3FE9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9" w:hRule="atLeast"/>
        </w:trPr>
        <w:tc>
          <w:tcPr>
            <w:tcW w:w="1057" w:type="dxa"/>
            <w:vAlign w:val="center"/>
          </w:tcPr>
          <w:p w14:paraId="0A453995">
            <w:pPr>
              <w:spacing w:line="324" w:lineRule="auto"/>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基体空白</w:t>
            </w:r>
          </w:p>
        </w:tc>
        <w:tc>
          <w:tcPr>
            <w:tcW w:w="3680" w:type="dxa"/>
            <w:vAlign w:val="center"/>
          </w:tcPr>
          <w:p w14:paraId="483976E4">
            <w:pPr>
              <w:spacing w:line="240" w:lineRule="auto"/>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 xml:space="preserve">0.314 0.301 0.303 0.303 0.287 0.298 0.303 0.301 0.276 0.272 0.287 </w:t>
            </w:r>
          </w:p>
        </w:tc>
        <w:tc>
          <w:tcPr>
            <w:tcW w:w="1456" w:type="dxa"/>
            <w:vAlign w:val="center"/>
          </w:tcPr>
          <w:p w14:paraId="6D49CF39">
            <w:pPr>
              <w:spacing w:line="240" w:lineRule="auto"/>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0.0</w:t>
            </w:r>
            <w:r>
              <w:rPr>
                <w:rFonts w:hint="eastAsia" w:ascii="宋体" w:hAnsi="宋体" w:eastAsia="宋体" w:cs="宋体"/>
                <w:color w:val="auto"/>
                <w:kern w:val="0"/>
                <w:sz w:val="18"/>
                <w:szCs w:val="18"/>
                <w:lang w:val="en-US" w:eastAsia="zh-CN"/>
              </w:rPr>
              <w:t>129</w:t>
            </w:r>
          </w:p>
        </w:tc>
        <w:tc>
          <w:tcPr>
            <w:tcW w:w="1456" w:type="dxa"/>
            <w:vAlign w:val="center"/>
          </w:tcPr>
          <w:p w14:paraId="14289EFA">
            <w:pPr>
              <w:spacing w:line="240" w:lineRule="auto"/>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0.000</w:t>
            </w:r>
            <w:r>
              <w:rPr>
                <w:rFonts w:hint="eastAsia" w:ascii="宋体" w:hAnsi="宋体" w:eastAsia="宋体" w:cs="宋体"/>
                <w:color w:val="auto"/>
                <w:kern w:val="0"/>
                <w:sz w:val="18"/>
                <w:szCs w:val="18"/>
                <w:lang w:val="en-US" w:eastAsia="zh-CN"/>
              </w:rPr>
              <w:t>02</w:t>
            </w:r>
          </w:p>
        </w:tc>
        <w:tc>
          <w:tcPr>
            <w:tcW w:w="1457" w:type="dxa"/>
            <w:vAlign w:val="center"/>
          </w:tcPr>
          <w:p w14:paraId="453BAD29">
            <w:pPr>
              <w:spacing w:line="240" w:lineRule="auto"/>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0.000</w:t>
            </w:r>
            <w:r>
              <w:rPr>
                <w:rFonts w:hint="eastAsia" w:ascii="宋体" w:hAnsi="宋体" w:eastAsia="宋体" w:cs="宋体"/>
                <w:color w:val="auto"/>
                <w:kern w:val="0"/>
                <w:sz w:val="18"/>
                <w:szCs w:val="18"/>
                <w:lang w:val="en-US" w:eastAsia="zh-CN"/>
              </w:rPr>
              <w:t>1</w:t>
            </w:r>
          </w:p>
        </w:tc>
      </w:tr>
    </w:tbl>
    <w:p w14:paraId="2E37CBB6">
      <w:pPr>
        <w:rPr>
          <w:rFonts w:hint="eastAsia" w:ascii="宋体" w:hAnsi="宋体" w:eastAsia="宋体" w:cs="宋体"/>
          <w:b/>
          <w:bCs/>
          <w:color w:val="000000" w:themeColor="text1"/>
          <w:szCs w:val="21"/>
          <w14:textFill>
            <w14:solidFill>
              <w14:schemeClr w14:val="tx1"/>
            </w14:solidFill>
          </w14:textFill>
        </w:rPr>
      </w:pPr>
    </w:p>
    <w:p w14:paraId="0CCB172F">
      <w:pPr>
        <w:pStyle w:val="12"/>
        <w:spacing w:line="360" w:lineRule="auto"/>
        <w:ind w:firstLine="0"/>
        <w:rPr>
          <w:rFonts w:hint="eastAsia" w:ascii="宋体" w:hAnsi="宋体" w:cs="宋体"/>
          <w:sz w:val="24"/>
          <w:szCs w:val="24"/>
        </w:rPr>
      </w:pPr>
      <w:r>
        <w:rPr>
          <w:rFonts w:hint="eastAsia" w:ascii="宋体" w:hAnsi="宋体" w:eastAsia="宋体" w:cs="宋体"/>
          <w:b/>
          <w:bCs/>
          <w:sz w:val="21"/>
          <w:szCs w:val="21"/>
          <w:lang w:val="en-US" w:eastAsia="zh-CN"/>
        </w:rPr>
        <w:t>2.6</w:t>
      </w:r>
      <w:r>
        <w:rPr>
          <w:rFonts w:hint="eastAsia" w:ascii="宋体" w:hAnsi="宋体" w:eastAsia="宋体" w:cs="宋体"/>
          <w:b/>
          <w:bCs/>
          <w:sz w:val="21"/>
          <w:szCs w:val="21"/>
        </w:rPr>
        <w:t>加标回收</w:t>
      </w:r>
      <w:r>
        <w:rPr>
          <w:rFonts w:hint="eastAsia" w:ascii="黑体" w:hAnsi="黑体" w:eastAsia="黑体" w:cs="黑体"/>
          <w:bCs/>
          <w:sz w:val="21"/>
          <w:szCs w:val="21"/>
        </w:rPr>
        <w:t xml:space="preserve"> </w:t>
      </w:r>
      <w:r>
        <w:rPr>
          <w:rFonts w:hint="eastAsia" w:ascii="宋体" w:hAnsi="宋体" w:cs="宋体"/>
          <w:sz w:val="24"/>
          <w:szCs w:val="24"/>
        </w:rPr>
        <w:t xml:space="preserve"> </w:t>
      </w:r>
    </w:p>
    <w:p w14:paraId="2BBBB274">
      <w:pPr>
        <w:spacing w:line="360" w:lineRule="auto"/>
        <w:ind w:firstLine="424" w:firstLineChars="202"/>
        <w:rPr>
          <w:rFonts w:hint="eastAsia" w:ascii="宋体" w:hAnsi="宋体" w:eastAsia="宋体"/>
          <w:lang w:val="en-US" w:eastAsia="zh-CN"/>
        </w:rPr>
      </w:pPr>
      <w:r>
        <w:rPr>
          <w:rFonts w:hint="eastAsia" w:ascii="宋体" w:hAnsi="宋体"/>
          <w:szCs w:val="21"/>
        </w:rPr>
        <w:t>按表</w:t>
      </w:r>
      <w:r>
        <w:rPr>
          <w:rFonts w:hint="eastAsia" w:ascii="宋体" w:hAnsi="宋体"/>
          <w:szCs w:val="21"/>
          <w:lang w:val="en-US" w:eastAsia="zh-CN"/>
        </w:rPr>
        <w:t>1</w:t>
      </w:r>
      <w:r>
        <w:rPr>
          <w:rFonts w:hint="eastAsia" w:ascii="宋体" w:hAnsi="宋体"/>
          <w:szCs w:val="21"/>
        </w:rPr>
        <w:t>分别配制</w:t>
      </w:r>
      <w:r>
        <w:rPr>
          <w:rFonts w:hint="eastAsia" w:ascii="宋体" w:hAnsi="宋体"/>
          <w:szCs w:val="21"/>
          <w:lang w:val="en-US" w:eastAsia="zh-CN"/>
        </w:rPr>
        <w:t>La-1#、金属镨钕、Gd-2#、La-3#、Ho</w:t>
      </w:r>
      <w:r>
        <w:rPr>
          <w:rFonts w:hint="eastAsia" w:ascii="宋体" w:hAnsi="宋体"/>
          <w:szCs w:val="21"/>
        </w:rPr>
        <w:t>溶液并加入</w:t>
      </w:r>
      <w:r>
        <w:rPr>
          <w:rFonts w:hint="eastAsia" w:ascii="宋体" w:hAnsi="宋体"/>
          <w:szCs w:val="21"/>
          <w:lang w:val="en-US" w:eastAsia="zh-CN"/>
        </w:rPr>
        <w:t>Mg</w:t>
      </w:r>
      <w:r>
        <w:rPr>
          <w:rFonts w:hint="eastAsia" w:ascii="宋体" w:hAnsi="宋体"/>
          <w:szCs w:val="21"/>
        </w:rPr>
        <w:t>标，用</w:t>
      </w:r>
      <w:r>
        <w:rPr>
          <w:rFonts w:hint="eastAsia" w:ascii="宋体" w:hAnsi="宋体"/>
          <w:szCs w:val="21"/>
          <w:lang w:eastAsia="zh-CN"/>
        </w:rPr>
        <w:t>标准加入</w:t>
      </w:r>
      <w:r>
        <w:rPr>
          <w:rFonts w:hint="eastAsia" w:ascii="宋体" w:hAnsi="宋体"/>
          <w:szCs w:val="21"/>
        </w:rPr>
        <w:t>法</w:t>
      </w:r>
      <w:r>
        <w:rPr>
          <w:rFonts w:hint="eastAsia" w:ascii="宋体" w:hAnsi="宋体"/>
          <w:szCs w:val="21"/>
          <w:lang w:eastAsia="zh-CN"/>
        </w:rPr>
        <w:t>和工作曲线法</w:t>
      </w:r>
      <w:r>
        <w:rPr>
          <w:rFonts w:hint="eastAsia" w:ascii="宋体" w:hAnsi="宋体"/>
          <w:szCs w:val="21"/>
        </w:rPr>
        <w:t>进行测定，计算加标回收率。见表</w:t>
      </w:r>
      <w:r>
        <w:rPr>
          <w:rFonts w:hint="eastAsia" w:ascii="宋体" w:hAnsi="宋体"/>
          <w:szCs w:val="21"/>
          <w:lang w:val="en-US" w:eastAsia="zh-CN"/>
        </w:rPr>
        <w:t>9</w:t>
      </w:r>
    </w:p>
    <w:p w14:paraId="4B44C897">
      <w:pPr>
        <w:pStyle w:val="12"/>
        <w:ind w:firstLine="0"/>
        <w:jc w:val="center"/>
        <w:rPr>
          <w:rFonts w:ascii="宋体" w:hAnsi="宋体"/>
        </w:rPr>
      </w:pPr>
      <w:r>
        <w:rPr>
          <w:rFonts w:hint="eastAsia" w:ascii="黑体" w:hAnsi="黑体" w:eastAsia="黑体" w:cs="黑体"/>
        </w:rPr>
        <w:t xml:space="preserve"> 表</w:t>
      </w:r>
      <w:r>
        <w:rPr>
          <w:rFonts w:hint="eastAsia" w:ascii="黑体" w:hAnsi="黑体" w:eastAsia="黑体" w:cs="黑体"/>
          <w:lang w:val="en-US" w:eastAsia="zh-CN"/>
        </w:rPr>
        <w:t>9</w:t>
      </w:r>
      <w:r>
        <w:rPr>
          <w:rFonts w:hint="eastAsia" w:ascii="黑体" w:hAnsi="黑体" w:eastAsia="黑体" w:cs="黑体"/>
        </w:rPr>
        <w:t xml:space="preserve"> 加标回收率    </w:t>
      </w:r>
      <w:r>
        <w:rPr>
          <w:rFonts w:hint="eastAsia" w:ascii="宋体" w:hAnsi="宋体"/>
        </w:rPr>
        <w:t xml:space="preserve">       </w:t>
      </w:r>
    </w:p>
    <w:tbl>
      <w:tblPr>
        <w:tblStyle w:val="19"/>
        <w:tblW w:w="9960" w:type="dxa"/>
        <w:tblInd w:w="-189" w:type="dxa"/>
        <w:tblLayout w:type="fixed"/>
        <w:tblCellMar>
          <w:top w:w="0" w:type="dxa"/>
          <w:left w:w="0" w:type="dxa"/>
          <w:bottom w:w="0" w:type="dxa"/>
          <w:right w:w="0" w:type="dxa"/>
        </w:tblCellMar>
      </w:tblPr>
      <w:tblGrid>
        <w:gridCol w:w="1280"/>
        <w:gridCol w:w="53"/>
        <w:gridCol w:w="1245"/>
        <w:gridCol w:w="2057"/>
        <w:gridCol w:w="1873"/>
        <w:gridCol w:w="1873"/>
        <w:gridCol w:w="1579"/>
      </w:tblGrid>
      <w:tr w14:paraId="6650CD1E">
        <w:tblPrEx>
          <w:tblCellMar>
            <w:top w:w="0" w:type="dxa"/>
            <w:left w:w="0" w:type="dxa"/>
            <w:bottom w:w="0" w:type="dxa"/>
            <w:right w:w="0" w:type="dxa"/>
          </w:tblCellMar>
        </w:tblPrEx>
        <w:trPr>
          <w:trHeight w:val="381" w:hRule="atLeast"/>
        </w:trPr>
        <w:tc>
          <w:tcPr>
            <w:tcW w:w="2578" w:type="dxa"/>
            <w:gridSpan w:val="3"/>
            <w:tcBorders>
              <w:top w:val="single" w:color="auto" w:sz="12"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14:paraId="6E592B16">
            <w:pPr>
              <w:jc w:val="center"/>
              <w:rPr>
                <w:rFonts w:ascii="宋体" w:hAnsi="宋体"/>
                <w:bCs/>
                <w:sz w:val="18"/>
                <w:szCs w:val="18"/>
              </w:rPr>
            </w:pPr>
            <w:r>
              <w:rPr>
                <w:rFonts w:ascii="宋体" w:hAnsi="宋体"/>
                <w:bCs/>
                <w:sz w:val="18"/>
                <w:szCs w:val="18"/>
              </w:rPr>
              <w:t>元  素</w:t>
            </w:r>
          </w:p>
        </w:tc>
        <w:tc>
          <w:tcPr>
            <w:tcW w:w="2057" w:type="dxa"/>
            <w:tcBorders>
              <w:top w:val="single" w:color="auto" w:sz="12"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14:paraId="43496C59">
            <w:pPr>
              <w:jc w:val="center"/>
              <w:rPr>
                <w:rFonts w:hint="default" w:ascii="宋体" w:hAnsi="宋体" w:eastAsia="宋体"/>
                <w:bCs/>
                <w:sz w:val="18"/>
                <w:szCs w:val="18"/>
                <w:lang w:val="en-US" w:eastAsia="zh-CN"/>
              </w:rPr>
            </w:pPr>
            <w:r>
              <w:rPr>
                <w:rFonts w:hint="eastAsia" w:ascii="宋体" w:hAnsi="宋体"/>
                <w:bCs/>
                <w:sz w:val="18"/>
                <w:szCs w:val="18"/>
                <w:lang w:val="en-US" w:eastAsia="zh-CN"/>
              </w:rPr>
              <w:t>La</w:t>
            </w:r>
            <w:r>
              <w:rPr>
                <w:rFonts w:hint="eastAsia" w:ascii="宋体" w:hAnsi="宋体"/>
                <w:bCs/>
                <w:sz w:val="18"/>
                <w:szCs w:val="18"/>
                <w:vertAlign w:val="subscript"/>
                <w:lang w:val="en-US" w:eastAsia="zh-CN"/>
              </w:rPr>
              <w:t>2</w:t>
            </w:r>
            <w:r>
              <w:rPr>
                <w:rFonts w:hint="eastAsia" w:ascii="宋体" w:hAnsi="宋体"/>
                <w:bCs/>
                <w:sz w:val="18"/>
                <w:szCs w:val="18"/>
                <w:lang w:val="en-US" w:eastAsia="zh-CN"/>
              </w:rPr>
              <w:t>O</w:t>
            </w:r>
            <w:r>
              <w:rPr>
                <w:rFonts w:hint="eastAsia" w:ascii="宋体" w:hAnsi="宋体"/>
                <w:bCs/>
                <w:sz w:val="18"/>
                <w:szCs w:val="18"/>
                <w:vertAlign w:val="subscript"/>
                <w:lang w:val="en-US" w:eastAsia="zh-CN"/>
              </w:rPr>
              <w:t>3</w:t>
            </w:r>
            <w:r>
              <w:rPr>
                <w:rFonts w:ascii="宋体" w:hAnsi="宋体"/>
                <w:color w:val="auto"/>
                <w:sz w:val="18"/>
                <w:szCs w:val="18"/>
              </w:rPr>
              <w:t>-</w:t>
            </w:r>
            <w:r>
              <w:rPr>
                <w:rFonts w:hint="eastAsia" w:ascii="宋体" w:hAnsi="宋体"/>
                <w:color w:val="auto"/>
                <w:sz w:val="18"/>
                <w:szCs w:val="18"/>
                <w:lang w:val="en-US" w:eastAsia="zh-CN"/>
              </w:rPr>
              <w:t>1</w:t>
            </w:r>
            <w:r>
              <w:rPr>
                <w:rFonts w:ascii="宋体" w:hAnsi="宋体"/>
                <w:color w:val="auto"/>
                <w:sz w:val="18"/>
                <w:szCs w:val="18"/>
              </w:rPr>
              <w:t>#</w:t>
            </w:r>
            <w:r>
              <w:rPr>
                <w:rFonts w:hint="eastAsia" w:ascii="宋体" w:hAnsi="宋体"/>
                <w:bCs/>
                <w:sz w:val="18"/>
                <w:szCs w:val="18"/>
                <w:lang w:val="en-US" w:eastAsia="zh-CN"/>
              </w:rPr>
              <w:t>中Mg（标准加入法）</w:t>
            </w:r>
          </w:p>
        </w:tc>
        <w:tc>
          <w:tcPr>
            <w:tcW w:w="1873" w:type="dxa"/>
            <w:tcBorders>
              <w:top w:val="single" w:color="auto" w:sz="12"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14:paraId="650A7E2A">
            <w:pPr>
              <w:jc w:val="center"/>
              <w:rPr>
                <w:rFonts w:hint="default" w:ascii="宋体" w:hAnsi="宋体" w:eastAsia="宋体"/>
                <w:bCs/>
                <w:sz w:val="18"/>
                <w:szCs w:val="18"/>
                <w:lang w:val="en-US" w:eastAsia="zh-CN"/>
              </w:rPr>
            </w:pPr>
            <w:r>
              <w:rPr>
                <w:rFonts w:hint="eastAsia" w:ascii="宋体" w:hAnsi="宋体"/>
                <w:bCs/>
                <w:sz w:val="18"/>
                <w:szCs w:val="18"/>
                <w:lang w:val="en-US" w:eastAsia="zh-CN"/>
              </w:rPr>
              <w:t>La</w:t>
            </w:r>
            <w:r>
              <w:rPr>
                <w:rFonts w:hint="eastAsia" w:ascii="宋体" w:hAnsi="宋体"/>
                <w:bCs/>
                <w:sz w:val="18"/>
                <w:szCs w:val="18"/>
                <w:vertAlign w:val="subscript"/>
                <w:lang w:val="en-US" w:eastAsia="zh-CN"/>
              </w:rPr>
              <w:t>2</w:t>
            </w:r>
            <w:r>
              <w:rPr>
                <w:rFonts w:hint="eastAsia" w:ascii="宋体" w:hAnsi="宋体"/>
                <w:bCs/>
                <w:sz w:val="18"/>
                <w:szCs w:val="18"/>
                <w:lang w:val="en-US" w:eastAsia="zh-CN"/>
              </w:rPr>
              <w:t>O</w:t>
            </w:r>
            <w:r>
              <w:rPr>
                <w:rFonts w:hint="eastAsia" w:ascii="宋体" w:hAnsi="宋体"/>
                <w:bCs/>
                <w:sz w:val="18"/>
                <w:szCs w:val="18"/>
                <w:vertAlign w:val="subscript"/>
                <w:lang w:val="en-US" w:eastAsia="zh-CN"/>
              </w:rPr>
              <w:t>3</w:t>
            </w:r>
            <w:r>
              <w:rPr>
                <w:rFonts w:ascii="宋体" w:hAnsi="宋体"/>
                <w:color w:val="auto"/>
                <w:sz w:val="18"/>
                <w:szCs w:val="18"/>
              </w:rPr>
              <w:t>-</w:t>
            </w:r>
            <w:r>
              <w:rPr>
                <w:rFonts w:hint="eastAsia" w:ascii="宋体" w:hAnsi="宋体"/>
                <w:color w:val="auto"/>
                <w:sz w:val="18"/>
                <w:szCs w:val="18"/>
                <w:lang w:val="en-US" w:eastAsia="zh-CN"/>
              </w:rPr>
              <w:t>1</w:t>
            </w:r>
            <w:r>
              <w:rPr>
                <w:rFonts w:ascii="宋体" w:hAnsi="宋体"/>
                <w:color w:val="auto"/>
                <w:sz w:val="18"/>
                <w:szCs w:val="18"/>
              </w:rPr>
              <w:t>#</w:t>
            </w:r>
            <w:r>
              <w:rPr>
                <w:rFonts w:hint="eastAsia" w:ascii="宋体" w:hAnsi="宋体"/>
                <w:bCs/>
                <w:sz w:val="18"/>
                <w:szCs w:val="18"/>
                <w:lang w:val="en-US" w:eastAsia="zh-CN"/>
              </w:rPr>
              <w:t>中Mg（标准曲线法）</w:t>
            </w:r>
          </w:p>
        </w:tc>
        <w:tc>
          <w:tcPr>
            <w:tcW w:w="1873" w:type="dxa"/>
            <w:tcBorders>
              <w:top w:val="single" w:color="auto" w:sz="12"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14:paraId="0C4368D9">
            <w:pPr>
              <w:jc w:val="center"/>
              <w:rPr>
                <w:rFonts w:hint="eastAsia" w:ascii="宋体" w:hAnsi="宋体" w:eastAsia="宋体" w:cs="Times New Roman"/>
                <w:bCs/>
                <w:kern w:val="2"/>
                <w:sz w:val="18"/>
                <w:szCs w:val="18"/>
                <w:lang w:val="en-US" w:eastAsia="zh-CN" w:bidi="ar-SA"/>
              </w:rPr>
            </w:pPr>
            <w:r>
              <w:rPr>
                <w:rFonts w:hint="eastAsia" w:ascii="宋体" w:hAnsi="宋体"/>
                <w:bCs/>
                <w:sz w:val="18"/>
                <w:szCs w:val="18"/>
                <w:lang w:val="en-US" w:eastAsia="zh-CN"/>
              </w:rPr>
              <w:t>金属镨钕中Mg（标准加入法）</w:t>
            </w:r>
          </w:p>
        </w:tc>
        <w:tc>
          <w:tcPr>
            <w:tcW w:w="1579" w:type="dxa"/>
            <w:tcBorders>
              <w:top w:val="single" w:color="auto" w:sz="12"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14:paraId="0F41D4AB">
            <w:pPr>
              <w:jc w:val="center"/>
              <w:rPr>
                <w:rFonts w:hint="eastAsia" w:ascii="宋体" w:hAnsi="宋体"/>
                <w:bCs/>
                <w:sz w:val="18"/>
                <w:szCs w:val="18"/>
                <w:lang w:val="en-US" w:eastAsia="zh-CN"/>
              </w:rPr>
            </w:pPr>
            <w:r>
              <w:rPr>
                <w:rFonts w:hint="eastAsia" w:ascii="宋体" w:hAnsi="宋体"/>
                <w:bCs/>
                <w:sz w:val="18"/>
                <w:szCs w:val="18"/>
                <w:lang w:val="en-US" w:eastAsia="zh-CN"/>
              </w:rPr>
              <w:t>金属镨钕中Mg（标准曲线法）</w:t>
            </w:r>
          </w:p>
        </w:tc>
      </w:tr>
      <w:tr w14:paraId="5DFE8825">
        <w:tblPrEx>
          <w:tblCellMar>
            <w:top w:w="0" w:type="dxa"/>
            <w:left w:w="0" w:type="dxa"/>
            <w:bottom w:w="0" w:type="dxa"/>
            <w:right w:w="0" w:type="dxa"/>
          </w:tblCellMar>
        </w:tblPrEx>
        <w:trPr>
          <w:trHeight w:val="465" w:hRule="atLeast"/>
        </w:trPr>
        <w:tc>
          <w:tcPr>
            <w:tcW w:w="2578" w:type="dxa"/>
            <w:gridSpan w:val="3"/>
            <w:tcBorders>
              <w:top w:val="single" w:color="auto" w:sz="12"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14:paraId="56E16BA3">
            <w:pPr>
              <w:rPr>
                <w:rFonts w:ascii="宋体" w:hAnsi="宋体"/>
                <w:sz w:val="18"/>
                <w:szCs w:val="18"/>
              </w:rPr>
            </w:pPr>
            <w:r>
              <w:rPr>
                <w:rFonts w:ascii="宋体" w:hAnsi="宋体"/>
                <w:sz w:val="18"/>
                <w:szCs w:val="18"/>
              </w:rPr>
              <w:t xml:space="preserve">        原有量/%</w:t>
            </w:r>
          </w:p>
        </w:tc>
        <w:tc>
          <w:tcPr>
            <w:tcW w:w="2057" w:type="dxa"/>
            <w:tcBorders>
              <w:top w:val="single" w:color="auto" w:sz="12"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14:paraId="613BF0E4">
            <w:pPr>
              <w:jc w:val="center"/>
              <w:rPr>
                <w:rFonts w:hint="default" w:ascii="宋体" w:hAnsi="宋体" w:eastAsia="宋体"/>
                <w:sz w:val="18"/>
                <w:szCs w:val="18"/>
                <w:lang w:val="en-US" w:eastAsia="zh-CN"/>
              </w:rPr>
            </w:pPr>
            <w:r>
              <w:rPr>
                <w:rFonts w:hint="eastAsia" w:ascii="宋体" w:hAnsi="宋体"/>
                <w:sz w:val="18"/>
                <w:szCs w:val="18"/>
                <w:lang w:val="en-US" w:eastAsia="zh-CN"/>
              </w:rPr>
              <w:t>0.0005</w:t>
            </w:r>
          </w:p>
        </w:tc>
        <w:tc>
          <w:tcPr>
            <w:tcW w:w="1873" w:type="dxa"/>
            <w:tcBorders>
              <w:top w:val="single" w:color="auto" w:sz="12"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14:paraId="5B8ABAA1">
            <w:pPr>
              <w:jc w:val="center"/>
              <w:rPr>
                <w:rFonts w:hint="default" w:ascii="宋体" w:hAnsi="宋体" w:eastAsia="宋体"/>
                <w:sz w:val="18"/>
                <w:szCs w:val="18"/>
                <w:lang w:val="en-US" w:eastAsia="zh-CN"/>
              </w:rPr>
            </w:pPr>
            <w:r>
              <w:rPr>
                <w:rFonts w:hint="eastAsia" w:ascii="宋体" w:hAnsi="宋体"/>
                <w:sz w:val="18"/>
                <w:szCs w:val="18"/>
                <w:lang w:val="en-US" w:eastAsia="zh-CN"/>
              </w:rPr>
              <w:t>/</w:t>
            </w:r>
          </w:p>
        </w:tc>
        <w:tc>
          <w:tcPr>
            <w:tcW w:w="1873" w:type="dxa"/>
            <w:tcBorders>
              <w:top w:val="single" w:color="auto" w:sz="12"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14:paraId="5DC72172">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0.0011</w:t>
            </w:r>
          </w:p>
        </w:tc>
        <w:tc>
          <w:tcPr>
            <w:tcW w:w="1579" w:type="dxa"/>
            <w:tcBorders>
              <w:top w:val="single" w:color="auto" w:sz="12"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14:paraId="7F0931D8">
            <w:pPr>
              <w:jc w:val="center"/>
              <w:rPr>
                <w:rFonts w:hint="eastAsia" w:ascii="宋体" w:hAnsi="宋体"/>
                <w:sz w:val="18"/>
                <w:szCs w:val="18"/>
                <w:lang w:val="en-US" w:eastAsia="zh-CN"/>
              </w:rPr>
            </w:pPr>
            <w:r>
              <w:rPr>
                <w:rFonts w:hint="eastAsia" w:ascii="宋体" w:hAnsi="宋体"/>
                <w:sz w:val="18"/>
                <w:szCs w:val="18"/>
                <w:lang w:val="en-US" w:eastAsia="zh-CN"/>
              </w:rPr>
              <w:t>/</w:t>
            </w:r>
          </w:p>
        </w:tc>
      </w:tr>
      <w:tr w14:paraId="220A98A4">
        <w:tblPrEx>
          <w:tblCellMar>
            <w:top w:w="0" w:type="dxa"/>
            <w:left w:w="0" w:type="dxa"/>
            <w:bottom w:w="0" w:type="dxa"/>
            <w:right w:w="0" w:type="dxa"/>
          </w:tblCellMar>
        </w:tblPrEx>
        <w:trPr>
          <w:cantSplit/>
          <w:trHeight w:val="465" w:hRule="atLeast"/>
        </w:trPr>
        <w:tc>
          <w:tcPr>
            <w:tcW w:w="1333" w:type="dxa"/>
            <w:gridSpan w:val="2"/>
            <w:vMerge w:val="restart"/>
            <w:tcBorders>
              <w:top w:val="single" w:color="auto" w:sz="4" w:space="0"/>
              <w:left w:val="single" w:color="auto" w:sz="12" w:space="0"/>
              <w:right w:val="single" w:color="auto" w:sz="4" w:space="0"/>
            </w:tcBorders>
            <w:noWrap w:val="0"/>
            <w:tcMar>
              <w:top w:w="15" w:type="dxa"/>
              <w:left w:w="15" w:type="dxa"/>
              <w:bottom w:w="0" w:type="dxa"/>
              <w:right w:w="15" w:type="dxa"/>
            </w:tcMar>
            <w:vAlign w:val="center"/>
          </w:tcPr>
          <w:p w14:paraId="41BD846C">
            <w:pPr>
              <w:jc w:val="center"/>
              <w:rPr>
                <w:rFonts w:ascii="宋体" w:hAnsi="宋体"/>
                <w:sz w:val="18"/>
                <w:szCs w:val="18"/>
              </w:rPr>
            </w:pPr>
            <w:r>
              <w:rPr>
                <w:rFonts w:ascii="宋体" w:hAnsi="宋体"/>
                <w:sz w:val="18"/>
                <w:szCs w:val="18"/>
              </w:rPr>
              <w:t>标加0.0010%</w:t>
            </w:r>
          </w:p>
        </w:tc>
        <w:tc>
          <w:tcPr>
            <w:tcW w:w="1245"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36CACC69">
            <w:pPr>
              <w:jc w:val="center"/>
              <w:rPr>
                <w:rFonts w:ascii="宋体" w:hAnsi="宋体"/>
                <w:sz w:val="18"/>
                <w:szCs w:val="18"/>
              </w:rPr>
            </w:pPr>
            <w:r>
              <w:rPr>
                <w:rFonts w:ascii="宋体" w:hAnsi="宋体"/>
                <w:sz w:val="18"/>
                <w:szCs w:val="18"/>
              </w:rPr>
              <w:t>测的量/%</w:t>
            </w:r>
          </w:p>
        </w:tc>
        <w:tc>
          <w:tcPr>
            <w:tcW w:w="2057"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72CB4912">
            <w:pPr>
              <w:jc w:val="center"/>
              <w:rPr>
                <w:rFonts w:hint="default" w:ascii="宋体" w:hAnsi="宋体" w:eastAsia="宋体"/>
                <w:sz w:val="18"/>
                <w:szCs w:val="18"/>
                <w:lang w:val="en-US" w:eastAsia="zh-CN"/>
              </w:rPr>
            </w:pPr>
            <w:r>
              <w:rPr>
                <w:rFonts w:hint="eastAsia" w:ascii="宋体" w:hAnsi="宋体"/>
                <w:sz w:val="18"/>
                <w:szCs w:val="18"/>
                <w:lang w:val="en-US" w:eastAsia="zh-CN"/>
              </w:rPr>
              <w:t>0.00148</w:t>
            </w:r>
          </w:p>
        </w:tc>
        <w:tc>
          <w:tcPr>
            <w:tcW w:w="1873"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00CAEE89">
            <w:pPr>
              <w:jc w:val="center"/>
              <w:rPr>
                <w:rFonts w:hint="default" w:ascii="宋体" w:hAnsi="宋体" w:eastAsia="宋体"/>
                <w:sz w:val="18"/>
                <w:szCs w:val="18"/>
                <w:lang w:val="en-US" w:eastAsia="zh-CN"/>
              </w:rPr>
            </w:pPr>
            <w:r>
              <w:rPr>
                <w:rFonts w:hint="eastAsia" w:ascii="宋体" w:hAnsi="宋体"/>
                <w:sz w:val="18"/>
                <w:szCs w:val="18"/>
                <w:lang w:val="en-US" w:eastAsia="zh-CN"/>
              </w:rPr>
              <w:t>/</w:t>
            </w:r>
          </w:p>
        </w:tc>
        <w:tc>
          <w:tcPr>
            <w:tcW w:w="1873"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0427849F">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0.00224</w:t>
            </w:r>
          </w:p>
        </w:tc>
        <w:tc>
          <w:tcPr>
            <w:tcW w:w="1579"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25291531">
            <w:pPr>
              <w:jc w:val="center"/>
              <w:rPr>
                <w:rFonts w:hint="default" w:ascii="宋体" w:hAnsi="宋体"/>
                <w:sz w:val="18"/>
                <w:szCs w:val="18"/>
                <w:lang w:val="en-US" w:eastAsia="zh-CN"/>
              </w:rPr>
            </w:pPr>
            <w:r>
              <w:rPr>
                <w:rFonts w:hint="eastAsia" w:ascii="宋体" w:hAnsi="宋体"/>
                <w:sz w:val="18"/>
                <w:szCs w:val="18"/>
                <w:lang w:val="en-US" w:eastAsia="zh-CN"/>
              </w:rPr>
              <w:t>/</w:t>
            </w:r>
          </w:p>
        </w:tc>
      </w:tr>
      <w:tr w14:paraId="6D4F30F3">
        <w:tblPrEx>
          <w:tblCellMar>
            <w:top w:w="0" w:type="dxa"/>
            <w:left w:w="0" w:type="dxa"/>
            <w:bottom w:w="0" w:type="dxa"/>
            <w:right w:w="0" w:type="dxa"/>
          </w:tblCellMar>
        </w:tblPrEx>
        <w:trPr>
          <w:cantSplit/>
          <w:trHeight w:val="465" w:hRule="atLeast"/>
        </w:trPr>
        <w:tc>
          <w:tcPr>
            <w:tcW w:w="1333" w:type="dxa"/>
            <w:gridSpan w:val="2"/>
            <w:vMerge w:val="continue"/>
            <w:tcBorders>
              <w:left w:val="single" w:color="auto" w:sz="12" w:space="0"/>
              <w:bottom w:val="single" w:color="auto" w:sz="4" w:space="0"/>
              <w:right w:val="single" w:color="auto" w:sz="4" w:space="0"/>
            </w:tcBorders>
            <w:noWrap w:val="0"/>
            <w:tcMar>
              <w:top w:w="15" w:type="dxa"/>
              <w:left w:w="15" w:type="dxa"/>
              <w:bottom w:w="0" w:type="dxa"/>
              <w:right w:w="15" w:type="dxa"/>
            </w:tcMar>
            <w:vAlign w:val="center"/>
          </w:tcPr>
          <w:p w14:paraId="2FB203EC">
            <w:pPr>
              <w:jc w:val="center"/>
              <w:rPr>
                <w:rFonts w:ascii="宋体" w:hAnsi="宋体"/>
                <w:sz w:val="18"/>
                <w:szCs w:val="18"/>
              </w:rPr>
            </w:pPr>
          </w:p>
        </w:tc>
        <w:tc>
          <w:tcPr>
            <w:tcW w:w="1245"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0DA41686">
            <w:pPr>
              <w:jc w:val="center"/>
              <w:rPr>
                <w:rFonts w:ascii="宋体" w:hAnsi="宋体"/>
                <w:sz w:val="18"/>
                <w:szCs w:val="18"/>
              </w:rPr>
            </w:pPr>
            <w:r>
              <w:rPr>
                <w:rFonts w:ascii="宋体" w:hAnsi="宋体"/>
                <w:sz w:val="18"/>
                <w:szCs w:val="18"/>
              </w:rPr>
              <w:t>回收率/％</w:t>
            </w:r>
          </w:p>
        </w:tc>
        <w:tc>
          <w:tcPr>
            <w:tcW w:w="2057"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50B078FD">
            <w:pPr>
              <w:jc w:val="center"/>
              <w:rPr>
                <w:rFonts w:hint="default" w:ascii="宋体" w:hAnsi="宋体" w:eastAsia="宋体"/>
                <w:sz w:val="18"/>
                <w:szCs w:val="18"/>
                <w:lang w:val="en-US" w:eastAsia="zh-CN"/>
              </w:rPr>
            </w:pPr>
            <w:r>
              <w:rPr>
                <w:rFonts w:hint="eastAsia" w:ascii="宋体" w:hAnsi="宋体"/>
                <w:sz w:val="18"/>
                <w:szCs w:val="18"/>
                <w:lang w:val="en-US" w:eastAsia="zh-CN"/>
              </w:rPr>
              <w:t>98.0</w:t>
            </w:r>
          </w:p>
        </w:tc>
        <w:tc>
          <w:tcPr>
            <w:tcW w:w="1873"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57DBCA5C">
            <w:pPr>
              <w:jc w:val="center"/>
              <w:rPr>
                <w:rFonts w:hint="default" w:ascii="宋体" w:hAnsi="宋体" w:eastAsia="宋体"/>
                <w:sz w:val="18"/>
                <w:szCs w:val="18"/>
                <w:lang w:val="en-US" w:eastAsia="zh-CN"/>
              </w:rPr>
            </w:pPr>
            <w:r>
              <w:rPr>
                <w:rFonts w:hint="eastAsia" w:ascii="宋体" w:hAnsi="宋体"/>
                <w:sz w:val="18"/>
                <w:szCs w:val="18"/>
                <w:lang w:val="en-US" w:eastAsia="zh-CN"/>
              </w:rPr>
              <w:t>/</w:t>
            </w:r>
          </w:p>
        </w:tc>
        <w:tc>
          <w:tcPr>
            <w:tcW w:w="1873"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3570B9BE">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103.6</w:t>
            </w:r>
          </w:p>
        </w:tc>
        <w:tc>
          <w:tcPr>
            <w:tcW w:w="1579"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4FFEF9D5">
            <w:pPr>
              <w:jc w:val="center"/>
              <w:rPr>
                <w:rFonts w:hint="default" w:ascii="宋体" w:hAnsi="宋体"/>
                <w:sz w:val="18"/>
                <w:szCs w:val="18"/>
                <w:lang w:val="en-US" w:eastAsia="zh-CN"/>
              </w:rPr>
            </w:pPr>
            <w:r>
              <w:rPr>
                <w:rFonts w:hint="eastAsia" w:ascii="宋体" w:hAnsi="宋体"/>
                <w:sz w:val="18"/>
                <w:szCs w:val="18"/>
                <w:lang w:val="en-US" w:eastAsia="zh-CN"/>
              </w:rPr>
              <w:t>/</w:t>
            </w:r>
          </w:p>
        </w:tc>
      </w:tr>
      <w:tr w14:paraId="3F324AC0">
        <w:tblPrEx>
          <w:tblCellMar>
            <w:top w:w="0" w:type="dxa"/>
            <w:left w:w="0" w:type="dxa"/>
            <w:bottom w:w="0" w:type="dxa"/>
            <w:right w:w="0" w:type="dxa"/>
          </w:tblCellMar>
        </w:tblPrEx>
        <w:trPr>
          <w:cantSplit/>
          <w:trHeight w:val="465" w:hRule="atLeast"/>
        </w:trPr>
        <w:tc>
          <w:tcPr>
            <w:tcW w:w="1333" w:type="dxa"/>
            <w:gridSpan w:val="2"/>
            <w:vMerge w:val="restart"/>
            <w:tcBorders>
              <w:top w:val="single" w:color="auto" w:sz="4" w:space="0"/>
              <w:left w:val="single" w:color="auto" w:sz="12" w:space="0"/>
              <w:right w:val="single" w:color="auto" w:sz="4" w:space="0"/>
            </w:tcBorders>
            <w:noWrap w:val="0"/>
            <w:tcMar>
              <w:top w:w="15" w:type="dxa"/>
              <w:left w:w="15" w:type="dxa"/>
              <w:bottom w:w="0" w:type="dxa"/>
              <w:right w:w="15" w:type="dxa"/>
            </w:tcMar>
            <w:vAlign w:val="center"/>
          </w:tcPr>
          <w:p w14:paraId="594D04A7">
            <w:pPr>
              <w:jc w:val="center"/>
              <w:rPr>
                <w:rFonts w:ascii="宋体" w:hAnsi="宋体"/>
                <w:sz w:val="18"/>
                <w:szCs w:val="18"/>
              </w:rPr>
            </w:pPr>
            <w:r>
              <w:rPr>
                <w:rFonts w:ascii="宋体" w:hAnsi="宋体"/>
                <w:sz w:val="18"/>
                <w:szCs w:val="18"/>
              </w:rPr>
              <w:t>标加0.050%</w:t>
            </w:r>
          </w:p>
        </w:tc>
        <w:tc>
          <w:tcPr>
            <w:tcW w:w="1245"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496C1666">
            <w:pPr>
              <w:jc w:val="center"/>
              <w:rPr>
                <w:rFonts w:ascii="宋体" w:hAnsi="宋体"/>
                <w:sz w:val="18"/>
                <w:szCs w:val="18"/>
              </w:rPr>
            </w:pPr>
            <w:r>
              <w:rPr>
                <w:rFonts w:ascii="宋体" w:hAnsi="宋体"/>
                <w:sz w:val="18"/>
                <w:szCs w:val="18"/>
              </w:rPr>
              <w:t>测的量/%</w:t>
            </w:r>
          </w:p>
        </w:tc>
        <w:tc>
          <w:tcPr>
            <w:tcW w:w="2057"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25A4A2A4">
            <w:pPr>
              <w:jc w:val="center"/>
              <w:rPr>
                <w:rFonts w:hint="default" w:ascii="宋体" w:hAnsi="宋体" w:eastAsia="宋体"/>
                <w:sz w:val="18"/>
                <w:szCs w:val="18"/>
                <w:lang w:val="en-US" w:eastAsia="zh-CN"/>
              </w:rPr>
            </w:pPr>
            <w:r>
              <w:rPr>
                <w:rFonts w:hint="eastAsia" w:ascii="宋体" w:hAnsi="宋体"/>
                <w:sz w:val="18"/>
                <w:szCs w:val="18"/>
                <w:lang w:val="en-US" w:eastAsia="zh-CN"/>
              </w:rPr>
              <w:t>0.0512</w:t>
            </w:r>
          </w:p>
        </w:tc>
        <w:tc>
          <w:tcPr>
            <w:tcW w:w="1873"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040A0AD1">
            <w:pPr>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0.0471</w:t>
            </w:r>
          </w:p>
        </w:tc>
        <w:tc>
          <w:tcPr>
            <w:tcW w:w="1873"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63CC8EF9">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0.0563</w:t>
            </w:r>
          </w:p>
        </w:tc>
        <w:tc>
          <w:tcPr>
            <w:tcW w:w="1579"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0C91BA73">
            <w:pPr>
              <w:jc w:val="center"/>
              <w:rPr>
                <w:rFonts w:hint="default" w:ascii="宋体" w:hAnsi="宋体"/>
                <w:sz w:val="18"/>
                <w:szCs w:val="18"/>
                <w:lang w:val="en-US" w:eastAsia="zh-CN"/>
              </w:rPr>
            </w:pPr>
            <w:r>
              <w:rPr>
                <w:rFonts w:hint="eastAsia" w:ascii="宋体" w:hAnsi="宋体"/>
                <w:sz w:val="18"/>
                <w:szCs w:val="18"/>
                <w:lang w:val="en-US" w:eastAsia="zh-CN"/>
              </w:rPr>
              <w:t>0.0481</w:t>
            </w:r>
          </w:p>
        </w:tc>
      </w:tr>
      <w:tr w14:paraId="4A01A571">
        <w:tblPrEx>
          <w:tblCellMar>
            <w:top w:w="0" w:type="dxa"/>
            <w:left w:w="0" w:type="dxa"/>
            <w:bottom w:w="0" w:type="dxa"/>
            <w:right w:w="0" w:type="dxa"/>
          </w:tblCellMar>
        </w:tblPrEx>
        <w:trPr>
          <w:trHeight w:val="465" w:hRule="atLeast"/>
        </w:trPr>
        <w:tc>
          <w:tcPr>
            <w:tcW w:w="1333" w:type="dxa"/>
            <w:gridSpan w:val="2"/>
            <w:vMerge w:val="continue"/>
            <w:tcBorders>
              <w:left w:val="single" w:color="auto" w:sz="12" w:space="0"/>
              <w:bottom w:val="single" w:color="auto" w:sz="4" w:space="0"/>
              <w:right w:val="single" w:color="auto" w:sz="4" w:space="0"/>
            </w:tcBorders>
            <w:noWrap w:val="0"/>
            <w:tcMar>
              <w:top w:w="15" w:type="dxa"/>
              <w:left w:w="15" w:type="dxa"/>
              <w:bottom w:w="0" w:type="dxa"/>
              <w:right w:w="15" w:type="dxa"/>
            </w:tcMar>
            <w:vAlign w:val="center"/>
          </w:tcPr>
          <w:p w14:paraId="3D4494A4">
            <w:pPr>
              <w:jc w:val="center"/>
              <w:rPr>
                <w:rFonts w:ascii="宋体" w:hAnsi="宋体"/>
                <w:sz w:val="18"/>
                <w:szCs w:val="18"/>
              </w:rPr>
            </w:pPr>
          </w:p>
        </w:tc>
        <w:tc>
          <w:tcPr>
            <w:tcW w:w="1245"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5FAAD023">
            <w:pPr>
              <w:jc w:val="center"/>
              <w:rPr>
                <w:rFonts w:ascii="宋体" w:hAnsi="宋体"/>
                <w:sz w:val="18"/>
                <w:szCs w:val="18"/>
              </w:rPr>
            </w:pPr>
            <w:r>
              <w:rPr>
                <w:rFonts w:ascii="宋体" w:hAnsi="宋体"/>
                <w:sz w:val="18"/>
                <w:szCs w:val="18"/>
              </w:rPr>
              <w:t>回收率/％</w:t>
            </w:r>
          </w:p>
        </w:tc>
        <w:tc>
          <w:tcPr>
            <w:tcW w:w="2057"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51A75ED1">
            <w:pPr>
              <w:jc w:val="center"/>
              <w:rPr>
                <w:rFonts w:hint="default" w:ascii="宋体" w:hAnsi="宋体" w:eastAsia="宋体"/>
                <w:sz w:val="18"/>
                <w:szCs w:val="18"/>
                <w:lang w:val="en-US" w:eastAsia="zh-CN"/>
              </w:rPr>
            </w:pPr>
            <w:r>
              <w:rPr>
                <w:rFonts w:hint="eastAsia" w:ascii="宋体" w:hAnsi="宋体"/>
                <w:sz w:val="18"/>
                <w:szCs w:val="18"/>
                <w:lang w:val="en-US" w:eastAsia="zh-CN"/>
              </w:rPr>
              <w:t>101.4</w:t>
            </w:r>
          </w:p>
        </w:tc>
        <w:tc>
          <w:tcPr>
            <w:tcW w:w="1873"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340F7DA1">
            <w:pPr>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93.2</w:t>
            </w:r>
          </w:p>
        </w:tc>
        <w:tc>
          <w:tcPr>
            <w:tcW w:w="1873"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1EC70C76">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110.4</w:t>
            </w:r>
          </w:p>
        </w:tc>
        <w:tc>
          <w:tcPr>
            <w:tcW w:w="1579"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6784E135">
            <w:pPr>
              <w:jc w:val="center"/>
              <w:rPr>
                <w:rFonts w:hint="default" w:ascii="宋体" w:hAnsi="宋体"/>
                <w:sz w:val="18"/>
                <w:szCs w:val="18"/>
                <w:lang w:val="en-US" w:eastAsia="zh-CN"/>
              </w:rPr>
            </w:pPr>
            <w:r>
              <w:rPr>
                <w:rFonts w:hint="eastAsia" w:ascii="宋体" w:hAnsi="宋体"/>
                <w:sz w:val="18"/>
                <w:szCs w:val="18"/>
                <w:lang w:val="en-US" w:eastAsia="zh-CN"/>
              </w:rPr>
              <w:t>94.0</w:t>
            </w:r>
          </w:p>
        </w:tc>
      </w:tr>
      <w:tr w14:paraId="1D195AC7">
        <w:tblPrEx>
          <w:tblCellMar>
            <w:top w:w="0" w:type="dxa"/>
            <w:left w:w="0" w:type="dxa"/>
            <w:bottom w:w="0" w:type="dxa"/>
            <w:right w:w="0" w:type="dxa"/>
          </w:tblCellMar>
        </w:tblPrEx>
        <w:trPr>
          <w:trHeight w:val="465" w:hRule="atLeast"/>
        </w:trPr>
        <w:tc>
          <w:tcPr>
            <w:tcW w:w="1333" w:type="dxa"/>
            <w:gridSpan w:val="2"/>
            <w:vMerge w:val="restart"/>
            <w:tcBorders>
              <w:left w:val="single" w:color="auto" w:sz="12" w:space="0"/>
              <w:bottom w:val="single" w:color="auto" w:sz="4" w:space="0"/>
              <w:right w:val="single" w:color="auto" w:sz="4" w:space="0"/>
            </w:tcBorders>
            <w:noWrap w:val="0"/>
            <w:tcMar>
              <w:top w:w="15" w:type="dxa"/>
              <w:left w:w="15" w:type="dxa"/>
              <w:bottom w:w="0" w:type="dxa"/>
              <w:right w:w="15" w:type="dxa"/>
            </w:tcMar>
            <w:vAlign w:val="center"/>
          </w:tcPr>
          <w:p w14:paraId="369D0958">
            <w:pPr>
              <w:jc w:val="center"/>
              <w:rPr>
                <w:rFonts w:ascii="宋体" w:hAnsi="宋体"/>
                <w:sz w:val="18"/>
                <w:szCs w:val="18"/>
              </w:rPr>
            </w:pPr>
            <w:r>
              <w:rPr>
                <w:rFonts w:ascii="宋体" w:hAnsi="宋体"/>
                <w:sz w:val="18"/>
                <w:szCs w:val="18"/>
              </w:rPr>
              <w:t>标加0.</w:t>
            </w:r>
            <w:r>
              <w:rPr>
                <w:rFonts w:hint="eastAsia" w:ascii="宋体" w:hAnsi="宋体"/>
                <w:sz w:val="18"/>
                <w:szCs w:val="18"/>
                <w:lang w:val="en-US" w:eastAsia="zh-CN"/>
              </w:rPr>
              <w:t>10</w:t>
            </w:r>
            <w:r>
              <w:rPr>
                <w:rFonts w:ascii="宋体" w:hAnsi="宋体"/>
                <w:sz w:val="18"/>
                <w:szCs w:val="18"/>
              </w:rPr>
              <w:t>%</w:t>
            </w:r>
          </w:p>
        </w:tc>
        <w:tc>
          <w:tcPr>
            <w:tcW w:w="1245"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13FD611D">
            <w:pPr>
              <w:jc w:val="center"/>
              <w:rPr>
                <w:rFonts w:ascii="宋体" w:hAnsi="宋体"/>
                <w:sz w:val="18"/>
                <w:szCs w:val="18"/>
              </w:rPr>
            </w:pPr>
            <w:r>
              <w:rPr>
                <w:rFonts w:ascii="宋体" w:hAnsi="宋体"/>
                <w:sz w:val="18"/>
                <w:szCs w:val="18"/>
              </w:rPr>
              <w:t>测的量/%</w:t>
            </w:r>
          </w:p>
        </w:tc>
        <w:tc>
          <w:tcPr>
            <w:tcW w:w="2057"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28E6E9CF">
            <w:pPr>
              <w:jc w:val="center"/>
              <w:rPr>
                <w:rFonts w:hint="default" w:ascii="宋体" w:hAnsi="宋体"/>
                <w:sz w:val="18"/>
                <w:szCs w:val="18"/>
                <w:lang w:val="en-US" w:eastAsia="zh-CN"/>
              </w:rPr>
            </w:pPr>
            <w:r>
              <w:rPr>
                <w:rFonts w:hint="eastAsia" w:ascii="宋体" w:hAnsi="宋体"/>
                <w:sz w:val="18"/>
                <w:szCs w:val="18"/>
                <w:lang w:val="en-US" w:eastAsia="zh-CN"/>
              </w:rPr>
              <w:t>0.1059</w:t>
            </w:r>
          </w:p>
        </w:tc>
        <w:tc>
          <w:tcPr>
            <w:tcW w:w="1873"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5236A4E8">
            <w:pPr>
              <w:jc w:val="center"/>
              <w:rPr>
                <w:rFonts w:hint="default" w:ascii="宋体" w:hAnsi="宋体" w:eastAsia="宋体"/>
                <w:sz w:val="18"/>
                <w:szCs w:val="18"/>
                <w:lang w:val="en-US" w:eastAsia="zh-CN"/>
              </w:rPr>
            </w:pPr>
            <w:r>
              <w:rPr>
                <w:rFonts w:hint="eastAsia" w:ascii="宋体" w:hAnsi="宋体"/>
                <w:sz w:val="18"/>
                <w:szCs w:val="18"/>
                <w:lang w:val="en-US" w:eastAsia="zh-CN"/>
              </w:rPr>
              <w:t>0.0987</w:t>
            </w:r>
          </w:p>
        </w:tc>
        <w:tc>
          <w:tcPr>
            <w:tcW w:w="1873"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5750274C">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0.1089</w:t>
            </w:r>
          </w:p>
        </w:tc>
        <w:tc>
          <w:tcPr>
            <w:tcW w:w="1579"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5E786126">
            <w:pPr>
              <w:jc w:val="center"/>
              <w:rPr>
                <w:rFonts w:hint="default" w:ascii="宋体" w:hAnsi="宋体"/>
                <w:sz w:val="18"/>
                <w:szCs w:val="18"/>
                <w:lang w:val="en-US" w:eastAsia="zh-CN"/>
              </w:rPr>
            </w:pPr>
            <w:r>
              <w:rPr>
                <w:rFonts w:hint="eastAsia" w:ascii="宋体" w:hAnsi="宋体"/>
                <w:sz w:val="18"/>
                <w:szCs w:val="18"/>
                <w:lang w:val="en-US" w:eastAsia="zh-CN"/>
              </w:rPr>
              <w:t>0.1006</w:t>
            </w:r>
          </w:p>
        </w:tc>
      </w:tr>
      <w:tr w14:paraId="3468A622">
        <w:tblPrEx>
          <w:tblCellMar>
            <w:top w:w="0" w:type="dxa"/>
            <w:left w:w="0" w:type="dxa"/>
            <w:bottom w:w="0" w:type="dxa"/>
            <w:right w:w="0" w:type="dxa"/>
          </w:tblCellMar>
        </w:tblPrEx>
        <w:trPr>
          <w:trHeight w:val="485" w:hRule="atLeast"/>
        </w:trPr>
        <w:tc>
          <w:tcPr>
            <w:tcW w:w="1333" w:type="dxa"/>
            <w:gridSpan w:val="2"/>
            <w:vMerge w:val="continue"/>
            <w:tcBorders>
              <w:left w:val="single" w:color="auto" w:sz="12" w:space="0"/>
              <w:bottom w:val="single" w:color="auto" w:sz="4" w:space="0"/>
              <w:right w:val="single" w:color="auto" w:sz="4" w:space="0"/>
            </w:tcBorders>
            <w:noWrap w:val="0"/>
            <w:tcMar>
              <w:top w:w="15" w:type="dxa"/>
              <w:left w:w="15" w:type="dxa"/>
              <w:bottom w:w="0" w:type="dxa"/>
              <w:right w:w="15" w:type="dxa"/>
            </w:tcMar>
            <w:vAlign w:val="center"/>
          </w:tcPr>
          <w:p w14:paraId="5D3A1ED4">
            <w:pPr>
              <w:jc w:val="center"/>
              <w:rPr>
                <w:rFonts w:ascii="宋体" w:hAnsi="宋体"/>
                <w:sz w:val="18"/>
                <w:szCs w:val="18"/>
              </w:rPr>
            </w:pPr>
          </w:p>
        </w:tc>
        <w:tc>
          <w:tcPr>
            <w:tcW w:w="1245"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1390F49F">
            <w:pPr>
              <w:jc w:val="center"/>
              <w:rPr>
                <w:rFonts w:ascii="宋体" w:hAnsi="宋体"/>
                <w:sz w:val="18"/>
                <w:szCs w:val="18"/>
              </w:rPr>
            </w:pPr>
            <w:r>
              <w:rPr>
                <w:rFonts w:ascii="宋体" w:hAnsi="宋体"/>
                <w:sz w:val="18"/>
                <w:szCs w:val="18"/>
              </w:rPr>
              <w:t>回收率/％</w:t>
            </w:r>
          </w:p>
        </w:tc>
        <w:tc>
          <w:tcPr>
            <w:tcW w:w="2057"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0148FEE9">
            <w:pPr>
              <w:jc w:val="center"/>
              <w:rPr>
                <w:rFonts w:hint="default" w:ascii="宋体" w:hAnsi="宋体"/>
                <w:sz w:val="18"/>
                <w:szCs w:val="18"/>
                <w:lang w:val="en-US" w:eastAsia="zh-CN"/>
              </w:rPr>
            </w:pPr>
            <w:r>
              <w:rPr>
                <w:rFonts w:hint="eastAsia" w:ascii="宋体" w:hAnsi="宋体"/>
                <w:sz w:val="18"/>
                <w:szCs w:val="18"/>
                <w:lang w:val="en-US" w:eastAsia="zh-CN"/>
              </w:rPr>
              <w:t>105.4</w:t>
            </w:r>
          </w:p>
        </w:tc>
        <w:tc>
          <w:tcPr>
            <w:tcW w:w="1873"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242A64D5">
            <w:pPr>
              <w:jc w:val="center"/>
              <w:rPr>
                <w:rFonts w:hint="default" w:ascii="宋体" w:hAnsi="宋体" w:eastAsia="宋体"/>
                <w:sz w:val="18"/>
                <w:szCs w:val="18"/>
                <w:lang w:val="en-US" w:eastAsia="zh-CN"/>
              </w:rPr>
            </w:pPr>
            <w:r>
              <w:rPr>
                <w:rFonts w:hint="eastAsia" w:ascii="宋体" w:hAnsi="宋体"/>
                <w:sz w:val="18"/>
                <w:szCs w:val="18"/>
                <w:lang w:val="en-US" w:eastAsia="zh-CN"/>
              </w:rPr>
              <w:t>98.2</w:t>
            </w:r>
          </w:p>
        </w:tc>
        <w:tc>
          <w:tcPr>
            <w:tcW w:w="1873"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733CB8D2">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107.8</w:t>
            </w:r>
          </w:p>
        </w:tc>
        <w:tc>
          <w:tcPr>
            <w:tcW w:w="1579"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6C51F139">
            <w:pPr>
              <w:jc w:val="center"/>
              <w:rPr>
                <w:rFonts w:hint="default" w:ascii="宋体" w:hAnsi="宋体"/>
                <w:sz w:val="18"/>
                <w:szCs w:val="18"/>
                <w:lang w:val="en-US" w:eastAsia="zh-CN"/>
              </w:rPr>
            </w:pPr>
            <w:r>
              <w:rPr>
                <w:rFonts w:hint="eastAsia" w:ascii="宋体" w:hAnsi="宋体"/>
                <w:sz w:val="18"/>
                <w:szCs w:val="18"/>
                <w:lang w:val="en-US" w:eastAsia="zh-CN"/>
              </w:rPr>
              <w:t>99.5</w:t>
            </w:r>
          </w:p>
        </w:tc>
      </w:tr>
      <w:tr w14:paraId="397644BB">
        <w:tblPrEx>
          <w:tblCellMar>
            <w:top w:w="0" w:type="dxa"/>
            <w:left w:w="0" w:type="dxa"/>
            <w:bottom w:w="0" w:type="dxa"/>
            <w:right w:w="0" w:type="dxa"/>
          </w:tblCellMar>
        </w:tblPrEx>
        <w:trPr>
          <w:cantSplit/>
          <w:trHeight w:val="465" w:hRule="atLeast"/>
        </w:trPr>
        <w:tc>
          <w:tcPr>
            <w:tcW w:w="1333" w:type="dxa"/>
            <w:gridSpan w:val="2"/>
            <w:vMerge w:val="restart"/>
            <w:tcBorders>
              <w:top w:val="nil"/>
              <w:left w:val="single" w:color="auto" w:sz="12" w:space="0"/>
              <w:right w:val="single" w:color="auto" w:sz="4" w:space="0"/>
            </w:tcBorders>
            <w:noWrap w:val="0"/>
            <w:tcMar>
              <w:top w:w="15" w:type="dxa"/>
              <w:left w:w="15" w:type="dxa"/>
              <w:bottom w:w="0" w:type="dxa"/>
              <w:right w:w="15" w:type="dxa"/>
            </w:tcMar>
            <w:vAlign w:val="center"/>
          </w:tcPr>
          <w:p w14:paraId="72A45EFB">
            <w:pPr>
              <w:jc w:val="center"/>
              <w:rPr>
                <w:rFonts w:ascii="宋体" w:hAnsi="宋体"/>
                <w:sz w:val="18"/>
                <w:szCs w:val="18"/>
              </w:rPr>
            </w:pPr>
            <w:r>
              <w:rPr>
                <w:rFonts w:ascii="宋体" w:hAnsi="宋体"/>
                <w:sz w:val="18"/>
                <w:szCs w:val="18"/>
              </w:rPr>
              <w:t>标加0.25%</w:t>
            </w:r>
          </w:p>
        </w:tc>
        <w:tc>
          <w:tcPr>
            <w:tcW w:w="1245"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5986C1DC">
            <w:pPr>
              <w:jc w:val="center"/>
              <w:rPr>
                <w:rFonts w:ascii="宋体" w:hAnsi="宋体"/>
                <w:sz w:val="18"/>
                <w:szCs w:val="18"/>
              </w:rPr>
            </w:pPr>
            <w:r>
              <w:rPr>
                <w:rFonts w:ascii="宋体" w:hAnsi="宋体"/>
                <w:sz w:val="18"/>
                <w:szCs w:val="18"/>
              </w:rPr>
              <w:t>测的量/%</w:t>
            </w:r>
          </w:p>
        </w:tc>
        <w:tc>
          <w:tcPr>
            <w:tcW w:w="2057"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470C28FB">
            <w:pPr>
              <w:jc w:val="center"/>
              <w:rPr>
                <w:rFonts w:hint="default" w:ascii="宋体" w:hAnsi="宋体" w:eastAsia="宋体"/>
                <w:sz w:val="18"/>
                <w:szCs w:val="18"/>
                <w:lang w:val="en-US" w:eastAsia="zh-CN"/>
              </w:rPr>
            </w:pPr>
            <w:r>
              <w:rPr>
                <w:rFonts w:hint="eastAsia" w:ascii="宋体" w:hAnsi="宋体"/>
                <w:sz w:val="18"/>
                <w:szCs w:val="18"/>
                <w:lang w:val="en-US" w:eastAsia="zh-CN"/>
              </w:rPr>
              <w:t>0.2492</w:t>
            </w:r>
          </w:p>
        </w:tc>
        <w:tc>
          <w:tcPr>
            <w:tcW w:w="1873"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753B4263">
            <w:pPr>
              <w:jc w:val="center"/>
              <w:rPr>
                <w:rFonts w:hint="default" w:ascii="宋体" w:hAnsi="宋体" w:eastAsia="宋体"/>
                <w:sz w:val="18"/>
                <w:szCs w:val="18"/>
                <w:lang w:val="en-US" w:eastAsia="zh-CN"/>
              </w:rPr>
            </w:pPr>
            <w:r>
              <w:rPr>
                <w:rFonts w:hint="eastAsia" w:ascii="宋体" w:hAnsi="宋体"/>
                <w:sz w:val="18"/>
                <w:szCs w:val="18"/>
                <w:lang w:val="en-US" w:eastAsia="zh-CN"/>
              </w:rPr>
              <w:t>0.2430</w:t>
            </w:r>
          </w:p>
        </w:tc>
        <w:tc>
          <w:tcPr>
            <w:tcW w:w="1873"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576CE90A">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0.2646</w:t>
            </w:r>
          </w:p>
        </w:tc>
        <w:tc>
          <w:tcPr>
            <w:tcW w:w="1579"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3C9DBD4C">
            <w:pPr>
              <w:jc w:val="center"/>
              <w:rPr>
                <w:rFonts w:hint="default" w:ascii="宋体" w:hAnsi="宋体"/>
                <w:sz w:val="18"/>
                <w:szCs w:val="18"/>
                <w:lang w:val="en-US" w:eastAsia="zh-CN"/>
              </w:rPr>
            </w:pPr>
            <w:r>
              <w:rPr>
                <w:rFonts w:hint="eastAsia" w:ascii="宋体" w:hAnsi="宋体"/>
                <w:sz w:val="18"/>
                <w:szCs w:val="18"/>
                <w:lang w:val="en-US" w:eastAsia="zh-CN"/>
              </w:rPr>
              <w:t>0.2475</w:t>
            </w:r>
          </w:p>
        </w:tc>
      </w:tr>
      <w:tr w14:paraId="7756354B">
        <w:tblPrEx>
          <w:tblCellMar>
            <w:top w:w="0" w:type="dxa"/>
            <w:left w:w="0" w:type="dxa"/>
            <w:bottom w:w="0" w:type="dxa"/>
            <w:right w:w="0" w:type="dxa"/>
          </w:tblCellMar>
        </w:tblPrEx>
        <w:trPr>
          <w:trHeight w:val="465" w:hRule="atLeast"/>
        </w:trPr>
        <w:tc>
          <w:tcPr>
            <w:tcW w:w="1333" w:type="dxa"/>
            <w:gridSpan w:val="2"/>
            <w:vMerge w:val="continue"/>
            <w:tcBorders>
              <w:left w:val="single" w:color="auto" w:sz="12" w:space="0"/>
              <w:bottom w:val="single" w:color="auto" w:sz="12" w:space="0"/>
              <w:right w:val="single" w:color="auto" w:sz="4" w:space="0"/>
            </w:tcBorders>
            <w:noWrap w:val="0"/>
            <w:tcMar>
              <w:top w:w="15" w:type="dxa"/>
              <w:left w:w="15" w:type="dxa"/>
              <w:bottom w:w="0" w:type="dxa"/>
              <w:right w:w="15" w:type="dxa"/>
            </w:tcMar>
            <w:vAlign w:val="center"/>
          </w:tcPr>
          <w:p w14:paraId="0F78029F">
            <w:pPr>
              <w:jc w:val="center"/>
              <w:rPr>
                <w:rFonts w:ascii="宋体" w:hAnsi="宋体"/>
                <w:sz w:val="18"/>
                <w:szCs w:val="18"/>
              </w:rPr>
            </w:pPr>
          </w:p>
        </w:tc>
        <w:tc>
          <w:tcPr>
            <w:tcW w:w="1245" w:type="dxa"/>
            <w:tcBorders>
              <w:top w:val="nil"/>
              <w:left w:val="single" w:color="auto" w:sz="4" w:space="0"/>
              <w:bottom w:val="single" w:color="auto" w:sz="12" w:space="0"/>
              <w:right w:val="single" w:color="auto" w:sz="12" w:space="0"/>
            </w:tcBorders>
            <w:noWrap w:val="0"/>
            <w:tcMar>
              <w:top w:w="15" w:type="dxa"/>
              <w:left w:w="15" w:type="dxa"/>
              <w:bottom w:w="0" w:type="dxa"/>
              <w:right w:w="15" w:type="dxa"/>
            </w:tcMar>
            <w:vAlign w:val="center"/>
          </w:tcPr>
          <w:p w14:paraId="7C6A6723">
            <w:pPr>
              <w:jc w:val="center"/>
              <w:rPr>
                <w:rFonts w:ascii="宋体" w:hAnsi="宋体"/>
                <w:sz w:val="18"/>
                <w:szCs w:val="18"/>
              </w:rPr>
            </w:pPr>
            <w:r>
              <w:rPr>
                <w:rFonts w:ascii="宋体" w:hAnsi="宋体"/>
                <w:sz w:val="18"/>
                <w:szCs w:val="18"/>
              </w:rPr>
              <w:t>回收率/％</w:t>
            </w:r>
          </w:p>
        </w:tc>
        <w:tc>
          <w:tcPr>
            <w:tcW w:w="2057" w:type="dxa"/>
            <w:tcBorders>
              <w:top w:val="nil"/>
              <w:left w:val="single" w:color="auto" w:sz="4" w:space="0"/>
              <w:bottom w:val="single" w:color="auto" w:sz="12" w:space="0"/>
              <w:right w:val="single" w:color="auto" w:sz="12" w:space="0"/>
            </w:tcBorders>
            <w:noWrap w:val="0"/>
            <w:tcMar>
              <w:top w:w="15" w:type="dxa"/>
              <w:left w:w="15" w:type="dxa"/>
              <w:bottom w:w="0" w:type="dxa"/>
              <w:right w:w="15" w:type="dxa"/>
            </w:tcMar>
            <w:vAlign w:val="center"/>
          </w:tcPr>
          <w:p w14:paraId="2BB673A6">
            <w:pPr>
              <w:jc w:val="center"/>
              <w:rPr>
                <w:rFonts w:hint="default" w:ascii="宋体" w:hAnsi="宋体" w:eastAsia="宋体"/>
                <w:sz w:val="18"/>
                <w:szCs w:val="18"/>
                <w:lang w:val="en-US" w:eastAsia="zh-CN"/>
              </w:rPr>
            </w:pPr>
            <w:r>
              <w:rPr>
                <w:rFonts w:hint="eastAsia" w:ascii="宋体" w:hAnsi="宋体"/>
                <w:sz w:val="18"/>
                <w:szCs w:val="18"/>
                <w:lang w:val="en-US" w:eastAsia="zh-CN"/>
              </w:rPr>
              <w:t>99.5</w:t>
            </w:r>
          </w:p>
        </w:tc>
        <w:tc>
          <w:tcPr>
            <w:tcW w:w="1873" w:type="dxa"/>
            <w:tcBorders>
              <w:top w:val="nil"/>
              <w:left w:val="single" w:color="auto" w:sz="4" w:space="0"/>
              <w:bottom w:val="single" w:color="auto" w:sz="12" w:space="0"/>
              <w:right w:val="single" w:color="auto" w:sz="12" w:space="0"/>
            </w:tcBorders>
            <w:noWrap w:val="0"/>
            <w:tcMar>
              <w:top w:w="15" w:type="dxa"/>
              <w:left w:w="15" w:type="dxa"/>
              <w:bottom w:w="0" w:type="dxa"/>
              <w:right w:w="15" w:type="dxa"/>
            </w:tcMar>
            <w:vAlign w:val="center"/>
          </w:tcPr>
          <w:p w14:paraId="5B85B97D">
            <w:pPr>
              <w:jc w:val="center"/>
              <w:rPr>
                <w:rFonts w:hint="default" w:ascii="宋体" w:hAnsi="宋体" w:eastAsia="宋体"/>
                <w:sz w:val="18"/>
                <w:szCs w:val="18"/>
                <w:lang w:val="en-US" w:eastAsia="zh-CN"/>
              </w:rPr>
            </w:pPr>
            <w:r>
              <w:rPr>
                <w:rFonts w:hint="eastAsia" w:ascii="宋体" w:hAnsi="宋体"/>
                <w:sz w:val="18"/>
                <w:szCs w:val="18"/>
                <w:lang w:val="en-US" w:eastAsia="zh-CN"/>
              </w:rPr>
              <w:t>97.0</w:t>
            </w:r>
          </w:p>
        </w:tc>
        <w:tc>
          <w:tcPr>
            <w:tcW w:w="1873" w:type="dxa"/>
            <w:tcBorders>
              <w:top w:val="nil"/>
              <w:left w:val="single" w:color="auto" w:sz="4" w:space="0"/>
              <w:bottom w:val="single" w:color="auto" w:sz="12" w:space="0"/>
              <w:right w:val="single" w:color="auto" w:sz="12" w:space="0"/>
            </w:tcBorders>
            <w:noWrap w:val="0"/>
            <w:tcMar>
              <w:top w:w="15" w:type="dxa"/>
              <w:left w:w="15" w:type="dxa"/>
              <w:bottom w:w="0" w:type="dxa"/>
              <w:right w:w="15" w:type="dxa"/>
            </w:tcMar>
            <w:vAlign w:val="center"/>
          </w:tcPr>
          <w:p w14:paraId="7582E346">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105.4</w:t>
            </w:r>
          </w:p>
        </w:tc>
        <w:tc>
          <w:tcPr>
            <w:tcW w:w="1579" w:type="dxa"/>
            <w:tcBorders>
              <w:top w:val="nil"/>
              <w:left w:val="single" w:color="auto" w:sz="4" w:space="0"/>
              <w:bottom w:val="single" w:color="auto" w:sz="12" w:space="0"/>
              <w:right w:val="single" w:color="auto" w:sz="12" w:space="0"/>
            </w:tcBorders>
            <w:noWrap w:val="0"/>
            <w:tcMar>
              <w:top w:w="15" w:type="dxa"/>
              <w:left w:w="15" w:type="dxa"/>
              <w:bottom w:w="0" w:type="dxa"/>
              <w:right w:w="15" w:type="dxa"/>
            </w:tcMar>
            <w:vAlign w:val="center"/>
          </w:tcPr>
          <w:p w14:paraId="4885A165">
            <w:pPr>
              <w:jc w:val="center"/>
              <w:rPr>
                <w:rFonts w:hint="default" w:ascii="宋体" w:hAnsi="宋体"/>
                <w:sz w:val="18"/>
                <w:szCs w:val="18"/>
                <w:lang w:val="en-US" w:eastAsia="zh-CN"/>
              </w:rPr>
            </w:pPr>
            <w:r>
              <w:rPr>
                <w:rFonts w:hint="eastAsia" w:ascii="宋体" w:hAnsi="宋体"/>
                <w:sz w:val="18"/>
                <w:szCs w:val="18"/>
                <w:lang w:val="en-US" w:eastAsia="zh-CN"/>
              </w:rPr>
              <w:t>98.6</w:t>
            </w:r>
          </w:p>
        </w:tc>
      </w:tr>
      <w:tr w14:paraId="4BDA6D3C">
        <w:tblPrEx>
          <w:tblCellMar>
            <w:top w:w="0" w:type="dxa"/>
            <w:left w:w="0" w:type="dxa"/>
            <w:bottom w:w="0" w:type="dxa"/>
            <w:right w:w="0" w:type="dxa"/>
          </w:tblCellMar>
        </w:tblPrEx>
        <w:trPr>
          <w:trHeight w:val="381" w:hRule="atLeast"/>
        </w:trPr>
        <w:tc>
          <w:tcPr>
            <w:tcW w:w="2578" w:type="dxa"/>
            <w:gridSpan w:val="3"/>
            <w:tcBorders>
              <w:top w:val="single" w:color="auto" w:sz="12"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14:paraId="2F45BDE7">
            <w:pPr>
              <w:jc w:val="center"/>
              <w:rPr>
                <w:rFonts w:ascii="宋体" w:hAnsi="宋体"/>
                <w:bCs/>
                <w:color w:val="auto"/>
                <w:sz w:val="18"/>
                <w:szCs w:val="18"/>
              </w:rPr>
            </w:pPr>
            <w:r>
              <w:rPr>
                <w:rFonts w:ascii="宋体" w:hAnsi="宋体"/>
                <w:bCs/>
                <w:color w:val="auto"/>
                <w:sz w:val="18"/>
                <w:szCs w:val="18"/>
              </w:rPr>
              <w:t>元  素</w:t>
            </w:r>
          </w:p>
        </w:tc>
        <w:tc>
          <w:tcPr>
            <w:tcW w:w="2057" w:type="dxa"/>
            <w:tcBorders>
              <w:top w:val="single" w:color="auto" w:sz="12"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14:paraId="2D709E53">
            <w:pPr>
              <w:jc w:val="center"/>
              <w:rPr>
                <w:rFonts w:hint="default" w:ascii="宋体" w:hAnsi="宋体" w:eastAsia="宋体"/>
                <w:bCs/>
                <w:color w:val="auto"/>
                <w:sz w:val="18"/>
                <w:szCs w:val="18"/>
                <w:lang w:val="en-US" w:eastAsia="zh-CN"/>
              </w:rPr>
            </w:pPr>
            <w:r>
              <w:rPr>
                <w:rFonts w:ascii="宋体" w:hAnsi="宋体"/>
                <w:color w:val="auto"/>
                <w:sz w:val="18"/>
                <w:szCs w:val="18"/>
              </w:rPr>
              <w:t>Gd2O3-2#</w:t>
            </w:r>
            <w:r>
              <w:rPr>
                <w:rFonts w:hint="eastAsia" w:ascii="宋体" w:hAnsi="宋体"/>
                <w:bCs/>
                <w:color w:val="auto"/>
                <w:sz w:val="18"/>
                <w:szCs w:val="18"/>
                <w:lang w:val="en-US" w:eastAsia="zh-CN"/>
              </w:rPr>
              <w:t>（标准加入法）</w:t>
            </w:r>
          </w:p>
        </w:tc>
        <w:tc>
          <w:tcPr>
            <w:tcW w:w="1873" w:type="dxa"/>
            <w:tcBorders>
              <w:top w:val="single" w:color="auto" w:sz="12"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14:paraId="55EEEAAF">
            <w:pPr>
              <w:jc w:val="center"/>
              <w:rPr>
                <w:rFonts w:hint="default" w:ascii="宋体" w:hAnsi="宋体" w:eastAsia="宋体"/>
                <w:bCs/>
                <w:color w:val="auto"/>
                <w:sz w:val="18"/>
                <w:szCs w:val="18"/>
                <w:lang w:val="en-US" w:eastAsia="zh-CN"/>
              </w:rPr>
            </w:pPr>
            <w:r>
              <w:rPr>
                <w:rFonts w:ascii="宋体" w:hAnsi="宋体"/>
                <w:color w:val="auto"/>
                <w:sz w:val="18"/>
                <w:szCs w:val="18"/>
              </w:rPr>
              <w:t>Gd2O3-2#</w:t>
            </w:r>
            <w:r>
              <w:rPr>
                <w:rFonts w:hint="eastAsia" w:ascii="宋体" w:hAnsi="宋体"/>
                <w:bCs/>
                <w:color w:val="auto"/>
                <w:sz w:val="18"/>
                <w:szCs w:val="18"/>
                <w:lang w:val="en-US" w:eastAsia="zh-CN"/>
              </w:rPr>
              <w:t>（标准曲线法）</w:t>
            </w:r>
          </w:p>
        </w:tc>
        <w:tc>
          <w:tcPr>
            <w:tcW w:w="1873" w:type="dxa"/>
            <w:tcBorders>
              <w:top w:val="single" w:color="auto" w:sz="12"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14:paraId="65584928">
            <w:pPr>
              <w:jc w:val="center"/>
              <w:rPr>
                <w:rFonts w:hint="eastAsia" w:ascii="宋体" w:hAnsi="宋体" w:eastAsia="宋体" w:cs="Times New Roman"/>
                <w:bCs/>
                <w:color w:val="auto"/>
                <w:kern w:val="2"/>
                <w:sz w:val="18"/>
                <w:szCs w:val="18"/>
                <w:lang w:val="en-US" w:eastAsia="zh-CN" w:bidi="ar-SA"/>
              </w:rPr>
            </w:pPr>
            <w:r>
              <w:rPr>
                <w:rFonts w:ascii="宋体" w:hAnsi="宋体"/>
                <w:color w:val="auto"/>
                <w:sz w:val="18"/>
                <w:szCs w:val="18"/>
              </w:rPr>
              <w:t>La2O3-3#</w:t>
            </w:r>
            <w:r>
              <w:rPr>
                <w:rFonts w:hint="eastAsia" w:ascii="宋体" w:hAnsi="宋体"/>
                <w:bCs/>
                <w:color w:val="auto"/>
                <w:sz w:val="18"/>
                <w:szCs w:val="18"/>
                <w:lang w:val="en-US" w:eastAsia="zh-CN"/>
              </w:rPr>
              <w:t>（标准加入法）</w:t>
            </w:r>
          </w:p>
        </w:tc>
        <w:tc>
          <w:tcPr>
            <w:tcW w:w="1579" w:type="dxa"/>
            <w:tcBorders>
              <w:top w:val="single" w:color="auto" w:sz="12"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14:paraId="7B66A581">
            <w:pPr>
              <w:jc w:val="center"/>
              <w:rPr>
                <w:rFonts w:hint="eastAsia" w:ascii="宋体" w:hAnsi="宋体"/>
                <w:bCs/>
                <w:color w:val="auto"/>
                <w:sz w:val="18"/>
                <w:szCs w:val="18"/>
                <w:lang w:val="en-US" w:eastAsia="zh-CN"/>
              </w:rPr>
            </w:pPr>
            <w:r>
              <w:rPr>
                <w:rFonts w:ascii="宋体" w:hAnsi="宋体"/>
                <w:color w:val="auto"/>
                <w:sz w:val="18"/>
                <w:szCs w:val="18"/>
              </w:rPr>
              <w:t>La2O3-3#</w:t>
            </w:r>
            <w:r>
              <w:rPr>
                <w:rFonts w:hint="eastAsia" w:ascii="宋体" w:hAnsi="宋体"/>
                <w:bCs/>
                <w:color w:val="auto"/>
                <w:sz w:val="18"/>
                <w:szCs w:val="18"/>
                <w:lang w:val="en-US" w:eastAsia="zh-CN"/>
              </w:rPr>
              <w:t>（标准曲线法）</w:t>
            </w:r>
          </w:p>
        </w:tc>
      </w:tr>
      <w:tr w14:paraId="43D3AB9A">
        <w:tblPrEx>
          <w:tblCellMar>
            <w:top w:w="0" w:type="dxa"/>
            <w:left w:w="0" w:type="dxa"/>
            <w:bottom w:w="0" w:type="dxa"/>
            <w:right w:w="0" w:type="dxa"/>
          </w:tblCellMar>
        </w:tblPrEx>
        <w:trPr>
          <w:trHeight w:val="465" w:hRule="atLeast"/>
        </w:trPr>
        <w:tc>
          <w:tcPr>
            <w:tcW w:w="2578" w:type="dxa"/>
            <w:gridSpan w:val="3"/>
            <w:tcBorders>
              <w:top w:val="single" w:color="auto" w:sz="12"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14:paraId="0E6559B1">
            <w:pPr>
              <w:rPr>
                <w:rFonts w:ascii="宋体" w:hAnsi="宋体"/>
                <w:color w:val="auto"/>
                <w:sz w:val="18"/>
                <w:szCs w:val="18"/>
              </w:rPr>
            </w:pPr>
            <w:r>
              <w:rPr>
                <w:rFonts w:ascii="宋体" w:hAnsi="宋体"/>
                <w:color w:val="auto"/>
                <w:sz w:val="18"/>
                <w:szCs w:val="18"/>
              </w:rPr>
              <w:t xml:space="preserve">        原有量/%</w:t>
            </w:r>
          </w:p>
        </w:tc>
        <w:tc>
          <w:tcPr>
            <w:tcW w:w="2057" w:type="dxa"/>
            <w:tcBorders>
              <w:top w:val="single" w:color="auto" w:sz="12"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14:paraId="256FD8CA">
            <w:pPr>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0.0588</w:t>
            </w:r>
          </w:p>
        </w:tc>
        <w:tc>
          <w:tcPr>
            <w:tcW w:w="1873" w:type="dxa"/>
            <w:tcBorders>
              <w:top w:val="single" w:color="auto" w:sz="12"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14:paraId="171C4E51">
            <w:pPr>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0.0588</w:t>
            </w:r>
          </w:p>
        </w:tc>
        <w:tc>
          <w:tcPr>
            <w:tcW w:w="1873" w:type="dxa"/>
            <w:tcBorders>
              <w:top w:val="single" w:color="auto" w:sz="12"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14:paraId="3C7B4831">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0.109</w:t>
            </w:r>
          </w:p>
        </w:tc>
        <w:tc>
          <w:tcPr>
            <w:tcW w:w="1579" w:type="dxa"/>
            <w:tcBorders>
              <w:top w:val="single" w:color="auto" w:sz="12"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14:paraId="09401DA1">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0.109</w:t>
            </w:r>
          </w:p>
        </w:tc>
      </w:tr>
      <w:tr w14:paraId="31ED2977">
        <w:tblPrEx>
          <w:tblCellMar>
            <w:top w:w="0" w:type="dxa"/>
            <w:left w:w="0" w:type="dxa"/>
            <w:bottom w:w="0" w:type="dxa"/>
            <w:right w:w="0" w:type="dxa"/>
          </w:tblCellMar>
        </w:tblPrEx>
        <w:trPr>
          <w:cantSplit/>
          <w:trHeight w:val="465" w:hRule="atLeast"/>
        </w:trPr>
        <w:tc>
          <w:tcPr>
            <w:tcW w:w="1333" w:type="dxa"/>
            <w:gridSpan w:val="2"/>
            <w:vMerge w:val="restart"/>
            <w:tcBorders>
              <w:top w:val="single" w:color="auto" w:sz="4" w:space="0"/>
              <w:left w:val="single" w:color="auto" w:sz="12" w:space="0"/>
              <w:right w:val="single" w:color="auto" w:sz="4" w:space="0"/>
            </w:tcBorders>
            <w:noWrap w:val="0"/>
            <w:tcMar>
              <w:top w:w="15" w:type="dxa"/>
              <w:left w:w="15" w:type="dxa"/>
              <w:bottom w:w="0" w:type="dxa"/>
              <w:right w:w="15" w:type="dxa"/>
            </w:tcMar>
            <w:vAlign w:val="center"/>
          </w:tcPr>
          <w:p w14:paraId="4A77A448">
            <w:pPr>
              <w:jc w:val="center"/>
              <w:rPr>
                <w:rFonts w:ascii="宋体" w:hAnsi="宋体"/>
                <w:color w:val="auto"/>
                <w:sz w:val="18"/>
                <w:szCs w:val="18"/>
              </w:rPr>
            </w:pPr>
            <w:r>
              <w:rPr>
                <w:rFonts w:ascii="宋体" w:hAnsi="宋体"/>
                <w:color w:val="auto"/>
                <w:sz w:val="18"/>
                <w:szCs w:val="18"/>
              </w:rPr>
              <w:t>标加0.050%</w:t>
            </w:r>
          </w:p>
        </w:tc>
        <w:tc>
          <w:tcPr>
            <w:tcW w:w="1245"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679AE08E">
            <w:pPr>
              <w:jc w:val="center"/>
              <w:rPr>
                <w:rFonts w:ascii="宋体" w:hAnsi="宋体"/>
                <w:color w:val="auto"/>
                <w:sz w:val="18"/>
                <w:szCs w:val="18"/>
              </w:rPr>
            </w:pPr>
            <w:r>
              <w:rPr>
                <w:rFonts w:ascii="宋体" w:hAnsi="宋体"/>
                <w:color w:val="auto"/>
                <w:sz w:val="18"/>
                <w:szCs w:val="18"/>
              </w:rPr>
              <w:t>测的量/%</w:t>
            </w:r>
          </w:p>
        </w:tc>
        <w:tc>
          <w:tcPr>
            <w:tcW w:w="2057"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13410638">
            <w:pPr>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0.1095</w:t>
            </w:r>
          </w:p>
        </w:tc>
        <w:tc>
          <w:tcPr>
            <w:tcW w:w="1873"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10FDC73A">
            <w:pPr>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0.1091</w:t>
            </w:r>
          </w:p>
        </w:tc>
        <w:tc>
          <w:tcPr>
            <w:tcW w:w="1873"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0BC3F708">
            <w:pPr>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0.1603</w:t>
            </w:r>
          </w:p>
        </w:tc>
        <w:tc>
          <w:tcPr>
            <w:tcW w:w="1579"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66C55F8F">
            <w:pPr>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0.1586</w:t>
            </w:r>
          </w:p>
        </w:tc>
      </w:tr>
      <w:tr w14:paraId="6489B0A6">
        <w:tblPrEx>
          <w:tblCellMar>
            <w:top w:w="0" w:type="dxa"/>
            <w:left w:w="0" w:type="dxa"/>
            <w:bottom w:w="0" w:type="dxa"/>
            <w:right w:w="0" w:type="dxa"/>
          </w:tblCellMar>
        </w:tblPrEx>
        <w:trPr>
          <w:trHeight w:val="465" w:hRule="atLeast"/>
        </w:trPr>
        <w:tc>
          <w:tcPr>
            <w:tcW w:w="1333" w:type="dxa"/>
            <w:gridSpan w:val="2"/>
            <w:vMerge w:val="continue"/>
            <w:tcBorders>
              <w:left w:val="single" w:color="auto" w:sz="12" w:space="0"/>
              <w:bottom w:val="single" w:color="auto" w:sz="4" w:space="0"/>
              <w:right w:val="single" w:color="auto" w:sz="4" w:space="0"/>
            </w:tcBorders>
            <w:noWrap w:val="0"/>
            <w:tcMar>
              <w:top w:w="15" w:type="dxa"/>
              <w:left w:w="15" w:type="dxa"/>
              <w:bottom w:w="0" w:type="dxa"/>
              <w:right w:w="15" w:type="dxa"/>
            </w:tcMar>
            <w:vAlign w:val="center"/>
          </w:tcPr>
          <w:p w14:paraId="0D38FCD9">
            <w:pPr>
              <w:jc w:val="center"/>
              <w:rPr>
                <w:rFonts w:ascii="宋体" w:hAnsi="宋体"/>
                <w:color w:val="auto"/>
                <w:sz w:val="18"/>
                <w:szCs w:val="18"/>
              </w:rPr>
            </w:pPr>
          </w:p>
        </w:tc>
        <w:tc>
          <w:tcPr>
            <w:tcW w:w="1245"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28BD306E">
            <w:pPr>
              <w:jc w:val="center"/>
              <w:rPr>
                <w:rFonts w:ascii="宋体" w:hAnsi="宋体"/>
                <w:color w:val="auto"/>
                <w:sz w:val="18"/>
                <w:szCs w:val="18"/>
              </w:rPr>
            </w:pPr>
            <w:r>
              <w:rPr>
                <w:rFonts w:ascii="宋体" w:hAnsi="宋体"/>
                <w:color w:val="auto"/>
                <w:sz w:val="18"/>
                <w:szCs w:val="18"/>
              </w:rPr>
              <w:t>回收率/％</w:t>
            </w:r>
          </w:p>
        </w:tc>
        <w:tc>
          <w:tcPr>
            <w:tcW w:w="2057"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1C0979B6">
            <w:pPr>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101.4</w:t>
            </w:r>
          </w:p>
        </w:tc>
        <w:tc>
          <w:tcPr>
            <w:tcW w:w="1873"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5D4E1BFA">
            <w:pPr>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100.6</w:t>
            </w:r>
          </w:p>
        </w:tc>
        <w:tc>
          <w:tcPr>
            <w:tcW w:w="1873"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46BC4307">
            <w:pPr>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102.6</w:t>
            </w:r>
          </w:p>
        </w:tc>
        <w:tc>
          <w:tcPr>
            <w:tcW w:w="1579"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1D74B803">
            <w:pPr>
              <w:jc w:val="center"/>
              <w:rPr>
                <w:rFonts w:hint="default" w:ascii="宋体" w:hAnsi="宋体"/>
                <w:color w:val="auto"/>
                <w:sz w:val="18"/>
                <w:szCs w:val="18"/>
                <w:lang w:val="en-US" w:eastAsia="zh-CN"/>
              </w:rPr>
            </w:pPr>
            <w:r>
              <w:rPr>
                <w:rFonts w:hint="eastAsia" w:ascii="宋体" w:hAnsi="宋体"/>
                <w:color w:val="auto"/>
                <w:sz w:val="18"/>
                <w:szCs w:val="18"/>
                <w:lang w:val="en-US" w:eastAsia="zh-CN"/>
              </w:rPr>
              <w:t>99.2</w:t>
            </w:r>
          </w:p>
        </w:tc>
      </w:tr>
      <w:tr w14:paraId="4451F46F">
        <w:tblPrEx>
          <w:tblCellMar>
            <w:top w:w="0" w:type="dxa"/>
            <w:left w:w="0" w:type="dxa"/>
            <w:bottom w:w="0" w:type="dxa"/>
            <w:right w:w="0" w:type="dxa"/>
          </w:tblCellMar>
        </w:tblPrEx>
        <w:trPr>
          <w:trHeight w:val="465" w:hRule="atLeast"/>
        </w:trPr>
        <w:tc>
          <w:tcPr>
            <w:tcW w:w="1333" w:type="dxa"/>
            <w:gridSpan w:val="2"/>
            <w:vMerge w:val="restart"/>
            <w:tcBorders>
              <w:left w:val="single" w:color="auto" w:sz="12" w:space="0"/>
              <w:bottom w:val="single" w:color="auto" w:sz="4" w:space="0"/>
              <w:right w:val="single" w:color="auto" w:sz="4" w:space="0"/>
            </w:tcBorders>
            <w:noWrap w:val="0"/>
            <w:tcMar>
              <w:top w:w="15" w:type="dxa"/>
              <w:left w:w="15" w:type="dxa"/>
              <w:bottom w:w="0" w:type="dxa"/>
              <w:right w:w="15" w:type="dxa"/>
            </w:tcMar>
            <w:vAlign w:val="center"/>
          </w:tcPr>
          <w:p w14:paraId="36B6187A">
            <w:pPr>
              <w:jc w:val="center"/>
              <w:rPr>
                <w:rFonts w:ascii="宋体" w:hAnsi="宋体"/>
                <w:color w:val="auto"/>
                <w:sz w:val="18"/>
                <w:szCs w:val="18"/>
              </w:rPr>
            </w:pPr>
            <w:r>
              <w:rPr>
                <w:rFonts w:ascii="宋体" w:hAnsi="宋体"/>
                <w:color w:val="auto"/>
                <w:sz w:val="18"/>
                <w:szCs w:val="18"/>
              </w:rPr>
              <w:t>标加0.</w:t>
            </w:r>
            <w:r>
              <w:rPr>
                <w:rFonts w:hint="eastAsia" w:ascii="宋体" w:hAnsi="宋体"/>
                <w:color w:val="auto"/>
                <w:sz w:val="18"/>
                <w:szCs w:val="18"/>
                <w:lang w:val="en-US" w:eastAsia="zh-CN"/>
              </w:rPr>
              <w:t>10</w:t>
            </w:r>
            <w:r>
              <w:rPr>
                <w:rFonts w:ascii="宋体" w:hAnsi="宋体"/>
                <w:color w:val="auto"/>
                <w:sz w:val="18"/>
                <w:szCs w:val="18"/>
              </w:rPr>
              <w:t>%</w:t>
            </w:r>
          </w:p>
        </w:tc>
        <w:tc>
          <w:tcPr>
            <w:tcW w:w="1245"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3678F2E3">
            <w:pPr>
              <w:jc w:val="center"/>
              <w:rPr>
                <w:rFonts w:ascii="宋体" w:hAnsi="宋体"/>
                <w:color w:val="auto"/>
                <w:sz w:val="18"/>
                <w:szCs w:val="18"/>
              </w:rPr>
            </w:pPr>
            <w:r>
              <w:rPr>
                <w:rFonts w:ascii="宋体" w:hAnsi="宋体"/>
                <w:color w:val="auto"/>
                <w:sz w:val="18"/>
                <w:szCs w:val="18"/>
              </w:rPr>
              <w:t>测的量/%</w:t>
            </w:r>
          </w:p>
        </w:tc>
        <w:tc>
          <w:tcPr>
            <w:tcW w:w="2057"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420BAE7B">
            <w:pPr>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0.1573</w:t>
            </w:r>
          </w:p>
        </w:tc>
        <w:tc>
          <w:tcPr>
            <w:tcW w:w="1873"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42A3EC1A">
            <w:pPr>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0.1586</w:t>
            </w:r>
          </w:p>
        </w:tc>
        <w:tc>
          <w:tcPr>
            <w:tcW w:w="1873"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3EEA8A82">
            <w:pPr>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0.2056</w:t>
            </w:r>
          </w:p>
        </w:tc>
        <w:tc>
          <w:tcPr>
            <w:tcW w:w="1579"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527A30C7">
            <w:pPr>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0.2079</w:t>
            </w:r>
          </w:p>
        </w:tc>
      </w:tr>
      <w:tr w14:paraId="3CE98546">
        <w:tblPrEx>
          <w:tblCellMar>
            <w:top w:w="0" w:type="dxa"/>
            <w:left w:w="0" w:type="dxa"/>
            <w:bottom w:w="0" w:type="dxa"/>
            <w:right w:w="0" w:type="dxa"/>
          </w:tblCellMar>
        </w:tblPrEx>
        <w:trPr>
          <w:trHeight w:val="485" w:hRule="atLeast"/>
        </w:trPr>
        <w:tc>
          <w:tcPr>
            <w:tcW w:w="1333" w:type="dxa"/>
            <w:gridSpan w:val="2"/>
            <w:vMerge w:val="continue"/>
            <w:tcBorders>
              <w:left w:val="single" w:color="auto" w:sz="12" w:space="0"/>
              <w:bottom w:val="single" w:color="auto" w:sz="4" w:space="0"/>
              <w:right w:val="single" w:color="auto" w:sz="4" w:space="0"/>
            </w:tcBorders>
            <w:noWrap w:val="0"/>
            <w:tcMar>
              <w:top w:w="15" w:type="dxa"/>
              <w:left w:w="15" w:type="dxa"/>
              <w:bottom w:w="0" w:type="dxa"/>
              <w:right w:w="15" w:type="dxa"/>
            </w:tcMar>
            <w:vAlign w:val="center"/>
          </w:tcPr>
          <w:p w14:paraId="17F53CA5">
            <w:pPr>
              <w:jc w:val="center"/>
              <w:rPr>
                <w:rFonts w:ascii="宋体" w:hAnsi="宋体"/>
                <w:color w:val="auto"/>
                <w:sz w:val="18"/>
                <w:szCs w:val="18"/>
              </w:rPr>
            </w:pPr>
          </w:p>
        </w:tc>
        <w:tc>
          <w:tcPr>
            <w:tcW w:w="1245"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5D0D30ED">
            <w:pPr>
              <w:jc w:val="center"/>
              <w:rPr>
                <w:rFonts w:ascii="宋体" w:hAnsi="宋体"/>
                <w:color w:val="auto"/>
                <w:sz w:val="18"/>
                <w:szCs w:val="18"/>
              </w:rPr>
            </w:pPr>
            <w:r>
              <w:rPr>
                <w:rFonts w:ascii="宋体" w:hAnsi="宋体"/>
                <w:color w:val="auto"/>
                <w:sz w:val="18"/>
                <w:szCs w:val="18"/>
              </w:rPr>
              <w:t>回收率/％</w:t>
            </w:r>
          </w:p>
        </w:tc>
        <w:tc>
          <w:tcPr>
            <w:tcW w:w="2057"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39EE1FBB">
            <w:pPr>
              <w:jc w:val="center"/>
              <w:rPr>
                <w:rFonts w:hint="default" w:ascii="宋体" w:hAnsi="宋体"/>
                <w:color w:val="auto"/>
                <w:sz w:val="18"/>
                <w:szCs w:val="18"/>
                <w:lang w:val="en-US" w:eastAsia="zh-CN"/>
              </w:rPr>
            </w:pPr>
            <w:r>
              <w:rPr>
                <w:rFonts w:hint="eastAsia" w:ascii="宋体" w:hAnsi="宋体"/>
                <w:color w:val="auto"/>
                <w:sz w:val="18"/>
                <w:szCs w:val="18"/>
                <w:lang w:val="en-US" w:eastAsia="zh-CN"/>
              </w:rPr>
              <w:t>98.5</w:t>
            </w:r>
          </w:p>
        </w:tc>
        <w:tc>
          <w:tcPr>
            <w:tcW w:w="1873"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790CAFDF">
            <w:pPr>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99.8</w:t>
            </w:r>
          </w:p>
        </w:tc>
        <w:tc>
          <w:tcPr>
            <w:tcW w:w="1873"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2E054996">
            <w:pPr>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96.6</w:t>
            </w:r>
          </w:p>
        </w:tc>
        <w:tc>
          <w:tcPr>
            <w:tcW w:w="1579" w:type="dxa"/>
            <w:tcBorders>
              <w:top w:val="nil"/>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2D812619">
            <w:pPr>
              <w:jc w:val="center"/>
              <w:rPr>
                <w:rFonts w:hint="default" w:ascii="宋体" w:hAnsi="宋体"/>
                <w:color w:val="auto"/>
                <w:sz w:val="18"/>
                <w:szCs w:val="18"/>
                <w:lang w:val="en-US" w:eastAsia="zh-CN"/>
              </w:rPr>
            </w:pPr>
            <w:r>
              <w:rPr>
                <w:rFonts w:hint="eastAsia" w:ascii="宋体" w:hAnsi="宋体"/>
                <w:color w:val="auto"/>
                <w:sz w:val="18"/>
                <w:szCs w:val="18"/>
                <w:lang w:val="en-US" w:eastAsia="zh-CN"/>
              </w:rPr>
              <w:t>98.9</w:t>
            </w:r>
          </w:p>
        </w:tc>
      </w:tr>
      <w:tr w14:paraId="48C0F6D7">
        <w:tblPrEx>
          <w:tblCellMar>
            <w:top w:w="0" w:type="dxa"/>
            <w:left w:w="0" w:type="dxa"/>
            <w:bottom w:w="0" w:type="dxa"/>
            <w:right w:w="0" w:type="dxa"/>
          </w:tblCellMar>
        </w:tblPrEx>
        <w:trPr>
          <w:trHeight w:val="485" w:hRule="atLeast"/>
        </w:trPr>
        <w:tc>
          <w:tcPr>
            <w:tcW w:w="2578" w:type="dxa"/>
            <w:gridSpan w:val="3"/>
            <w:tcBorders>
              <w:top w:val="single" w:color="auto" w:sz="4"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14:paraId="54D25E99">
            <w:pPr>
              <w:jc w:val="center"/>
              <w:rPr>
                <w:rFonts w:ascii="宋体" w:hAnsi="宋体"/>
                <w:color w:val="auto"/>
                <w:sz w:val="18"/>
                <w:szCs w:val="18"/>
              </w:rPr>
            </w:pPr>
            <w:r>
              <w:rPr>
                <w:rFonts w:ascii="宋体" w:hAnsi="宋体"/>
                <w:bCs/>
                <w:sz w:val="18"/>
                <w:szCs w:val="18"/>
              </w:rPr>
              <w:t>元  素</w:t>
            </w:r>
          </w:p>
        </w:tc>
        <w:tc>
          <w:tcPr>
            <w:tcW w:w="2057"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4A7665C4">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Ho</w:t>
            </w:r>
            <w:r>
              <w:rPr>
                <w:rFonts w:ascii="宋体" w:hAnsi="宋体"/>
                <w:color w:val="auto"/>
                <w:sz w:val="18"/>
                <w:szCs w:val="18"/>
              </w:rPr>
              <w:t>2O3</w:t>
            </w:r>
            <w:r>
              <w:rPr>
                <w:rFonts w:hint="eastAsia" w:ascii="宋体" w:hAnsi="宋体"/>
                <w:bCs/>
                <w:color w:val="auto"/>
                <w:sz w:val="18"/>
                <w:szCs w:val="18"/>
                <w:lang w:val="en-US" w:eastAsia="zh-CN"/>
              </w:rPr>
              <w:t>（标准加入法）</w:t>
            </w:r>
          </w:p>
        </w:tc>
        <w:tc>
          <w:tcPr>
            <w:tcW w:w="1873"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094D371D">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Ho</w:t>
            </w:r>
            <w:r>
              <w:rPr>
                <w:rFonts w:ascii="宋体" w:hAnsi="宋体"/>
                <w:color w:val="auto"/>
                <w:sz w:val="18"/>
                <w:szCs w:val="18"/>
              </w:rPr>
              <w:t>2O3</w:t>
            </w:r>
            <w:r>
              <w:rPr>
                <w:rFonts w:hint="eastAsia" w:ascii="宋体" w:hAnsi="宋体"/>
                <w:bCs/>
                <w:color w:val="auto"/>
                <w:sz w:val="18"/>
                <w:szCs w:val="18"/>
                <w:lang w:val="en-US" w:eastAsia="zh-CN"/>
              </w:rPr>
              <w:t>（标准曲线法）</w:t>
            </w:r>
          </w:p>
        </w:tc>
        <w:tc>
          <w:tcPr>
            <w:tcW w:w="1873"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6F94F00E">
            <w:pPr>
              <w:jc w:val="center"/>
              <w:rPr>
                <w:rFonts w:hint="default" w:ascii="宋体" w:hAnsi="宋体"/>
                <w:color w:val="auto"/>
                <w:sz w:val="18"/>
                <w:szCs w:val="18"/>
                <w:lang w:val="en-US" w:eastAsia="zh-CN"/>
              </w:rPr>
            </w:pPr>
            <w:r>
              <w:rPr>
                <w:rFonts w:hint="eastAsia" w:ascii="宋体" w:hAnsi="宋体"/>
                <w:color w:val="auto"/>
                <w:sz w:val="18"/>
                <w:szCs w:val="18"/>
                <w:lang w:val="en-US" w:eastAsia="zh-CN"/>
              </w:rPr>
              <w:t>/</w:t>
            </w:r>
          </w:p>
        </w:tc>
        <w:tc>
          <w:tcPr>
            <w:tcW w:w="1579"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3B95FC3B">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w:t>
            </w:r>
          </w:p>
        </w:tc>
      </w:tr>
      <w:tr w14:paraId="3BEA9A0B">
        <w:tblPrEx>
          <w:tblCellMar>
            <w:top w:w="0" w:type="dxa"/>
            <w:left w:w="0" w:type="dxa"/>
            <w:bottom w:w="0" w:type="dxa"/>
            <w:right w:w="0" w:type="dxa"/>
          </w:tblCellMar>
        </w:tblPrEx>
        <w:trPr>
          <w:trHeight w:val="485" w:hRule="atLeast"/>
        </w:trPr>
        <w:tc>
          <w:tcPr>
            <w:tcW w:w="2578" w:type="dxa"/>
            <w:gridSpan w:val="3"/>
            <w:tcBorders>
              <w:top w:val="single" w:color="auto" w:sz="4"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14:paraId="760CC9A3">
            <w:pPr>
              <w:rPr>
                <w:rFonts w:ascii="宋体" w:hAnsi="宋体"/>
                <w:color w:val="auto"/>
                <w:sz w:val="18"/>
                <w:szCs w:val="18"/>
              </w:rPr>
            </w:pPr>
            <w:r>
              <w:rPr>
                <w:rFonts w:ascii="宋体" w:hAnsi="宋体"/>
                <w:sz w:val="18"/>
                <w:szCs w:val="18"/>
              </w:rPr>
              <w:t xml:space="preserve">        原有量/%</w:t>
            </w:r>
          </w:p>
        </w:tc>
        <w:tc>
          <w:tcPr>
            <w:tcW w:w="2057"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2DF1659B">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0.29</w:t>
            </w:r>
          </w:p>
        </w:tc>
        <w:tc>
          <w:tcPr>
            <w:tcW w:w="1873"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17D9EA21">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0.29</w:t>
            </w:r>
          </w:p>
        </w:tc>
        <w:tc>
          <w:tcPr>
            <w:tcW w:w="1873"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4D96BA1C">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w:t>
            </w:r>
          </w:p>
        </w:tc>
        <w:tc>
          <w:tcPr>
            <w:tcW w:w="1579"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1080B0B2">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w:t>
            </w:r>
          </w:p>
        </w:tc>
      </w:tr>
      <w:tr w14:paraId="2A4EAE78">
        <w:tblPrEx>
          <w:tblCellMar>
            <w:top w:w="0" w:type="dxa"/>
            <w:left w:w="0" w:type="dxa"/>
            <w:bottom w:w="0" w:type="dxa"/>
            <w:right w:w="0" w:type="dxa"/>
          </w:tblCellMar>
        </w:tblPrEx>
        <w:trPr>
          <w:trHeight w:val="485" w:hRule="atLeast"/>
        </w:trPr>
        <w:tc>
          <w:tcPr>
            <w:tcW w:w="1280" w:type="dxa"/>
            <w:vMerge w:val="restart"/>
            <w:tcBorders>
              <w:top w:val="single" w:color="auto" w:sz="4" w:space="0"/>
              <w:left w:val="single" w:color="auto" w:sz="12" w:space="0"/>
              <w:right w:val="single" w:color="auto" w:sz="4" w:space="0"/>
            </w:tcBorders>
            <w:noWrap w:val="0"/>
            <w:tcMar>
              <w:top w:w="15" w:type="dxa"/>
              <w:left w:w="15" w:type="dxa"/>
              <w:bottom w:w="0" w:type="dxa"/>
              <w:right w:w="15" w:type="dxa"/>
            </w:tcMar>
            <w:vAlign w:val="center"/>
          </w:tcPr>
          <w:p w14:paraId="072DC237">
            <w:pPr>
              <w:jc w:val="center"/>
              <w:rPr>
                <w:rFonts w:ascii="宋体" w:hAnsi="宋体"/>
                <w:color w:val="auto"/>
                <w:sz w:val="18"/>
                <w:szCs w:val="18"/>
              </w:rPr>
            </w:pPr>
            <w:r>
              <w:rPr>
                <w:rFonts w:ascii="宋体" w:hAnsi="宋体"/>
                <w:sz w:val="18"/>
                <w:szCs w:val="18"/>
              </w:rPr>
              <w:t>标加0.</w:t>
            </w:r>
            <w:r>
              <w:rPr>
                <w:rFonts w:hint="eastAsia" w:ascii="宋体" w:hAnsi="宋体"/>
                <w:sz w:val="18"/>
                <w:szCs w:val="18"/>
                <w:lang w:val="en-US" w:eastAsia="zh-CN"/>
              </w:rPr>
              <w:t>20</w:t>
            </w:r>
            <w:r>
              <w:rPr>
                <w:rFonts w:ascii="宋体" w:hAnsi="宋体"/>
                <w:sz w:val="18"/>
                <w:szCs w:val="18"/>
              </w:rPr>
              <w:t>%</w:t>
            </w:r>
          </w:p>
        </w:tc>
        <w:tc>
          <w:tcPr>
            <w:tcW w:w="1298" w:type="dxa"/>
            <w:gridSpan w:val="2"/>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0FB184C6">
            <w:pPr>
              <w:jc w:val="center"/>
              <w:rPr>
                <w:rFonts w:ascii="宋体" w:hAnsi="宋体"/>
                <w:color w:val="auto"/>
                <w:sz w:val="18"/>
                <w:szCs w:val="18"/>
              </w:rPr>
            </w:pPr>
            <w:r>
              <w:rPr>
                <w:rFonts w:ascii="宋体" w:hAnsi="宋体"/>
                <w:sz w:val="18"/>
                <w:szCs w:val="18"/>
              </w:rPr>
              <w:t>测的量/%</w:t>
            </w:r>
          </w:p>
        </w:tc>
        <w:tc>
          <w:tcPr>
            <w:tcW w:w="2057"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276E8B4E">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0.4925</w:t>
            </w:r>
          </w:p>
        </w:tc>
        <w:tc>
          <w:tcPr>
            <w:tcW w:w="1873"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1CF7ED77">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0.4897</w:t>
            </w:r>
          </w:p>
        </w:tc>
        <w:tc>
          <w:tcPr>
            <w:tcW w:w="1873"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246DC7FB">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w:t>
            </w:r>
          </w:p>
        </w:tc>
        <w:tc>
          <w:tcPr>
            <w:tcW w:w="1579"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3A7EA322">
            <w:pPr>
              <w:jc w:val="center"/>
              <w:rPr>
                <w:rFonts w:hint="default" w:ascii="宋体" w:hAnsi="宋体"/>
                <w:color w:val="auto"/>
                <w:sz w:val="18"/>
                <w:szCs w:val="18"/>
                <w:lang w:val="en-US" w:eastAsia="zh-CN"/>
              </w:rPr>
            </w:pPr>
            <w:r>
              <w:rPr>
                <w:rFonts w:hint="eastAsia" w:ascii="宋体" w:hAnsi="宋体"/>
                <w:color w:val="auto"/>
                <w:sz w:val="18"/>
                <w:szCs w:val="18"/>
                <w:lang w:val="en-US" w:eastAsia="zh-CN"/>
              </w:rPr>
              <w:t>/</w:t>
            </w:r>
          </w:p>
        </w:tc>
      </w:tr>
      <w:tr w14:paraId="4D01C040">
        <w:tblPrEx>
          <w:tblCellMar>
            <w:top w:w="0" w:type="dxa"/>
            <w:left w:w="0" w:type="dxa"/>
            <w:bottom w:w="0" w:type="dxa"/>
            <w:right w:w="0" w:type="dxa"/>
          </w:tblCellMar>
        </w:tblPrEx>
        <w:trPr>
          <w:trHeight w:val="485" w:hRule="atLeast"/>
        </w:trPr>
        <w:tc>
          <w:tcPr>
            <w:tcW w:w="1280" w:type="dxa"/>
            <w:vMerge w:val="continue"/>
            <w:tcBorders>
              <w:left w:val="single" w:color="auto" w:sz="12" w:space="0"/>
              <w:bottom w:val="single" w:color="auto" w:sz="4" w:space="0"/>
              <w:right w:val="single" w:color="auto" w:sz="4" w:space="0"/>
            </w:tcBorders>
            <w:noWrap w:val="0"/>
            <w:tcMar>
              <w:top w:w="15" w:type="dxa"/>
              <w:left w:w="15" w:type="dxa"/>
              <w:bottom w:w="0" w:type="dxa"/>
              <w:right w:w="15" w:type="dxa"/>
            </w:tcMar>
            <w:vAlign w:val="center"/>
          </w:tcPr>
          <w:p w14:paraId="45C7EB1B">
            <w:pPr>
              <w:jc w:val="center"/>
              <w:rPr>
                <w:rFonts w:ascii="宋体" w:hAnsi="宋体"/>
                <w:color w:val="auto"/>
                <w:sz w:val="18"/>
                <w:szCs w:val="18"/>
              </w:rPr>
            </w:pPr>
          </w:p>
        </w:tc>
        <w:tc>
          <w:tcPr>
            <w:tcW w:w="1298" w:type="dxa"/>
            <w:gridSpan w:val="2"/>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4BA2117E">
            <w:pPr>
              <w:jc w:val="center"/>
              <w:rPr>
                <w:rFonts w:ascii="宋体" w:hAnsi="宋体"/>
                <w:color w:val="auto"/>
                <w:sz w:val="18"/>
                <w:szCs w:val="18"/>
              </w:rPr>
            </w:pPr>
            <w:r>
              <w:rPr>
                <w:rFonts w:ascii="宋体" w:hAnsi="宋体"/>
                <w:sz w:val="18"/>
                <w:szCs w:val="18"/>
              </w:rPr>
              <w:t>回收率/％</w:t>
            </w:r>
          </w:p>
        </w:tc>
        <w:tc>
          <w:tcPr>
            <w:tcW w:w="2057"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6E3BFCA5">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101.3</w:t>
            </w:r>
          </w:p>
        </w:tc>
        <w:tc>
          <w:tcPr>
            <w:tcW w:w="1873"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1E3419F7">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99.85</w:t>
            </w:r>
          </w:p>
        </w:tc>
        <w:tc>
          <w:tcPr>
            <w:tcW w:w="1873"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540107D4">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w:t>
            </w:r>
          </w:p>
        </w:tc>
        <w:tc>
          <w:tcPr>
            <w:tcW w:w="1579" w:type="dxa"/>
            <w:tcBorders>
              <w:top w:val="single" w:color="auto" w:sz="4" w:space="0"/>
              <w:left w:val="single" w:color="auto" w:sz="4" w:space="0"/>
              <w:bottom w:val="single" w:color="auto" w:sz="4" w:space="0"/>
              <w:right w:val="single" w:color="auto" w:sz="12" w:space="0"/>
            </w:tcBorders>
            <w:noWrap w:val="0"/>
            <w:tcMar>
              <w:top w:w="15" w:type="dxa"/>
              <w:left w:w="15" w:type="dxa"/>
              <w:bottom w:w="0" w:type="dxa"/>
              <w:right w:w="15" w:type="dxa"/>
            </w:tcMar>
            <w:vAlign w:val="center"/>
          </w:tcPr>
          <w:p w14:paraId="4610CC79">
            <w:pPr>
              <w:jc w:val="center"/>
              <w:rPr>
                <w:rFonts w:hint="default" w:ascii="宋体" w:hAnsi="宋体"/>
                <w:color w:val="auto"/>
                <w:sz w:val="18"/>
                <w:szCs w:val="18"/>
                <w:lang w:val="en-US" w:eastAsia="zh-CN"/>
              </w:rPr>
            </w:pPr>
            <w:r>
              <w:rPr>
                <w:rFonts w:hint="eastAsia" w:ascii="宋体" w:hAnsi="宋体"/>
                <w:color w:val="auto"/>
                <w:sz w:val="18"/>
                <w:szCs w:val="18"/>
                <w:lang w:val="en-US" w:eastAsia="zh-CN"/>
              </w:rPr>
              <w:t>/</w:t>
            </w:r>
          </w:p>
        </w:tc>
      </w:tr>
    </w:tbl>
    <w:p w14:paraId="26BFE159">
      <w:pPr>
        <w:pStyle w:val="12"/>
        <w:spacing w:line="360" w:lineRule="auto"/>
        <w:ind w:firstLine="420" w:firstLineChars="200"/>
        <w:rPr>
          <w:rFonts w:hint="eastAsia" w:ascii="Arial" w:hAnsi="Arial" w:eastAsia="宋体" w:cs="Arial"/>
          <w:szCs w:val="21"/>
          <w:lang w:val="en-US" w:eastAsia="zh-CN"/>
        </w:rPr>
      </w:pPr>
      <w:r>
        <w:rPr>
          <w:rFonts w:hint="eastAsia" w:ascii="宋体" w:hAnsi="宋体"/>
        </w:rPr>
        <w:t>由表</w:t>
      </w:r>
      <w:r>
        <w:rPr>
          <w:rFonts w:hint="eastAsia" w:ascii="宋体" w:hAnsi="宋体"/>
          <w:lang w:val="en-US" w:eastAsia="zh-CN"/>
        </w:rPr>
        <w:t>9</w:t>
      </w:r>
      <w:r>
        <w:rPr>
          <w:rFonts w:hint="eastAsia" w:ascii="宋体" w:hAnsi="宋体"/>
        </w:rPr>
        <w:t>可见加标回收率在</w:t>
      </w:r>
      <w:r>
        <w:rPr>
          <w:rFonts w:hint="eastAsia" w:ascii="宋体" w:hAnsi="宋体"/>
          <w:color w:val="auto"/>
          <w:lang w:val="en-US" w:eastAsia="zh-CN"/>
        </w:rPr>
        <w:t>93.2</w:t>
      </w:r>
      <w:r>
        <w:rPr>
          <w:rFonts w:hint="eastAsia" w:ascii="宋体" w:hAnsi="宋体"/>
          <w:color w:val="auto"/>
        </w:rPr>
        <w:t>%</w:t>
      </w:r>
      <w:r>
        <w:rPr>
          <w:rFonts w:hint="eastAsia" w:ascii="宋体" w:hAnsi="宋体"/>
          <w:lang w:val="en-US" w:eastAsia="zh-CN"/>
        </w:rPr>
        <w:t>～</w:t>
      </w:r>
      <w:r>
        <w:rPr>
          <w:rFonts w:hint="eastAsia" w:ascii="宋体" w:hAnsi="宋体"/>
          <w:color w:val="auto"/>
        </w:rPr>
        <w:t>1</w:t>
      </w:r>
      <w:r>
        <w:rPr>
          <w:rFonts w:hint="eastAsia" w:ascii="宋体" w:hAnsi="宋体"/>
          <w:color w:val="auto"/>
          <w:lang w:val="en-US" w:eastAsia="zh-CN"/>
        </w:rPr>
        <w:t>10.4</w:t>
      </w:r>
      <w:r>
        <w:rPr>
          <w:rFonts w:hint="eastAsia" w:ascii="宋体" w:hAnsi="宋体"/>
          <w:color w:val="auto"/>
        </w:rPr>
        <w:t>%之间</w:t>
      </w:r>
      <w:r>
        <w:rPr>
          <w:rFonts w:hint="eastAsia" w:ascii="宋体" w:hAnsi="宋体"/>
          <w:color w:val="auto"/>
          <w:lang w:eastAsia="zh-CN"/>
        </w:rPr>
        <w:t>。当</w:t>
      </w:r>
      <w:r>
        <w:rPr>
          <w:rFonts w:hint="eastAsia" w:ascii="宋体" w:hAnsi="宋体"/>
          <w:lang w:eastAsia="zh-CN"/>
        </w:rPr>
        <w:t>镁含量</w:t>
      </w:r>
      <w:r>
        <w:rPr>
          <w:rFonts w:hint="eastAsia" w:ascii="宋体" w:hAnsi="宋体"/>
          <w:lang w:val="en-US" w:eastAsia="zh-CN"/>
        </w:rPr>
        <w:t>&gt;0.050%时，标准曲线法回收率在93.2%～100.6%，</w:t>
      </w:r>
      <w:r>
        <w:rPr>
          <w:rFonts w:hint="eastAsia" w:ascii="宋体" w:hAnsi="宋体"/>
          <w:color w:val="auto"/>
          <w:lang w:eastAsia="zh-CN"/>
        </w:rPr>
        <w:t>低基体浓度情况下，两种方法回收率均较好，</w:t>
      </w:r>
      <w:r>
        <w:rPr>
          <w:rFonts w:hint="eastAsia" w:ascii="宋体" w:hAnsi="宋体"/>
          <w:lang w:val="en-US" w:eastAsia="zh-CN"/>
        </w:rPr>
        <w:t>可使用标准曲线法测试</w:t>
      </w:r>
      <w:r>
        <w:rPr>
          <w:rFonts w:hint="eastAsia" w:ascii="宋体" w:hAnsi="宋体"/>
          <w:color w:val="auto"/>
        </w:rPr>
        <w:t>。</w:t>
      </w:r>
    </w:p>
    <w:p w14:paraId="6CA69C4A">
      <w:pPr>
        <w:adjustRightInd w:val="0"/>
        <w:snapToGrid w:val="0"/>
        <w:spacing w:line="360" w:lineRule="auto"/>
        <w:rPr>
          <w:rFonts w:ascii="Arial" w:hAnsi="Arial" w:cs="Arial" w:eastAsiaTheme="minorEastAsia"/>
          <w:szCs w:val="21"/>
        </w:rPr>
      </w:pPr>
      <w:r>
        <w:rPr>
          <w:rFonts w:hint="eastAsia" w:ascii="宋体" w:hAnsi="宋体" w:eastAsia="宋体" w:cs="宋体"/>
          <w:b/>
          <w:bCs/>
          <w:szCs w:val="21"/>
          <w:lang w:val="en-US" w:eastAsia="zh-CN"/>
        </w:rPr>
        <w:t>2.7</w:t>
      </w:r>
      <w:r>
        <w:rPr>
          <w:rFonts w:hint="eastAsia" w:ascii="宋体" w:hAnsi="宋体" w:eastAsia="宋体" w:cs="宋体"/>
          <w:b/>
          <w:bCs/>
          <w:szCs w:val="21"/>
        </w:rPr>
        <w:t>不同方法比对</w:t>
      </w:r>
    </w:p>
    <w:p w14:paraId="365C4472">
      <w:pPr>
        <w:spacing w:line="360" w:lineRule="auto"/>
        <w:jc w:val="center"/>
        <w:rPr>
          <w:rFonts w:ascii="Arial" w:hAnsi="Arial" w:cs="Arial" w:eastAsiaTheme="minorEastAsia"/>
          <w:szCs w:val="21"/>
        </w:rPr>
      </w:pPr>
      <w:r>
        <w:rPr>
          <w:rFonts w:hint="eastAsia" w:ascii="宋体" w:hAnsi="宋体" w:eastAsia="宋体" w:cs="宋体"/>
          <w:szCs w:val="21"/>
        </w:rPr>
        <w:t>采取ICP-AES和ICP-MS两种不同方法</w:t>
      </w:r>
      <w:r>
        <w:rPr>
          <w:rFonts w:hint="eastAsia" w:ascii="宋体" w:hAnsi="宋体" w:eastAsia="宋体" w:cs="宋体"/>
          <w:szCs w:val="21"/>
          <w:lang w:eastAsia="zh-CN"/>
        </w:rPr>
        <w:t>对</w:t>
      </w:r>
      <w:r>
        <w:rPr>
          <w:rFonts w:hint="eastAsia" w:ascii="宋体" w:hAnsi="宋体" w:cs="宋体"/>
          <w:szCs w:val="21"/>
          <w:lang w:val="en-US" w:eastAsia="zh-CN"/>
        </w:rPr>
        <w:t>9</w:t>
      </w:r>
      <w:r>
        <w:rPr>
          <w:rFonts w:hint="eastAsia" w:ascii="宋体" w:hAnsi="宋体" w:eastAsia="宋体" w:cs="宋体"/>
          <w:szCs w:val="21"/>
          <w:lang w:val="en-US" w:eastAsia="zh-CN"/>
        </w:rPr>
        <w:t>个统一样品</w:t>
      </w:r>
      <w:r>
        <w:rPr>
          <w:rFonts w:hint="eastAsia" w:ascii="宋体" w:hAnsi="宋体" w:eastAsia="宋体" w:cs="宋体"/>
          <w:szCs w:val="21"/>
        </w:rPr>
        <w:t>进行结果比对。比对结果良好</w:t>
      </w:r>
      <w:r>
        <w:rPr>
          <w:rFonts w:ascii="Arial" w:hAnsi="Arial" w:cs="Arial" w:eastAsiaTheme="minorEastAsia"/>
          <w:szCs w:val="21"/>
        </w:rPr>
        <w:t>。</w:t>
      </w:r>
    </w:p>
    <w:p w14:paraId="6CEF3FF7">
      <w:pPr>
        <w:spacing w:line="360" w:lineRule="auto"/>
        <w:jc w:val="center"/>
        <w:rPr>
          <w:rFonts w:hint="eastAsia" w:ascii="黑体" w:hAnsi="黑体" w:eastAsia="黑体" w:cs="黑体"/>
          <w:lang w:eastAsia="zh-CN"/>
        </w:rPr>
      </w:pPr>
      <w:r>
        <w:rPr>
          <w:rFonts w:hint="eastAsia" w:ascii="黑体" w:hAnsi="黑体" w:eastAsia="黑体" w:cs="黑体"/>
        </w:rPr>
        <w:t>表</w:t>
      </w:r>
      <w:r>
        <w:rPr>
          <w:rFonts w:hint="eastAsia" w:ascii="黑体" w:hAnsi="黑体" w:eastAsia="黑体" w:cs="黑体"/>
          <w:lang w:val="en-US" w:eastAsia="zh-CN"/>
        </w:rPr>
        <w:t>10</w:t>
      </w:r>
      <w:r>
        <w:rPr>
          <w:rFonts w:hint="eastAsia" w:ascii="黑体" w:hAnsi="黑体" w:eastAsia="黑体" w:cs="黑体"/>
        </w:rPr>
        <w:t xml:space="preserve"> 分析结果</w:t>
      </w:r>
      <w:r>
        <w:rPr>
          <w:rFonts w:hint="eastAsia" w:ascii="黑体" w:hAnsi="黑体" w:eastAsia="黑体" w:cs="黑体"/>
          <w:lang w:eastAsia="zh-CN"/>
        </w:rPr>
        <w:t>比对</w:t>
      </w:r>
    </w:p>
    <w:tbl>
      <w:tblPr>
        <w:tblStyle w:val="19"/>
        <w:tblW w:w="10082"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5240"/>
        <w:gridCol w:w="1230"/>
        <w:gridCol w:w="1392"/>
        <w:gridCol w:w="1185"/>
      </w:tblGrid>
      <w:tr w14:paraId="426D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035" w:type="dxa"/>
            <w:tcBorders>
              <w:top w:val="single" w:color="auto" w:sz="12" w:space="0"/>
              <w:left w:val="single" w:color="auto" w:sz="12" w:space="0"/>
            </w:tcBorders>
            <w:noWrap w:val="0"/>
            <w:vAlign w:val="center"/>
          </w:tcPr>
          <w:p w14:paraId="3B195746">
            <w:pPr>
              <w:jc w:val="center"/>
              <w:rPr>
                <w:rFonts w:ascii="宋体" w:hAnsi="宋体"/>
                <w:sz w:val="18"/>
                <w:szCs w:val="18"/>
              </w:rPr>
            </w:pPr>
            <w:r>
              <w:rPr>
                <w:rFonts w:ascii="宋体" w:hAnsi="宋体"/>
                <w:sz w:val="18"/>
                <w:szCs w:val="18"/>
              </w:rPr>
              <w:t>试样名称</w:t>
            </w:r>
          </w:p>
        </w:tc>
        <w:tc>
          <w:tcPr>
            <w:tcW w:w="5240" w:type="dxa"/>
            <w:tcBorders>
              <w:top w:val="single" w:color="auto" w:sz="12" w:space="0"/>
            </w:tcBorders>
            <w:noWrap w:val="0"/>
            <w:vAlign w:val="center"/>
          </w:tcPr>
          <w:p w14:paraId="374DEF61">
            <w:pPr>
              <w:jc w:val="center"/>
              <w:rPr>
                <w:rFonts w:hint="eastAsia" w:ascii="宋体" w:hAnsi="宋体" w:cs="宋体"/>
                <w:sz w:val="18"/>
                <w:szCs w:val="18"/>
              </w:rPr>
            </w:pPr>
            <w:r>
              <w:rPr>
                <w:rFonts w:hint="eastAsia" w:ascii="宋体" w:hAnsi="宋体" w:cs="宋体"/>
                <w:sz w:val="18"/>
                <w:szCs w:val="18"/>
              </w:rPr>
              <w:t>测定结果</w:t>
            </w:r>
            <w:r>
              <w:rPr>
                <w:rFonts w:hint="eastAsia" w:ascii="宋体" w:hAnsi="宋体" w:cs="宋体"/>
                <w:sz w:val="18"/>
                <w:szCs w:val="18"/>
                <w:lang w:val="en-US" w:eastAsia="zh-CN"/>
              </w:rPr>
              <w:t>Mg</w:t>
            </w:r>
            <w:r>
              <w:rPr>
                <w:rFonts w:hint="eastAsia" w:ascii="宋体" w:hAnsi="宋体" w:cs="宋体"/>
                <w:sz w:val="18"/>
                <w:szCs w:val="18"/>
              </w:rPr>
              <w:t>/%</w:t>
            </w:r>
          </w:p>
        </w:tc>
        <w:tc>
          <w:tcPr>
            <w:tcW w:w="1230" w:type="dxa"/>
            <w:tcBorders>
              <w:top w:val="single" w:color="auto" w:sz="12" w:space="0"/>
            </w:tcBorders>
            <w:noWrap w:val="0"/>
            <w:vAlign w:val="center"/>
          </w:tcPr>
          <w:p w14:paraId="06AB9A65">
            <w:pPr>
              <w:jc w:val="center"/>
              <w:rPr>
                <w:rFonts w:hint="eastAsia" w:ascii="宋体" w:hAnsi="宋体" w:cs="宋体"/>
                <w:sz w:val="18"/>
                <w:szCs w:val="18"/>
              </w:rPr>
            </w:pPr>
            <w:r>
              <w:rPr>
                <w:rFonts w:hint="eastAsia" w:ascii="宋体" w:hAnsi="宋体" w:cs="宋体"/>
                <w:sz w:val="18"/>
                <w:szCs w:val="18"/>
              </w:rPr>
              <w:t>平均值/%</w:t>
            </w:r>
          </w:p>
        </w:tc>
        <w:tc>
          <w:tcPr>
            <w:tcW w:w="1392" w:type="dxa"/>
            <w:tcBorders>
              <w:top w:val="single" w:color="auto" w:sz="12" w:space="0"/>
              <w:right w:val="single" w:color="auto" w:sz="12" w:space="0"/>
            </w:tcBorders>
            <w:noWrap w:val="0"/>
            <w:vAlign w:val="center"/>
          </w:tcPr>
          <w:p w14:paraId="5B3A2AA7">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ICP-AES结果</w:t>
            </w:r>
          </w:p>
        </w:tc>
        <w:tc>
          <w:tcPr>
            <w:tcW w:w="1185" w:type="dxa"/>
            <w:tcBorders>
              <w:top w:val="single" w:color="auto" w:sz="12" w:space="0"/>
              <w:right w:val="single" w:color="auto" w:sz="12" w:space="0"/>
            </w:tcBorders>
            <w:noWrap w:val="0"/>
            <w:vAlign w:val="center"/>
          </w:tcPr>
          <w:p w14:paraId="50323987">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ICP-MS结果</w:t>
            </w:r>
          </w:p>
        </w:tc>
      </w:tr>
      <w:tr w14:paraId="7FF5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5" w:type="dxa"/>
            <w:tcBorders>
              <w:left w:val="single" w:color="auto" w:sz="12" w:space="0"/>
            </w:tcBorders>
            <w:noWrap w:val="0"/>
            <w:vAlign w:val="center"/>
          </w:tcPr>
          <w:p w14:paraId="5A67FB4B">
            <w:pPr>
              <w:jc w:val="center"/>
              <w:rPr>
                <w:rFonts w:ascii="宋体" w:hAnsi="宋体"/>
                <w:sz w:val="18"/>
                <w:szCs w:val="18"/>
              </w:rPr>
            </w:pPr>
            <w:r>
              <w:rPr>
                <w:rFonts w:ascii="宋体" w:hAnsi="宋体"/>
                <w:sz w:val="18"/>
                <w:szCs w:val="18"/>
              </w:rPr>
              <w:t>La2O3-1#</w:t>
            </w:r>
          </w:p>
        </w:tc>
        <w:tc>
          <w:tcPr>
            <w:tcW w:w="5240" w:type="dxa"/>
            <w:noWrap w:val="0"/>
            <w:vAlign w:val="top"/>
          </w:tcPr>
          <w:p w14:paraId="43FA9679">
            <w:pPr>
              <w:jc w:val="both"/>
              <w:rPr>
                <w:rFonts w:hint="default" w:ascii="宋体" w:hAnsi="宋体" w:eastAsia="宋体"/>
                <w:color w:val="auto"/>
                <w:sz w:val="18"/>
                <w:szCs w:val="18"/>
                <w:lang w:val="en-US" w:eastAsia="zh-CN"/>
              </w:rPr>
            </w:pPr>
            <w:r>
              <w:rPr>
                <w:rFonts w:ascii="宋体" w:hAnsi="宋体"/>
                <w:color w:val="auto"/>
                <w:sz w:val="18"/>
                <w:szCs w:val="18"/>
              </w:rPr>
              <w:t>0.0005</w:t>
            </w:r>
            <w:r>
              <w:rPr>
                <w:rFonts w:hint="eastAsia" w:ascii="宋体" w:hAnsi="宋体"/>
                <w:color w:val="auto"/>
                <w:sz w:val="18"/>
                <w:szCs w:val="18"/>
                <w:lang w:val="en-US" w:eastAsia="zh-CN"/>
              </w:rPr>
              <w:t>1</w:t>
            </w:r>
            <w:r>
              <w:rPr>
                <w:rFonts w:ascii="宋体" w:hAnsi="宋体"/>
                <w:color w:val="auto"/>
                <w:sz w:val="18"/>
                <w:szCs w:val="18"/>
              </w:rPr>
              <w:t xml:space="preserve">  0.000</w:t>
            </w:r>
            <w:r>
              <w:rPr>
                <w:rFonts w:hint="eastAsia" w:ascii="宋体" w:hAnsi="宋体"/>
                <w:color w:val="auto"/>
                <w:sz w:val="18"/>
                <w:szCs w:val="18"/>
                <w:lang w:val="en-US" w:eastAsia="zh-CN"/>
              </w:rPr>
              <w:t>50</w:t>
            </w:r>
            <w:r>
              <w:rPr>
                <w:rFonts w:ascii="宋体" w:hAnsi="宋体"/>
                <w:color w:val="auto"/>
                <w:sz w:val="18"/>
                <w:szCs w:val="18"/>
              </w:rPr>
              <w:t xml:space="preserve"> 0.000</w:t>
            </w:r>
            <w:r>
              <w:rPr>
                <w:rFonts w:hint="eastAsia" w:ascii="宋体" w:hAnsi="宋体"/>
                <w:color w:val="auto"/>
                <w:sz w:val="18"/>
                <w:szCs w:val="18"/>
                <w:lang w:val="en-US" w:eastAsia="zh-CN"/>
              </w:rPr>
              <w:t>51</w:t>
            </w:r>
            <w:r>
              <w:rPr>
                <w:rFonts w:ascii="宋体" w:hAnsi="宋体"/>
                <w:color w:val="auto"/>
                <w:sz w:val="18"/>
                <w:szCs w:val="18"/>
              </w:rPr>
              <w:t xml:space="preserve"> 0.0004</w:t>
            </w:r>
            <w:r>
              <w:rPr>
                <w:rFonts w:hint="eastAsia" w:ascii="宋体" w:hAnsi="宋体"/>
                <w:color w:val="auto"/>
                <w:sz w:val="18"/>
                <w:szCs w:val="18"/>
                <w:lang w:val="en-US" w:eastAsia="zh-CN"/>
              </w:rPr>
              <w:t>9</w:t>
            </w:r>
            <w:r>
              <w:rPr>
                <w:rFonts w:ascii="宋体" w:hAnsi="宋体"/>
                <w:color w:val="auto"/>
                <w:sz w:val="18"/>
                <w:szCs w:val="18"/>
              </w:rPr>
              <w:t xml:space="preserve">  0.000</w:t>
            </w:r>
            <w:r>
              <w:rPr>
                <w:rFonts w:hint="eastAsia" w:ascii="宋体" w:hAnsi="宋体"/>
                <w:color w:val="auto"/>
                <w:sz w:val="18"/>
                <w:szCs w:val="18"/>
                <w:lang w:val="en-US" w:eastAsia="zh-CN"/>
              </w:rPr>
              <w:t>55</w:t>
            </w:r>
            <w:r>
              <w:rPr>
                <w:rFonts w:ascii="宋体" w:hAnsi="宋体"/>
                <w:color w:val="auto"/>
                <w:sz w:val="18"/>
                <w:szCs w:val="18"/>
              </w:rPr>
              <w:t xml:space="preserve">  0.000</w:t>
            </w:r>
            <w:r>
              <w:rPr>
                <w:rFonts w:hint="eastAsia" w:ascii="宋体" w:hAnsi="宋体"/>
                <w:color w:val="auto"/>
                <w:sz w:val="18"/>
                <w:szCs w:val="18"/>
                <w:lang w:val="en-US" w:eastAsia="zh-CN"/>
              </w:rPr>
              <w:t>55</w:t>
            </w:r>
            <w:r>
              <w:rPr>
                <w:rFonts w:ascii="宋体" w:hAnsi="宋体"/>
                <w:color w:val="auto"/>
                <w:sz w:val="18"/>
                <w:szCs w:val="18"/>
              </w:rPr>
              <w:t xml:space="preserve"> 0.00054 </w:t>
            </w:r>
            <w:r>
              <w:rPr>
                <w:rFonts w:hint="eastAsia" w:ascii="宋体" w:hAnsi="宋体"/>
                <w:color w:val="auto"/>
                <w:sz w:val="18"/>
                <w:szCs w:val="18"/>
                <w:lang w:val="en-US" w:eastAsia="zh-CN"/>
              </w:rPr>
              <w:t>0.00050</w:t>
            </w:r>
            <w:r>
              <w:rPr>
                <w:rFonts w:ascii="宋体" w:hAnsi="宋体"/>
                <w:color w:val="auto"/>
                <w:sz w:val="18"/>
                <w:szCs w:val="18"/>
              </w:rPr>
              <w:t xml:space="preserve"> </w:t>
            </w:r>
            <w:r>
              <w:rPr>
                <w:rFonts w:hint="eastAsia" w:ascii="宋体" w:hAnsi="宋体"/>
                <w:color w:val="auto"/>
                <w:sz w:val="18"/>
                <w:szCs w:val="18"/>
                <w:lang w:val="en-US" w:eastAsia="zh-CN"/>
              </w:rPr>
              <w:t>0.00055 0.00055 0.00050</w:t>
            </w:r>
          </w:p>
        </w:tc>
        <w:tc>
          <w:tcPr>
            <w:tcW w:w="1230" w:type="dxa"/>
            <w:noWrap w:val="0"/>
            <w:vAlign w:val="center"/>
          </w:tcPr>
          <w:p w14:paraId="4CBBAAB3">
            <w:pPr>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0.0005</w:t>
            </w:r>
          </w:p>
        </w:tc>
        <w:tc>
          <w:tcPr>
            <w:tcW w:w="1392" w:type="dxa"/>
            <w:tcBorders>
              <w:right w:val="single" w:color="auto" w:sz="12" w:space="0"/>
            </w:tcBorders>
            <w:noWrap w:val="0"/>
            <w:vAlign w:val="center"/>
          </w:tcPr>
          <w:p w14:paraId="4ADA8829">
            <w:pPr>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w:t>
            </w:r>
          </w:p>
        </w:tc>
        <w:tc>
          <w:tcPr>
            <w:tcW w:w="1185" w:type="dxa"/>
            <w:tcBorders>
              <w:right w:val="single" w:color="auto" w:sz="12" w:space="0"/>
            </w:tcBorders>
            <w:noWrap w:val="0"/>
            <w:vAlign w:val="center"/>
          </w:tcPr>
          <w:p w14:paraId="5A23BF6B">
            <w:pPr>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0.0004</w:t>
            </w:r>
          </w:p>
        </w:tc>
      </w:tr>
      <w:tr w14:paraId="3EE6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5" w:type="dxa"/>
            <w:tcBorders>
              <w:left w:val="single" w:color="auto" w:sz="12" w:space="0"/>
            </w:tcBorders>
            <w:noWrap w:val="0"/>
            <w:vAlign w:val="center"/>
          </w:tcPr>
          <w:p w14:paraId="44D07ED7">
            <w:pPr>
              <w:jc w:val="center"/>
              <w:rPr>
                <w:rFonts w:ascii="宋体" w:hAnsi="宋体"/>
                <w:sz w:val="18"/>
                <w:szCs w:val="18"/>
              </w:rPr>
            </w:pPr>
            <w:r>
              <w:rPr>
                <w:rFonts w:ascii="宋体" w:hAnsi="宋体"/>
                <w:sz w:val="18"/>
                <w:szCs w:val="18"/>
              </w:rPr>
              <w:t>La2O3-2#</w:t>
            </w:r>
          </w:p>
        </w:tc>
        <w:tc>
          <w:tcPr>
            <w:tcW w:w="5240" w:type="dxa"/>
            <w:noWrap w:val="0"/>
            <w:vAlign w:val="top"/>
          </w:tcPr>
          <w:p w14:paraId="170005E5">
            <w:pPr>
              <w:jc w:val="both"/>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0.00975 0.00986  0.00938 0.00957 0.0103 0.01027 0.0995 0.01014  0.00994 0.00978 0.00982</w:t>
            </w:r>
          </w:p>
        </w:tc>
        <w:tc>
          <w:tcPr>
            <w:tcW w:w="1230" w:type="dxa"/>
            <w:noWrap w:val="0"/>
            <w:vAlign w:val="center"/>
          </w:tcPr>
          <w:p w14:paraId="3763F1B2">
            <w:pPr>
              <w:jc w:val="center"/>
              <w:rPr>
                <w:rFonts w:hint="default" w:ascii="宋体" w:hAnsi="宋体" w:eastAsia="宋体"/>
                <w:color w:val="auto"/>
                <w:sz w:val="18"/>
                <w:szCs w:val="18"/>
                <w:lang w:val="en-US" w:eastAsia="zh-CN"/>
              </w:rPr>
            </w:pPr>
            <w:r>
              <w:rPr>
                <w:rFonts w:ascii="宋体" w:hAnsi="宋体"/>
                <w:color w:val="auto"/>
                <w:sz w:val="18"/>
                <w:szCs w:val="18"/>
              </w:rPr>
              <w:t>0.0</w:t>
            </w:r>
            <w:r>
              <w:rPr>
                <w:rFonts w:hint="eastAsia" w:ascii="宋体" w:hAnsi="宋体"/>
                <w:color w:val="auto"/>
                <w:sz w:val="18"/>
                <w:szCs w:val="18"/>
                <w:lang w:val="en-US" w:eastAsia="zh-CN"/>
              </w:rPr>
              <w:t>099</w:t>
            </w:r>
          </w:p>
        </w:tc>
        <w:tc>
          <w:tcPr>
            <w:tcW w:w="1392" w:type="dxa"/>
            <w:tcBorders>
              <w:right w:val="single" w:color="auto" w:sz="12" w:space="0"/>
            </w:tcBorders>
            <w:noWrap w:val="0"/>
            <w:vAlign w:val="center"/>
          </w:tcPr>
          <w:p w14:paraId="355E5D9F">
            <w:pPr>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0.0096</w:t>
            </w:r>
          </w:p>
        </w:tc>
        <w:tc>
          <w:tcPr>
            <w:tcW w:w="1185" w:type="dxa"/>
            <w:tcBorders>
              <w:right w:val="single" w:color="auto" w:sz="12" w:space="0"/>
            </w:tcBorders>
            <w:noWrap w:val="0"/>
            <w:vAlign w:val="center"/>
          </w:tcPr>
          <w:p w14:paraId="406BBB45">
            <w:pPr>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0.0104</w:t>
            </w:r>
          </w:p>
        </w:tc>
      </w:tr>
      <w:tr w14:paraId="06B7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5" w:type="dxa"/>
            <w:tcBorders>
              <w:left w:val="single" w:color="auto" w:sz="12" w:space="0"/>
            </w:tcBorders>
            <w:noWrap w:val="0"/>
            <w:vAlign w:val="center"/>
          </w:tcPr>
          <w:p w14:paraId="19DBA0F9">
            <w:pPr>
              <w:jc w:val="center"/>
              <w:rPr>
                <w:rFonts w:ascii="宋体" w:hAnsi="宋体"/>
                <w:color w:val="auto"/>
                <w:sz w:val="18"/>
                <w:szCs w:val="18"/>
              </w:rPr>
            </w:pPr>
            <w:r>
              <w:rPr>
                <w:rFonts w:ascii="宋体" w:hAnsi="宋体"/>
                <w:color w:val="auto"/>
                <w:sz w:val="18"/>
                <w:szCs w:val="18"/>
              </w:rPr>
              <w:t>La2O3-3#</w:t>
            </w:r>
          </w:p>
        </w:tc>
        <w:tc>
          <w:tcPr>
            <w:tcW w:w="5240" w:type="dxa"/>
            <w:noWrap w:val="0"/>
            <w:vAlign w:val="top"/>
          </w:tcPr>
          <w:p w14:paraId="1F596811">
            <w:pPr>
              <w:jc w:val="both"/>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 xml:space="preserve">0.1031  0.1083 0.1100 0.1110 0.1097 0.1108 0.1118 0.1105 0.1026 0.1030 0.1041 </w:t>
            </w:r>
          </w:p>
        </w:tc>
        <w:tc>
          <w:tcPr>
            <w:tcW w:w="1230" w:type="dxa"/>
            <w:noWrap w:val="0"/>
            <w:vAlign w:val="center"/>
          </w:tcPr>
          <w:p w14:paraId="0088ACEE">
            <w:pPr>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0.108</w:t>
            </w:r>
          </w:p>
        </w:tc>
        <w:tc>
          <w:tcPr>
            <w:tcW w:w="1392" w:type="dxa"/>
            <w:tcBorders>
              <w:right w:val="single" w:color="auto" w:sz="12" w:space="0"/>
            </w:tcBorders>
            <w:noWrap w:val="0"/>
            <w:vAlign w:val="center"/>
          </w:tcPr>
          <w:p w14:paraId="59E7A4A2">
            <w:pPr>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0.109</w:t>
            </w:r>
          </w:p>
        </w:tc>
        <w:tc>
          <w:tcPr>
            <w:tcW w:w="1185" w:type="dxa"/>
            <w:tcBorders>
              <w:right w:val="single" w:color="auto" w:sz="12" w:space="0"/>
            </w:tcBorders>
            <w:noWrap w:val="0"/>
            <w:vAlign w:val="center"/>
          </w:tcPr>
          <w:p w14:paraId="42A61693">
            <w:pPr>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w:t>
            </w:r>
          </w:p>
        </w:tc>
      </w:tr>
      <w:tr w14:paraId="0B4D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5" w:type="dxa"/>
            <w:tcBorders>
              <w:left w:val="single" w:color="auto" w:sz="12" w:space="0"/>
            </w:tcBorders>
            <w:noWrap w:val="0"/>
            <w:vAlign w:val="center"/>
          </w:tcPr>
          <w:p w14:paraId="4A9E110D">
            <w:pPr>
              <w:jc w:val="center"/>
              <w:rPr>
                <w:rFonts w:ascii="宋体" w:hAnsi="宋体"/>
                <w:sz w:val="18"/>
                <w:szCs w:val="18"/>
              </w:rPr>
            </w:pPr>
            <w:r>
              <w:rPr>
                <w:rFonts w:hint="eastAsia" w:ascii="宋体" w:hAnsi="宋体"/>
                <w:sz w:val="18"/>
                <w:szCs w:val="18"/>
                <w:lang w:val="en-US" w:eastAsia="zh-CN"/>
              </w:rPr>
              <w:t>Gd2O3</w:t>
            </w:r>
            <w:r>
              <w:rPr>
                <w:rFonts w:ascii="宋体" w:hAnsi="宋体"/>
                <w:sz w:val="18"/>
                <w:szCs w:val="18"/>
              </w:rPr>
              <w:t>-1#</w:t>
            </w:r>
          </w:p>
        </w:tc>
        <w:tc>
          <w:tcPr>
            <w:tcW w:w="5240" w:type="dxa"/>
            <w:noWrap w:val="0"/>
            <w:vAlign w:val="center"/>
          </w:tcPr>
          <w:p w14:paraId="27AAE5D0">
            <w:pPr>
              <w:jc w:val="both"/>
              <w:rPr>
                <w:rFonts w:hint="default" w:ascii="宋体" w:hAnsi="宋体" w:eastAsia="宋体"/>
                <w:color w:val="FF0000"/>
                <w:sz w:val="18"/>
                <w:szCs w:val="18"/>
                <w:lang w:val="en-US" w:eastAsia="zh-CN"/>
              </w:rPr>
            </w:pPr>
            <w:r>
              <w:rPr>
                <w:rFonts w:ascii="宋体" w:hAnsi="宋体"/>
                <w:color w:val="auto"/>
                <w:sz w:val="18"/>
                <w:szCs w:val="18"/>
              </w:rPr>
              <w:t>0.00</w:t>
            </w:r>
            <w:r>
              <w:rPr>
                <w:rFonts w:hint="eastAsia" w:ascii="宋体" w:hAnsi="宋体"/>
                <w:color w:val="auto"/>
                <w:sz w:val="18"/>
                <w:szCs w:val="18"/>
                <w:lang w:val="en-US" w:eastAsia="zh-CN"/>
              </w:rPr>
              <w:t>723</w:t>
            </w:r>
            <w:r>
              <w:rPr>
                <w:rFonts w:ascii="宋体" w:hAnsi="宋体"/>
                <w:color w:val="auto"/>
                <w:sz w:val="18"/>
                <w:szCs w:val="18"/>
              </w:rPr>
              <w:t xml:space="preserve">  0.00</w:t>
            </w:r>
            <w:r>
              <w:rPr>
                <w:rFonts w:hint="eastAsia" w:ascii="宋体" w:hAnsi="宋体"/>
                <w:color w:val="auto"/>
                <w:sz w:val="18"/>
                <w:szCs w:val="18"/>
                <w:lang w:val="en-US" w:eastAsia="zh-CN"/>
              </w:rPr>
              <w:t>686</w:t>
            </w:r>
            <w:r>
              <w:rPr>
                <w:rFonts w:ascii="宋体" w:hAnsi="宋体"/>
                <w:color w:val="auto"/>
                <w:sz w:val="18"/>
                <w:szCs w:val="18"/>
              </w:rPr>
              <w:t xml:space="preserve"> 0.00</w:t>
            </w:r>
            <w:r>
              <w:rPr>
                <w:rFonts w:hint="eastAsia" w:ascii="宋体" w:hAnsi="宋体"/>
                <w:color w:val="auto"/>
                <w:sz w:val="18"/>
                <w:szCs w:val="18"/>
                <w:lang w:val="en-US" w:eastAsia="zh-CN"/>
              </w:rPr>
              <w:t>699 0.00681 0.00668 0.00688 0.00698  0.00718 0.00689 0.00687 0.00682</w:t>
            </w:r>
          </w:p>
        </w:tc>
        <w:tc>
          <w:tcPr>
            <w:tcW w:w="1230" w:type="dxa"/>
            <w:noWrap w:val="0"/>
            <w:vAlign w:val="center"/>
          </w:tcPr>
          <w:p w14:paraId="14135D99">
            <w:pPr>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0.0069</w:t>
            </w:r>
          </w:p>
        </w:tc>
        <w:tc>
          <w:tcPr>
            <w:tcW w:w="1392" w:type="dxa"/>
            <w:tcBorders>
              <w:right w:val="single" w:color="auto" w:sz="12" w:space="0"/>
            </w:tcBorders>
            <w:noWrap w:val="0"/>
            <w:vAlign w:val="center"/>
          </w:tcPr>
          <w:p w14:paraId="6213AE4B">
            <w:pPr>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0.0069</w:t>
            </w:r>
          </w:p>
        </w:tc>
        <w:tc>
          <w:tcPr>
            <w:tcW w:w="1185" w:type="dxa"/>
            <w:tcBorders>
              <w:right w:val="single" w:color="auto" w:sz="12" w:space="0"/>
            </w:tcBorders>
            <w:noWrap w:val="0"/>
            <w:vAlign w:val="center"/>
          </w:tcPr>
          <w:p w14:paraId="1B4645C6">
            <w:pPr>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0.0062</w:t>
            </w:r>
          </w:p>
        </w:tc>
      </w:tr>
      <w:tr w14:paraId="7261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5" w:type="dxa"/>
            <w:tcBorders>
              <w:left w:val="single" w:color="auto" w:sz="12" w:space="0"/>
            </w:tcBorders>
            <w:noWrap w:val="0"/>
            <w:vAlign w:val="center"/>
          </w:tcPr>
          <w:p w14:paraId="5C6FA844">
            <w:pPr>
              <w:jc w:val="center"/>
              <w:rPr>
                <w:rFonts w:ascii="宋体" w:hAnsi="宋体"/>
                <w:color w:val="FF0000"/>
                <w:sz w:val="18"/>
                <w:szCs w:val="18"/>
              </w:rPr>
            </w:pPr>
            <w:r>
              <w:rPr>
                <w:rFonts w:ascii="宋体" w:hAnsi="宋体"/>
                <w:color w:val="auto"/>
                <w:sz w:val="18"/>
                <w:szCs w:val="18"/>
              </w:rPr>
              <w:t>Gd2O3-2#</w:t>
            </w:r>
          </w:p>
        </w:tc>
        <w:tc>
          <w:tcPr>
            <w:tcW w:w="5240" w:type="dxa"/>
            <w:noWrap w:val="0"/>
            <w:vAlign w:val="center"/>
          </w:tcPr>
          <w:p w14:paraId="18F4ACA5">
            <w:pPr>
              <w:jc w:val="both"/>
              <w:rPr>
                <w:rFonts w:hint="default" w:ascii="宋体" w:hAnsi="宋体" w:eastAsia="宋体"/>
                <w:color w:val="FF0000"/>
                <w:sz w:val="18"/>
                <w:szCs w:val="18"/>
                <w:lang w:val="en-US" w:eastAsia="zh-CN"/>
              </w:rPr>
            </w:pPr>
            <w:r>
              <w:rPr>
                <w:rFonts w:ascii="宋体" w:hAnsi="宋体"/>
                <w:color w:val="auto"/>
                <w:sz w:val="18"/>
                <w:szCs w:val="18"/>
              </w:rPr>
              <w:t>0.0</w:t>
            </w:r>
            <w:r>
              <w:rPr>
                <w:rFonts w:hint="eastAsia" w:ascii="宋体" w:hAnsi="宋体"/>
                <w:color w:val="auto"/>
                <w:sz w:val="18"/>
                <w:szCs w:val="18"/>
                <w:lang w:val="en-US" w:eastAsia="zh-CN"/>
              </w:rPr>
              <w:t>620</w:t>
            </w:r>
            <w:r>
              <w:rPr>
                <w:rFonts w:ascii="宋体" w:hAnsi="宋体"/>
                <w:color w:val="auto"/>
                <w:sz w:val="18"/>
                <w:szCs w:val="18"/>
              </w:rPr>
              <w:t xml:space="preserve">  </w:t>
            </w:r>
            <w:r>
              <w:rPr>
                <w:rFonts w:hint="eastAsia" w:ascii="宋体" w:hAnsi="宋体"/>
                <w:color w:val="auto"/>
                <w:sz w:val="18"/>
                <w:szCs w:val="18"/>
                <w:lang w:val="en-US" w:eastAsia="zh-CN"/>
              </w:rPr>
              <w:t>0.0565</w:t>
            </w:r>
            <w:r>
              <w:rPr>
                <w:rFonts w:ascii="宋体" w:hAnsi="宋体"/>
                <w:color w:val="auto"/>
                <w:sz w:val="18"/>
                <w:szCs w:val="18"/>
              </w:rPr>
              <w:t xml:space="preserve"> </w:t>
            </w:r>
            <w:r>
              <w:rPr>
                <w:rFonts w:hint="eastAsia" w:ascii="宋体" w:hAnsi="宋体"/>
                <w:color w:val="auto"/>
                <w:sz w:val="18"/>
                <w:szCs w:val="18"/>
                <w:lang w:val="en-US" w:eastAsia="zh-CN"/>
              </w:rPr>
              <w:t>0.0575</w:t>
            </w:r>
            <w:r>
              <w:rPr>
                <w:rFonts w:ascii="宋体" w:hAnsi="宋体"/>
                <w:color w:val="auto"/>
                <w:sz w:val="18"/>
                <w:szCs w:val="18"/>
              </w:rPr>
              <w:t xml:space="preserve"> 0.0</w:t>
            </w:r>
            <w:r>
              <w:rPr>
                <w:rFonts w:hint="eastAsia" w:ascii="宋体" w:hAnsi="宋体"/>
                <w:color w:val="auto"/>
                <w:sz w:val="18"/>
                <w:szCs w:val="18"/>
                <w:lang w:val="en-US" w:eastAsia="zh-CN"/>
              </w:rPr>
              <w:t>582</w:t>
            </w:r>
            <w:r>
              <w:rPr>
                <w:rFonts w:ascii="宋体" w:hAnsi="宋体"/>
                <w:color w:val="auto"/>
                <w:sz w:val="18"/>
                <w:szCs w:val="18"/>
              </w:rPr>
              <w:t xml:space="preserve">  0.0</w:t>
            </w:r>
            <w:r>
              <w:rPr>
                <w:rFonts w:hint="eastAsia" w:ascii="宋体" w:hAnsi="宋体"/>
                <w:color w:val="auto"/>
                <w:sz w:val="18"/>
                <w:szCs w:val="18"/>
                <w:lang w:val="en-US" w:eastAsia="zh-CN"/>
              </w:rPr>
              <w:t>579</w:t>
            </w:r>
            <w:r>
              <w:rPr>
                <w:rFonts w:ascii="宋体" w:hAnsi="宋体"/>
                <w:color w:val="auto"/>
                <w:sz w:val="18"/>
                <w:szCs w:val="18"/>
              </w:rPr>
              <w:t xml:space="preserve">  0.0</w:t>
            </w:r>
            <w:r>
              <w:rPr>
                <w:rFonts w:hint="eastAsia" w:ascii="宋体" w:hAnsi="宋体"/>
                <w:color w:val="auto"/>
                <w:sz w:val="18"/>
                <w:szCs w:val="18"/>
                <w:lang w:val="en-US" w:eastAsia="zh-CN"/>
              </w:rPr>
              <w:t>613</w:t>
            </w:r>
            <w:r>
              <w:rPr>
                <w:rFonts w:ascii="宋体" w:hAnsi="宋体"/>
                <w:color w:val="auto"/>
                <w:sz w:val="18"/>
                <w:szCs w:val="18"/>
              </w:rPr>
              <w:t xml:space="preserve">  0.0</w:t>
            </w:r>
            <w:r>
              <w:rPr>
                <w:rFonts w:hint="eastAsia" w:ascii="宋体" w:hAnsi="宋体"/>
                <w:color w:val="auto"/>
                <w:sz w:val="18"/>
                <w:szCs w:val="18"/>
                <w:lang w:val="en-US" w:eastAsia="zh-CN"/>
              </w:rPr>
              <w:t>588</w:t>
            </w:r>
            <w:r>
              <w:rPr>
                <w:rFonts w:ascii="宋体" w:hAnsi="宋体"/>
                <w:color w:val="auto"/>
                <w:sz w:val="18"/>
                <w:szCs w:val="18"/>
              </w:rPr>
              <w:t xml:space="preserve">  0.0</w:t>
            </w:r>
            <w:r>
              <w:rPr>
                <w:rFonts w:hint="eastAsia" w:ascii="宋体" w:hAnsi="宋体"/>
                <w:color w:val="auto"/>
                <w:sz w:val="18"/>
                <w:szCs w:val="18"/>
                <w:lang w:val="en-US" w:eastAsia="zh-CN"/>
              </w:rPr>
              <w:t>597 0.0601 0.0598 0.0596</w:t>
            </w:r>
          </w:p>
        </w:tc>
        <w:tc>
          <w:tcPr>
            <w:tcW w:w="1230" w:type="dxa"/>
            <w:noWrap w:val="0"/>
            <w:vAlign w:val="center"/>
          </w:tcPr>
          <w:p w14:paraId="7E1ADD4D">
            <w:pPr>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0.059</w:t>
            </w:r>
          </w:p>
        </w:tc>
        <w:tc>
          <w:tcPr>
            <w:tcW w:w="1392" w:type="dxa"/>
            <w:tcBorders>
              <w:right w:val="single" w:color="auto" w:sz="12" w:space="0"/>
            </w:tcBorders>
            <w:noWrap w:val="0"/>
            <w:vAlign w:val="center"/>
          </w:tcPr>
          <w:p w14:paraId="2446427B">
            <w:pPr>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0.060</w:t>
            </w:r>
          </w:p>
        </w:tc>
        <w:tc>
          <w:tcPr>
            <w:tcW w:w="1185" w:type="dxa"/>
            <w:tcBorders>
              <w:right w:val="single" w:color="auto" w:sz="12" w:space="0"/>
            </w:tcBorders>
            <w:noWrap w:val="0"/>
            <w:vAlign w:val="center"/>
          </w:tcPr>
          <w:p w14:paraId="64FB6F22">
            <w:pPr>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0.058</w:t>
            </w:r>
          </w:p>
        </w:tc>
      </w:tr>
      <w:tr w14:paraId="4C2D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5" w:type="dxa"/>
            <w:tcBorders>
              <w:left w:val="single" w:color="auto" w:sz="12" w:space="0"/>
            </w:tcBorders>
            <w:noWrap w:val="0"/>
            <w:vAlign w:val="center"/>
          </w:tcPr>
          <w:p w14:paraId="486D0F8D">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Gd2O3-</w:t>
            </w:r>
            <w:r>
              <w:rPr>
                <w:rFonts w:hint="eastAsia" w:ascii="宋体" w:hAnsi="宋体"/>
                <w:color w:val="000000" w:themeColor="text1"/>
                <w:sz w:val="18"/>
                <w:szCs w:val="18"/>
                <w:lang w:val="en-US" w:eastAsia="zh-CN"/>
                <w14:textFill>
                  <w14:solidFill>
                    <w14:schemeClr w14:val="tx1"/>
                  </w14:solidFill>
                </w14:textFill>
              </w:rPr>
              <w:t>3</w:t>
            </w:r>
            <w:r>
              <w:rPr>
                <w:rFonts w:ascii="宋体" w:hAnsi="宋体"/>
                <w:color w:val="000000" w:themeColor="text1"/>
                <w:sz w:val="18"/>
                <w:szCs w:val="18"/>
                <w14:textFill>
                  <w14:solidFill>
                    <w14:schemeClr w14:val="tx1"/>
                  </w14:solidFill>
                </w14:textFill>
              </w:rPr>
              <w:t>#</w:t>
            </w:r>
          </w:p>
        </w:tc>
        <w:tc>
          <w:tcPr>
            <w:tcW w:w="5240" w:type="dxa"/>
            <w:noWrap w:val="0"/>
            <w:vAlign w:val="center"/>
          </w:tcPr>
          <w:p w14:paraId="6F55B23C">
            <w:pPr>
              <w:jc w:val="both"/>
              <w:rPr>
                <w:rFonts w:hint="default" w:ascii="宋体" w:hAnsi="宋体" w:eastAsia="宋体"/>
                <w:color w:val="000000" w:themeColor="text1"/>
                <w:sz w:val="18"/>
                <w:szCs w:val="18"/>
                <w:lang w:val="en-US" w:eastAsia="zh-CN"/>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lang w:val="en-US" w:eastAsia="zh-CN"/>
                <w14:textFill>
                  <w14:solidFill>
                    <w14:schemeClr w14:val="tx1"/>
                  </w14:solidFill>
                </w14:textFill>
              </w:rPr>
              <w:t>0.1056 0.1073 0.1071 0.1056 0.1115 0.1123 0.1085 0.1093 0.1088 0.1096  0.1061</w:t>
            </w:r>
          </w:p>
        </w:tc>
        <w:tc>
          <w:tcPr>
            <w:tcW w:w="1230" w:type="dxa"/>
            <w:noWrap w:val="0"/>
            <w:vAlign w:val="center"/>
          </w:tcPr>
          <w:p w14:paraId="3AEA94BD">
            <w:pPr>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0.108</w:t>
            </w:r>
          </w:p>
        </w:tc>
        <w:tc>
          <w:tcPr>
            <w:tcW w:w="1392" w:type="dxa"/>
            <w:tcBorders>
              <w:right w:val="single" w:color="auto" w:sz="12" w:space="0"/>
            </w:tcBorders>
            <w:noWrap w:val="0"/>
            <w:vAlign w:val="center"/>
          </w:tcPr>
          <w:p w14:paraId="415E34A2">
            <w:pPr>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0.107</w:t>
            </w:r>
          </w:p>
        </w:tc>
        <w:tc>
          <w:tcPr>
            <w:tcW w:w="1185" w:type="dxa"/>
            <w:tcBorders>
              <w:right w:val="single" w:color="auto" w:sz="12" w:space="0"/>
            </w:tcBorders>
            <w:noWrap w:val="0"/>
            <w:vAlign w:val="center"/>
          </w:tcPr>
          <w:p w14:paraId="5FD4B432">
            <w:pPr>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w:t>
            </w:r>
          </w:p>
        </w:tc>
      </w:tr>
      <w:tr w14:paraId="2FFB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5" w:type="dxa"/>
            <w:tcBorders>
              <w:left w:val="single" w:color="auto" w:sz="12" w:space="0"/>
            </w:tcBorders>
            <w:noWrap w:val="0"/>
            <w:vAlign w:val="center"/>
          </w:tcPr>
          <w:p w14:paraId="479FBDE0">
            <w:pPr>
              <w:jc w:val="center"/>
              <w:rPr>
                <w:rFonts w:hint="default" w:ascii="宋体" w:hAnsi="宋体" w:eastAsia="宋体" w:cs="黑体"/>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Ho2O3</w:t>
            </w:r>
          </w:p>
        </w:tc>
        <w:tc>
          <w:tcPr>
            <w:tcW w:w="5240" w:type="dxa"/>
            <w:noWrap w:val="0"/>
            <w:vAlign w:val="center"/>
          </w:tcPr>
          <w:p w14:paraId="4B474E34">
            <w:pPr>
              <w:jc w:val="both"/>
              <w:rPr>
                <w:rFonts w:hint="default" w:ascii="宋体" w:hAnsi="宋体" w:eastAsia="宋体" w:cs="黑体"/>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0.2793 0.2873 0.2783 0.2801 0.2810 0.2833 0.2763 0.2816 0.2835 0.2864 0.2825</w:t>
            </w:r>
          </w:p>
        </w:tc>
        <w:tc>
          <w:tcPr>
            <w:tcW w:w="1230" w:type="dxa"/>
            <w:noWrap w:val="0"/>
            <w:vAlign w:val="center"/>
          </w:tcPr>
          <w:p w14:paraId="7881E1C6">
            <w:pPr>
              <w:jc w:val="center"/>
              <w:rPr>
                <w:rFonts w:hint="eastAsia" w:ascii="宋体" w:hAnsi="宋体" w:eastAsia="宋体" w:cs="黑体"/>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0.282</w:t>
            </w:r>
          </w:p>
        </w:tc>
        <w:tc>
          <w:tcPr>
            <w:tcW w:w="1392" w:type="dxa"/>
            <w:tcBorders>
              <w:right w:val="single" w:color="auto" w:sz="12" w:space="0"/>
            </w:tcBorders>
            <w:noWrap w:val="0"/>
            <w:vAlign w:val="center"/>
          </w:tcPr>
          <w:p w14:paraId="716BCEA9">
            <w:pPr>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0.280</w:t>
            </w:r>
          </w:p>
        </w:tc>
        <w:tc>
          <w:tcPr>
            <w:tcW w:w="1185" w:type="dxa"/>
            <w:tcBorders>
              <w:right w:val="single" w:color="auto" w:sz="12" w:space="0"/>
            </w:tcBorders>
            <w:noWrap w:val="0"/>
            <w:vAlign w:val="center"/>
          </w:tcPr>
          <w:p w14:paraId="76B4A8AD">
            <w:pPr>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w:t>
            </w:r>
          </w:p>
        </w:tc>
      </w:tr>
      <w:tr w14:paraId="0B6A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5" w:type="dxa"/>
            <w:tcBorders>
              <w:left w:val="single" w:color="auto" w:sz="12" w:space="0"/>
            </w:tcBorders>
            <w:noWrap w:val="0"/>
            <w:vAlign w:val="center"/>
          </w:tcPr>
          <w:p w14:paraId="462DBFDE">
            <w:pPr>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ascii="宋体" w:hAnsi="宋体"/>
                <w:color w:val="000000" w:themeColor="text1"/>
                <w:sz w:val="18"/>
                <w:szCs w:val="18"/>
                <w14:textFill>
                  <w14:solidFill>
                    <w14:schemeClr w14:val="tx1"/>
                  </w14:solidFill>
                </w14:textFill>
              </w:rPr>
              <w:t>金属</w:t>
            </w:r>
            <w:r>
              <w:rPr>
                <w:rFonts w:hint="eastAsia" w:ascii="宋体" w:hAnsi="宋体"/>
                <w:color w:val="000000" w:themeColor="text1"/>
                <w:sz w:val="18"/>
                <w:szCs w:val="18"/>
                <w:lang w:eastAsia="zh-CN"/>
                <w14:textFill>
                  <w14:solidFill>
                    <w14:schemeClr w14:val="tx1"/>
                  </w14:solidFill>
                </w14:textFill>
              </w:rPr>
              <w:t>镨钕</w:t>
            </w:r>
          </w:p>
        </w:tc>
        <w:tc>
          <w:tcPr>
            <w:tcW w:w="5240" w:type="dxa"/>
            <w:noWrap w:val="0"/>
            <w:vAlign w:val="center"/>
          </w:tcPr>
          <w:p w14:paraId="744E3022">
            <w:pPr>
              <w:jc w:val="both"/>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ascii="宋体" w:hAnsi="宋体"/>
                <w:color w:val="000000" w:themeColor="text1"/>
                <w:sz w:val="18"/>
                <w:szCs w:val="18"/>
                <w14:textFill>
                  <w14:solidFill>
                    <w14:schemeClr w14:val="tx1"/>
                  </w14:solidFill>
                </w14:textFill>
              </w:rPr>
              <w:t>0.0</w:t>
            </w:r>
            <w:r>
              <w:rPr>
                <w:rFonts w:hint="eastAsia" w:ascii="宋体" w:hAnsi="宋体"/>
                <w:color w:val="000000" w:themeColor="text1"/>
                <w:sz w:val="18"/>
                <w:szCs w:val="18"/>
                <w:lang w:val="en-US" w:eastAsia="zh-CN"/>
                <w14:textFill>
                  <w14:solidFill>
                    <w14:schemeClr w14:val="tx1"/>
                  </w14:solidFill>
                </w14:textFill>
              </w:rPr>
              <w:t>0103</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lang w:val="en-US" w:eastAsia="zh-CN"/>
                <w14:textFill>
                  <w14:solidFill>
                    <w14:schemeClr w14:val="tx1"/>
                  </w14:solidFill>
                </w14:textFill>
              </w:rPr>
              <w:t>0.00108 0.00110 0.00103 0.00105 0.00096 0.00106 0.00113 0.00103 0.00103 0.00106</w:t>
            </w:r>
          </w:p>
        </w:tc>
        <w:tc>
          <w:tcPr>
            <w:tcW w:w="1230" w:type="dxa"/>
            <w:noWrap w:val="0"/>
            <w:vAlign w:val="center"/>
          </w:tcPr>
          <w:p w14:paraId="13475BDF">
            <w:pPr>
              <w:jc w:val="center"/>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ascii="宋体" w:hAnsi="宋体"/>
                <w:color w:val="000000" w:themeColor="text1"/>
                <w:sz w:val="18"/>
                <w:szCs w:val="18"/>
                <w14:textFill>
                  <w14:solidFill>
                    <w14:schemeClr w14:val="tx1"/>
                  </w14:solidFill>
                </w14:textFill>
              </w:rPr>
              <w:t>0.0</w:t>
            </w:r>
            <w:r>
              <w:rPr>
                <w:rFonts w:hint="eastAsia" w:ascii="宋体" w:hAnsi="宋体"/>
                <w:color w:val="000000" w:themeColor="text1"/>
                <w:sz w:val="18"/>
                <w:szCs w:val="18"/>
                <w:lang w:val="en-US" w:eastAsia="zh-CN"/>
                <w14:textFill>
                  <w14:solidFill>
                    <w14:schemeClr w14:val="tx1"/>
                  </w14:solidFill>
                </w14:textFill>
              </w:rPr>
              <w:t>010</w:t>
            </w:r>
          </w:p>
        </w:tc>
        <w:tc>
          <w:tcPr>
            <w:tcW w:w="1392" w:type="dxa"/>
            <w:tcBorders>
              <w:right w:val="single" w:color="auto" w:sz="12" w:space="0"/>
            </w:tcBorders>
            <w:noWrap w:val="0"/>
            <w:vAlign w:val="center"/>
          </w:tcPr>
          <w:p w14:paraId="2D51BA60">
            <w:pPr>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w:t>
            </w:r>
          </w:p>
        </w:tc>
        <w:tc>
          <w:tcPr>
            <w:tcW w:w="1185" w:type="dxa"/>
            <w:tcBorders>
              <w:right w:val="single" w:color="auto" w:sz="12" w:space="0"/>
            </w:tcBorders>
            <w:noWrap w:val="0"/>
            <w:vAlign w:val="center"/>
          </w:tcPr>
          <w:p w14:paraId="48E795C9">
            <w:pPr>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0.0010</w:t>
            </w:r>
          </w:p>
        </w:tc>
      </w:tr>
      <w:tr w14:paraId="68B3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035" w:type="dxa"/>
            <w:tcBorders>
              <w:top w:val="single" w:color="auto" w:sz="4" w:space="0"/>
              <w:left w:val="single" w:color="auto" w:sz="12" w:space="0"/>
              <w:bottom w:val="single" w:color="auto" w:sz="12" w:space="0"/>
              <w:right w:val="single" w:color="auto" w:sz="4" w:space="0"/>
            </w:tcBorders>
            <w:noWrap w:val="0"/>
            <w:vAlign w:val="center"/>
          </w:tcPr>
          <w:p w14:paraId="51945A06">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金属钇</w:t>
            </w:r>
          </w:p>
        </w:tc>
        <w:tc>
          <w:tcPr>
            <w:tcW w:w="5240" w:type="dxa"/>
            <w:tcBorders>
              <w:top w:val="single" w:color="auto" w:sz="4" w:space="0"/>
              <w:left w:val="single" w:color="auto" w:sz="4" w:space="0"/>
              <w:bottom w:val="single" w:color="auto" w:sz="12" w:space="0"/>
              <w:right w:val="single" w:color="auto" w:sz="4" w:space="0"/>
            </w:tcBorders>
            <w:noWrap w:val="0"/>
            <w:vAlign w:val="center"/>
          </w:tcPr>
          <w:p w14:paraId="3E40B3C2">
            <w:pPr>
              <w:jc w:val="both"/>
              <w:rPr>
                <w:rFonts w:hint="default" w:ascii="宋体" w:hAnsi="宋体" w:eastAsia="宋体"/>
                <w:color w:val="000000" w:themeColor="text1"/>
                <w:sz w:val="18"/>
                <w:szCs w:val="18"/>
                <w:lang w:val="en-US" w:eastAsia="zh-CN"/>
                <w14:textFill>
                  <w14:solidFill>
                    <w14:schemeClr w14:val="tx1"/>
                  </w14:solidFill>
                </w14:textFill>
              </w:rPr>
            </w:pP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lang w:val="en-US" w:eastAsia="zh-CN"/>
                <w14:textFill>
                  <w14:solidFill>
                    <w14:schemeClr w14:val="tx1"/>
                  </w14:solidFill>
                </w14:textFill>
              </w:rPr>
              <w:t>00274</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lang w:val="en-US" w:eastAsia="zh-CN"/>
                <w14:textFill>
                  <w14:solidFill>
                    <w14:schemeClr w14:val="tx1"/>
                  </w14:solidFill>
                </w14:textFill>
              </w:rPr>
              <w:t>0.00285 0.00281 0.00271  0.00281 0.00264 0.00284 0.00287 0.00293 0.00306 0.00303</w:t>
            </w:r>
          </w:p>
        </w:tc>
        <w:tc>
          <w:tcPr>
            <w:tcW w:w="1230" w:type="dxa"/>
            <w:tcBorders>
              <w:top w:val="single" w:color="auto" w:sz="4" w:space="0"/>
              <w:left w:val="single" w:color="auto" w:sz="4" w:space="0"/>
              <w:bottom w:val="single" w:color="auto" w:sz="12" w:space="0"/>
              <w:right w:val="single" w:color="auto" w:sz="4" w:space="0"/>
            </w:tcBorders>
            <w:noWrap w:val="0"/>
            <w:vAlign w:val="center"/>
          </w:tcPr>
          <w:p w14:paraId="4BF33642">
            <w:pPr>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0.0028</w:t>
            </w:r>
          </w:p>
        </w:tc>
        <w:tc>
          <w:tcPr>
            <w:tcW w:w="1392" w:type="dxa"/>
            <w:tcBorders>
              <w:top w:val="single" w:color="auto" w:sz="4" w:space="0"/>
              <w:left w:val="single" w:color="auto" w:sz="4" w:space="0"/>
              <w:bottom w:val="single" w:color="auto" w:sz="12" w:space="0"/>
              <w:right w:val="single" w:color="auto" w:sz="12" w:space="0"/>
            </w:tcBorders>
            <w:noWrap w:val="0"/>
            <w:vAlign w:val="center"/>
          </w:tcPr>
          <w:p w14:paraId="6472B900">
            <w:pPr>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w:t>
            </w:r>
          </w:p>
        </w:tc>
        <w:tc>
          <w:tcPr>
            <w:tcW w:w="1185" w:type="dxa"/>
            <w:tcBorders>
              <w:top w:val="single" w:color="auto" w:sz="4" w:space="0"/>
              <w:left w:val="single" w:color="auto" w:sz="4" w:space="0"/>
              <w:bottom w:val="single" w:color="auto" w:sz="12" w:space="0"/>
              <w:right w:val="single" w:color="auto" w:sz="12" w:space="0"/>
            </w:tcBorders>
            <w:noWrap w:val="0"/>
            <w:vAlign w:val="center"/>
          </w:tcPr>
          <w:p w14:paraId="76CA7B2E">
            <w:pPr>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0.0027</w:t>
            </w:r>
          </w:p>
        </w:tc>
      </w:tr>
    </w:tbl>
    <w:p w14:paraId="4758026A">
      <w:pPr>
        <w:pStyle w:val="51"/>
        <w:ind w:left="0" w:leftChars="0" w:firstLine="0" w:firstLineChars="0"/>
        <w:rPr>
          <w:rFonts w:hint="default" w:ascii="Arial" w:hAnsi="Arial" w:cs="Arial" w:eastAsiaTheme="minorEastAsia"/>
          <w:szCs w:val="21"/>
          <w:lang w:val="en-US" w:eastAsia="zh-CN"/>
        </w:rPr>
      </w:pPr>
    </w:p>
    <w:p w14:paraId="051E3223">
      <w:pPr>
        <w:pStyle w:val="51"/>
        <w:spacing w:line="360" w:lineRule="auto"/>
        <w:ind w:left="0" w:leftChars="0" w:firstLine="0" w:firstLineChars="0"/>
        <w:rPr>
          <w:rFonts w:hint="eastAsia" w:ascii="宋体" w:hAnsi="宋体" w:eastAsia="宋体" w:cs="宋体"/>
        </w:rPr>
      </w:pPr>
      <w:r>
        <w:rPr>
          <w:rFonts w:hint="eastAsia" w:ascii="宋体" w:hAnsi="宋体" w:eastAsia="宋体" w:cs="宋体"/>
          <w:b/>
          <w:bCs/>
          <w:szCs w:val="21"/>
          <w:lang w:val="en-US" w:eastAsia="zh-CN"/>
        </w:rPr>
        <w:t xml:space="preserve">2.8  </w:t>
      </w:r>
      <w:r>
        <w:rPr>
          <w:rFonts w:hint="eastAsia" w:ascii="宋体" w:hAnsi="宋体" w:eastAsia="宋体" w:cs="宋体"/>
        </w:rPr>
        <w:t>为了考察本方法的精密度，对</w:t>
      </w:r>
      <w:r>
        <w:rPr>
          <w:rFonts w:hint="eastAsia" w:ascii="宋体" w:hAnsi="宋体" w:eastAsia="宋体" w:cs="宋体"/>
          <w:lang w:val="en-US" w:eastAsia="zh-CN"/>
        </w:rPr>
        <w:t>9个</w:t>
      </w:r>
      <w:r>
        <w:rPr>
          <w:rFonts w:hint="eastAsia" w:ascii="宋体" w:hAnsi="宋体" w:eastAsia="宋体" w:cs="宋体"/>
        </w:rPr>
        <w:t>统一样品分别进行了11次重复测定，统计平均值和相对标准偏差，结果见数据统计报告。</w:t>
      </w:r>
    </w:p>
    <w:p w14:paraId="1C217704">
      <w:pPr>
        <w:pStyle w:val="55"/>
        <w:numPr>
          <w:ilvl w:val="0"/>
          <w:numId w:val="0"/>
        </w:numPr>
        <w:spacing w:before="312" w:after="312"/>
        <w:ind w:leftChars="0"/>
      </w:pPr>
      <w:r>
        <w:rPr>
          <w:rFonts w:hint="eastAsia"/>
        </w:rPr>
        <w:t>三、试验验证的分析及预期的经济效果</w:t>
      </w:r>
    </w:p>
    <w:p w14:paraId="4ADF8969">
      <w:pPr>
        <w:pStyle w:val="52"/>
        <w:numPr>
          <w:ilvl w:val="1"/>
          <w:numId w:val="0"/>
        </w:numPr>
        <w:spacing w:before="156" w:after="156" w:line="360" w:lineRule="auto"/>
        <w:ind w:leftChars="0"/>
      </w:pPr>
      <w:r>
        <w:rPr>
          <w:rFonts w:hint="eastAsia"/>
        </w:rPr>
        <w:t>1 数据汇总处理分析</w:t>
      </w:r>
    </w:p>
    <w:p w14:paraId="7CA74C98">
      <w:pPr>
        <w:pStyle w:val="53"/>
        <w:numPr>
          <w:ilvl w:val="2"/>
          <w:numId w:val="0"/>
        </w:numPr>
        <w:spacing w:before="156" w:after="156" w:line="360" w:lineRule="auto"/>
        <w:ind w:leftChars="0"/>
      </w:pPr>
      <w:r>
        <w:rPr>
          <w:rFonts w:hint="eastAsia"/>
        </w:rPr>
        <w:t>1</w:t>
      </w:r>
      <w:r>
        <w:t>.1</w:t>
      </w:r>
      <w:r>
        <w:rPr>
          <w:rFonts w:hint="eastAsia"/>
        </w:rPr>
        <w:t>原始数据统计和检验</w:t>
      </w:r>
    </w:p>
    <w:p w14:paraId="3932600D">
      <w:pPr>
        <w:pStyle w:val="51"/>
        <w:spacing w:line="360" w:lineRule="auto"/>
        <w:ind w:firstLine="420"/>
      </w:pPr>
      <w:r>
        <w:rPr>
          <w:rFonts w:hint="eastAsia"/>
        </w:rPr>
        <w:t>主起草单位对各试验室内数据进行了均值、标准偏差和相对标准偏差的统计，并就各试验室内数据和试验室间均值进行了格拉布斯检验以及实验室间数据等精度检验（柯克伦检验）。试验数据统计和检验结果见数据统计报告。</w:t>
      </w:r>
    </w:p>
    <w:p w14:paraId="5C9B9DE0">
      <w:pPr>
        <w:pStyle w:val="53"/>
        <w:numPr>
          <w:ilvl w:val="2"/>
          <w:numId w:val="0"/>
        </w:numPr>
        <w:spacing w:before="156" w:after="156" w:line="360" w:lineRule="auto"/>
        <w:ind w:leftChars="0"/>
      </w:pPr>
      <w:r>
        <w:rPr>
          <w:rFonts w:hint="eastAsia"/>
        </w:rPr>
        <w:t>1</w:t>
      </w:r>
      <w:r>
        <w:t>.2</w:t>
      </w:r>
      <w:r>
        <w:rPr>
          <w:rFonts w:hint="eastAsia"/>
        </w:rPr>
        <w:t>对于岐离和离群数据的分析</w:t>
      </w:r>
    </w:p>
    <w:p w14:paraId="452F2676">
      <w:pPr>
        <w:spacing w:before="156" w:beforeLines="50" w:after="156" w:afterLines="50" w:line="360" w:lineRule="auto"/>
        <w:ind w:firstLine="420"/>
        <w:jc w:val="left"/>
        <w:rPr>
          <w:rFonts w:ascii="宋体" w:cs="宋体"/>
        </w:rPr>
      </w:pPr>
      <w:r>
        <w:rPr>
          <w:rFonts w:hint="eastAsia" w:cs="宋体"/>
          <w:szCs w:val="21"/>
        </w:rPr>
        <w:t>试验数据取舍在统计学基础上还应符合化学分析特点，对于岐离和离群数据是否留用，试验采取的判断方式：实验室测定结果与参考值之差|Xmax-μ0|不大于CD′（μ0理论上为真值，在无真值的情况下采用实验室内或实验室间平均值，Xmax为最大偏离数据），则数据符合要求留用，否则舍去。CD′按照下式计算。式中：δE为相近测试标准规定的实验室之间允许差Δ，U为测量不确定度，由于试验样品不能提供测量，U定义为0。</w:t>
      </w:r>
    </w:p>
    <w:p w14:paraId="799AA86E">
      <w:pPr>
        <w:jc w:val="center"/>
        <w:rPr>
          <w:rFonts w:ascii="宋体" w:cs="宋体"/>
          <w:i/>
          <w:iCs/>
        </w:rPr>
      </w:pPr>
      <w:r>
        <w:rPr>
          <w:rFonts w:ascii="宋体" w:cs="宋体"/>
          <w:i/>
          <w:iCs/>
          <w:position w:val="-22"/>
        </w:rPr>
        <w:object>
          <v:shape id="_x0000_i1026" o:spt="75" type="#_x0000_t75" style="height:30pt;width:141pt;" o:ole="t" filled="f" o:preferrelative="t" stroked="f" coordsize="21600,21600">
            <v:path/>
            <v:fill on="f" focussize="0,0"/>
            <v:stroke on="f" joinstyle="miter"/>
            <v:imagedata r:id="rId9" o:title="2"/>
            <o:lock v:ext="edit" aspectratio="t"/>
            <w10:wrap type="none"/>
            <w10:anchorlock/>
          </v:shape>
          <o:OLEObject Type="Embed" ProgID="Package" ShapeID="_x0000_i1026" DrawAspect="Content" ObjectID="_1468075726" r:id="rId8">
            <o:LockedField>false</o:LockedField>
          </o:OLEObject>
        </w:object>
      </w:r>
    </w:p>
    <w:p w14:paraId="0096B932">
      <w:pPr>
        <w:spacing w:before="156" w:beforeLines="50" w:after="156" w:afterLines="50"/>
        <w:jc w:val="left"/>
        <w:rPr>
          <w:sz w:val="18"/>
          <w:szCs w:val="18"/>
        </w:rPr>
      </w:pPr>
      <w:r>
        <w:rPr>
          <w:rFonts w:hint="eastAsia"/>
          <w:sz w:val="18"/>
          <w:szCs w:val="18"/>
        </w:rPr>
        <w:t>注：实验室内格拉布斯检验和等精度检验（柯克伦检验）采用的平均值为该实验室平均值，实验室间均值格拉布斯检验采用的平均值为实验室均值平均值。</w:t>
      </w:r>
    </w:p>
    <w:p w14:paraId="0A5DC326">
      <w:pPr>
        <w:pStyle w:val="53"/>
        <w:numPr>
          <w:ilvl w:val="2"/>
          <w:numId w:val="0"/>
        </w:numPr>
        <w:spacing w:before="156" w:after="156"/>
        <w:ind w:leftChars="0"/>
      </w:pPr>
      <w:r>
        <w:rPr>
          <w:rFonts w:hint="eastAsia"/>
        </w:rPr>
        <w:t>1</w:t>
      </w:r>
      <w:r>
        <w:t>.3</w:t>
      </w:r>
      <w:r>
        <w:rPr>
          <w:rFonts w:hint="eastAsia"/>
        </w:rPr>
        <w:t>重复性限和再现性限计算</w:t>
      </w:r>
    </w:p>
    <w:p w14:paraId="4A1446EC">
      <w:pPr>
        <w:pStyle w:val="51"/>
        <w:spacing w:line="360" w:lineRule="auto"/>
        <w:ind w:firstLine="420"/>
      </w:pPr>
      <w:r>
        <w:rPr>
          <w:rFonts w:hint="eastAsia"/>
        </w:rPr>
        <w:t>试验对</w:t>
      </w:r>
      <w:r>
        <w:rPr>
          <w:rFonts w:hint="eastAsia"/>
          <w:lang w:eastAsia="zh-CN"/>
        </w:rPr>
        <w:t>稀土金属及其氧化物</w:t>
      </w:r>
      <w:r>
        <w:rPr>
          <w:rFonts w:hint="eastAsia"/>
          <w:lang w:val="en-US" w:eastAsia="zh-CN"/>
        </w:rPr>
        <w:t>8</w:t>
      </w:r>
      <w:r>
        <w:rPr>
          <w:rFonts w:hint="eastAsia"/>
        </w:rPr>
        <w:t>个不同水平样品所有保留数据进行了重复性限和再现性限计算，计算结果见数据统计报告附件。</w:t>
      </w:r>
    </w:p>
    <w:p w14:paraId="0A4E492A">
      <w:pPr>
        <w:pStyle w:val="52"/>
        <w:numPr>
          <w:ilvl w:val="1"/>
          <w:numId w:val="0"/>
        </w:numPr>
        <w:spacing w:before="156" w:after="156"/>
        <w:ind w:leftChars="0"/>
      </w:pPr>
      <w:r>
        <w:rPr>
          <w:rFonts w:hint="eastAsia"/>
        </w:rPr>
        <w:t>2 结论</w:t>
      </w:r>
    </w:p>
    <w:p w14:paraId="7859945D">
      <w:pPr>
        <w:pStyle w:val="51"/>
        <w:spacing w:line="360" w:lineRule="auto"/>
        <w:ind w:firstLine="420"/>
      </w:pPr>
      <w:r>
        <w:rPr>
          <w:rFonts w:hint="eastAsia"/>
        </w:rPr>
        <w:t>本方法确定了</w:t>
      </w:r>
      <w:r>
        <w:rPr>
          <w:rFonts w:hint="eastAsia"/>
          <w:lang w:eastAsia="zh-CN"/>
        </w:rPr>
        <w:t>火焰原子吸收光谱法测定稀土金属及其氧化物中镁量</w:t>
      </w:r>
      <w:r>
        <w:rPr>
          <w:rFonts w:hint="eastAsia"/>
        </w:rPr>
        <w:t>测定的最佳分析条件，测定下限定为&lt;0.</w:t>
      </w:r>
      <w:r>
        <w:rPr>
          <w:rFonts w:hint="eastAsia"/>
          <w:lang w:val="en-US" w:eastAsia="zh-CN"/>
        </w:rPr>
        <w:t>0.005</w:t>
      </w:r>
      <w:r>
        <w:rPr>
          <w:rFonts w:hint="eastAsia"/>
        </w:rPr>
        <w:t>%。方法准确可靠，精密度和准确度均能满足分析的要求，建议推荐为</w:t>
      </w:r>
      <w:r>
        <w:rPr>
          <w:rFonts w:hint="eastAsia"/>
          <w:lang w:eastAsia="zh-CN"/>
        </w:rPr>
        <w:t>国家</w:t>
      </w:r>
      <w:r>
        <w:rPr>
          <w:rFonts w:hint="eastAsia"/>
        </w:rPr>
        <w:t>标准方法。</w:t>
      </w:r>
    </w:p>
    <w:p w14:paraId="61EDA278">
      <w:pPr>
        <w:pStyle w:val="51"/>
        <w:spacing w:line="360" w:lineRule="auto"/>
        <w:ind w:left="0" w:leftChars="0" w:firstLine="0" w:firstLineChars="0"/>
        <w:rPr>
          <w:rFonts w:hint="eastAsia" w:ascii="宋体" w:hAnsi="宋体" w:eastAsia="宋体" w:cs="宋体"/>
        </w:rPr>
      </w:pPr>
    </w:p>
    <w:p w14:paraId="7DB43BD7">
      <w:pPr>
        <w:numPr>
          <w:ilvl w:val="0"/>
          <w:numId w:val="4"/>
        </w:numPr>
        <w:bidi w:val="0"/>
        <w:spacing w:line="360" w:lineRule="auto"/>
        <w:rPr>
          <w:rFonts w:hint="eastAsia"/>
          <w:b/>
          <w:bCs/>
        </w:rPr>
      </w:pPr>
      <w:r>
        <w:rPr>
          <w:rFonts w:hint="eastAsia"/>
          <w:b/>
          <w:bCs/>
        </w:rPr>
        <w:t>技术经济论证，预期的经济效果</w:t>
      </w:r>
    </w:p>
    <w:p w14:paraId="4A0AFA79">
      <w:pPr>
        <w:pStyle w:val="51"/>
        <w:spacing w:line="360" w:lineRule="auto"/>
        <w:ind w:firstLine="420"/>
      </w:pPr>
      <w:r>
        <w:rPr>
          <w:rFonts w:hint="eastAsia"/>
        </w:rPr>
        <w:t>本文件编制过程中，考虑了样品的均匀性、样品分解酸用量及共存离子的干扰情况，从而确定了测定</w:t>
      </w:r>
      <w:r>
        <w:rPr>
          <w:rFonts w:hint="eastAsia"/>
          <w:lang w:eastAsia="zh-CN"/>
        </w:rPr>
        <w:t>火焰原子吸收光谱法测定镁量</w:t>
      </w:r>
      <w:r>
        <w:rPr>
          <w:rFonts w:hint="eastAsia"/>
        </w:rPr>
        <w:t>的最佳条件，该方法具有操作简便快捷、精密度和准确度高的优点。</w:t>
      </w:r>
    </w:p>
    <w:p w14:paraId="3626842F">
      <w:pPr>
        <w:pStyle w:val="51"/>
        <w:spacing w:line="360" w:lineRule="auto"/>
        <w:ind w:firstLine="420"/>
        <w:rPr>
          <w:rFonts w:hint="eastAsia"/>
          <w:b/>
          <w:bCs/>
        </w:rPr>
      </w:pPr>
      <w:r>
        <w:rPr>
          <w:rFonts w:hint="eastAsia"/>
        </w:rPr>
        <w:t>本文件颁布执行后，</w:t>
      </w:r>
      <w:r>
        <w:rPr>
          <w:rFonts w:hint="eastAsia"/>
          <w:lang w:eastAsia="zh-CN"/>
        </w:rPr>
        <w:t>可以更广泛的应用于稀土金属及其氧化物生产、贸易活动，为生产工艺调整、产品质量控制提供数据支撑，具有深远的社会效益和一定的经济效益。</w:t>
      </w:r>
    </w:p>
    <w:p w14:paraId="602B42DB">
      <w:pPr>
        <w:bidi w:val="0"/>
        <w:spacing w:line="360" w:lineRule="auto"/>
        <w:rPr>
          <w:rFonts w:hint="eastAsia"/>
          <w:b/>
          <w:bCs/>
        </w:rPr>
      </w:pPr>
      <w:r>
        <w:rPr>
          <w:rFonts w:hint="eastAsia"/>
          <w:b/>
          <w:bCs/>
          <w:lang w:eastAsia="zh-CN"/>
        </w:rPr>
        <w:t>四、</w:t>
      </w:r>
      <w:r>
        <w:rPr>
          <w:rFonts w:hint="eastAsia"/>
          <w:b/>
          <w:bCs/>
        </w:rPr>
        <w:t>采标情况，以及是否合规引用或采用国际国外标准</w:t>
      </w:r>
    </w:p>
    <w:p w14:paraId="5C286404">
      <w:pPr>
        <w:bidi w:val="0"/>
        <w:spacing w:line="360" w:lineRule="auto"/>
        <w:rPr>
          <w:rFonts w:hint="eastAsia"/>
        </w:rPr>
      </w:pPr>
      <w:r>
        <w:rPr>
          <w:rFonts w:hint="eastAsia"/>
        </w:rPr>
        <w:t xml:space="preserve">   经查，国外无相同类型的标准。本标准未采用（包括等同采用、修改采用及非等效采用）国际标准或国外先进标准。</w:t>
      </w:r>
    </w:p>
    <w:p w14:paraId="7C821235">
      <w:pPr>
        <w:bidi w:val="0"/>
        <w:spacing w:line="360" w:lineRule="auto"/>
        <w:rPr>
          <w:rFonts w:hint="eastAsia"/>
          <w:b/>
          <w:bCs/>
        </w:rPr>
      </w:pPr>
      <w:r>
        <w:rPr>
          <w:rFonts w:hint="eastAsia"/>
          <w:b/>
          <w:bCs/>
          <w:lang w:eastAsia="zh-CN"/>
        </w:rPr>
        <w:t>五、</w:t>
      </w:r>
      <w:r>
        <w:rPr>
          <w:rFonts w:hint="eastAsia"/>
          <w:b/>
          <w:bCs/>
        </w:rPr>
        <w:t>与有关法律、法规的关系</w:t>
      </w:r>
    </w:p>
    <w:p w14:paraId="1163B6D3">
      <w:pPr>
        <w:bidi w:val="0"/>
        <w:spacing w:line="360" w:lineRule="auto"/>
        <w:ind w:firstLine="420" w:firstLineChars="200"/>
        <w:rPr>
          <w:rFonts w:hint="eastAsia"/>
        </w:rPr>
      </w:pPr>
      <w:r>
        <w:rPr>
          <w:rFonts w:hint="eastAsia"/>
        </w:rPr>
        <w:t>本</w:t>
      </w:r>
      <w:r>
        <w:rPr>
          <w:rFonts w:hint="eastAsia"/>
          <w:lang w:eastAsia="zh-CN"/>
        </w:rPr>
        <w:t>方法</w:t>
      </w:r>
      <w:r>
        <w:rPr>
          <w:rFonts w:hint="eastAsia"/>
        </w:rPr>
        <w:t>与有关的现行法律、法规和强制性国家标准没有冲突。</w:t>
      </w:r>
    </w:p>
    <w:p w14:paraId="5A5E8DD6">
      <w:pPr>
        <w:bidi w:val="0"/>
        <w:spacing w:line="360" w:lineRule="auto"/>
        <w:ind w:firstLine="420" w:firstLineChars="200"/>
        <w:rPr>
          <w:rFonts w:hint="eastAsia"/>
        </w:rPr>
      </w:pPr>
      <w:r>
        <w:rPr>
          <w:rFonts w:hint="eastAsia"/>
        </w:rPr>
        <w:t>本</w:t>
      </w:r>
      <w:r>
        <w:rPr>
          <w:rFonts w:hint="eastAsia"/>
          <w:lang w:eastAsia="zh-CN"/>
        </w:rPr>
        <w:t>方法除与本系列标准存在部分重复交叉外，</w:t>
      </w:r>
      <w:r>
        <w:rPr>
          <w:rFonts w:hint="eastAsia"/>
        </w:rPr>
        <w:t>与</w:t>
      </w:r>
      <w:r>
        <w:rPr>
          <w:rFonts w:hint="eastAsia"/>
          <w:lang w:eastAsia="zh-CN"/>
        </w:rPr>
        <w:t>其他</w:t>
      </w:r>
      <w:r>
        <w:rPr>
          <w:rFonts w:hint="eastAsia"/>
        </w:rPr>
        <w:t>标准无重复交叉情况。</w:t>
      </w:r>
    </w:p>
    <w:p w14:paraId="3A9BD464">
      <w:pPr>
        <w:bidi w:val="0"/>
        <w:spacing w:line="360" w:lineRule="auto"/>
        <w:rPr>
          <w:rFonts w:hint="eastAsia"/>
          <w:b/>
          <w:bCs/>
        </w:rPr>
      </w:pPr>
      <w:r>
        <w:rPr>
          <w:rFonts w:hint="eastAsia"/>
          <w:b/>
          <w:bCs/>
          <w:lang w:eastAsia="zh-CN"/>
        </w:rPr>
        <w:t>六、</w:t>
      </w:r>
      <w:r>
        <w:rPr>
          <w:rFonts w:hint="eastAsia"/>
          <w:b/>
          <w:bCs/>
        </w:rPr>
        <w:t>重大分歧意见的处理和依据</w:t>
      </w:r>
    </w:p>
    <w:p w14:paraId="78FFBF3A">
      <w:pPr>
        <w:bidi w:val="0"/>
        <w:spacing w:line="360" w:lineRule="auto"/>
        <w:ind w:firstLine="420" w:firstLineChars="200"/>
        <w:rPr>
          <w:rFonts w:hint="eastAsia"/>
        </w:rPr>
      </w:pPr>
      <w:r>
        <w:rPr>
          <w:rFonts w:hint="eastAsia"/>
        </w:rPr>
        <w:t>编制组严格按既定编制原则进行编写，本文件起草过程中未发生重大的分歧意见。</w:t>
      </w:r>
    </w:p>
    <w:p w14:paraId="1E07C6A7">
      <w:pPr>
        <w:bidi w:val="0"/>
        <w:spacing w:line="360" w:lineRule="auto"/>
        <w:rPr>
          <w:rFonts w:hint="eastAsia"/>
          <w:b/>
          <w:bCs/>
        </w:rPr>
      </w:pPr>
      <w:r>
        <w:rPr>
          <w:rFonts w:hint="eastAsia"/>
          <w:b/>
          <w:bCs/>
          <w:lang w:eastAsia="zh-CN"/>
        </w:rPr>
        <w:t>七、</w:t>
      </w:r>
      <w:r>
        <w:rPr>
          <w:rFonts w:hint="eastAsia"/>
          <w:b/>
          <w:bCs/>
        </w:rPr>
        <w:t>标准中涉及专利的情况</w:t>
      </w:r>
    </w:p>
    <w:p w14:paraId="4C5E5A21">
      <w:pPr>
        <w:spacing w:line="360" w:lineRule="auto"/>
        <w:ind w:left="420"/>
        <w:rPr>
          <w:rFonts w:hint="eastAsia" w:ascii="宋体" w:hAnsi="宋体" w:eastAsia="宋体" w:cs="宋体"/>
          <w:sz w:val="21"/>
          <w:szCs w:val="21"/>
        </w:rPr>
      </w:pPr>
      <w:r>
        <w:rPr>
          <w:rFonts w:hint="eastAsia" w:ascii="宋体" w:hAnsi="宋体" w:eastAsia="宋体" w:cs="宋体"/>
          <w:sz w:val="21"/>
          <w:szCs w:val="21"/>
        </w:rPr>
        <w:t>本文件不涉及专利问题。</w:t>
      </w:r>
    </w:p>
    <w:p w14:paraId="7E465BCF">
      <w:pPr>
        <w:numPr>
          <w:ilvl w:val="0"/>
          <w:numId w:val="0"/>
        </w:numPr>
        <w:spacing w:line="360" w:lineRule="auto"/>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八、标准性质的建议说明</w:t>
      </w:r>
    </w:p>
    <w:p w14:paraId="4ACDB614">
      <w:pPr>
        <w:numPr>
          <w:ilvl w:val="0"/>
          <w:numId w:val="0"/>
        </w:num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  建议本标准的性质为推荐性国家标准</w:t>
      </w:r>
    </w:p>
    <w:p w14:paraId="4CC9437A">
      <w:pPr>
        <w:spacing w:line="360" w:lineRule="auto"/>
        <w:rPr>
          <w:rFonts w:hint="eastAsia" w:ascii="宋体" w:hAnsi="宋体" w:eastAsia="宋体" w:cs="宋体"/>
          <w:b/>
          <w:bCs w:val="0"/>
          <w:sz w:val="21"/>
          <w:szCs w:val="21"/>
        </w:rPr>
      </w:pPr>
      <w:r>
        <w:rPr>
          <w:rFonts w:hint="eastAsia" w:ascii="宋体" w:hAnsi="宋体" w:eastAsia="宋体" w:cs="宋体"/>
          <w:b/>
          <w:bCs w:val="0"/>
          <w:sz w:val="21"/>
          <w:szCs w:val="21"/>
          <w:lang w:eastAsia="zh-CN"/>
        </w:rPr>
        <w:t>九、</w:t>
      </w:r>
      <w:r>
        <w:rPr>
          <w:rFonts w:hint="eastAsia" w:ascii="宋体" w:hAnsi="宋体" w:eastAsia="宋体" w:cs="宋体"/>
          <w:b/>
          <w:bCs w:val="0"/>
          <w:sz w:val="21"/>
          <w:szCs w:val="21"/>
        </w:rPr>
        <w:t>贯彻国家标准的要求，</w:t>
      </w:r>
      <w:r>
        <w:rPr>
          <w:rFonts w:hint="eastAsia" w:ascii="宋体" w:hAnsi="宋体" w:eastAsia="宋体" w:cs="宋体"/>
          <w:b/>
          <w:bCs w:val="0"/>
          <w:sz w:val="21"/>
          <w:szCs w:val="21"/>
          <w:lang w:eastAsia="zh-CN"/>
        </w:rPr>
        <w:t>和</w:t>
      </w:r>
      <w:r>
        <w:rPr>
          <w:rFonts w:hint="eastAsia" w:ascii="宋体" w:hAnsi="宋体" w:eastAsia="宋体" w:cs="宋体"/>
          <w:b/>
          <w:bCs w:val="0"/>
          <w:sz w:val="21"/>
          <w:szCs w:val="21"/>
        </w:rPr>
        <w:t>措施建议</w:t>
      </w:r>
    </w:p>
    <w:p w14:paraId="4D83262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1、在实施前保证标准文本能及时做到全文公开，使每个生产企业及检测机构等都能及时获取文本内容信息，这是保证新标准贯彻实施的基础。</w:t>
      </w:r>
    </w:p>
    <w:p w14:paraId="3B5A87D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2、建议稀土产品的生产和检测单位积极组织本标准的学习与宣贯，可向企业、公司和科研院校（所）推荐本标准。</w:t>
      </w:r>
    </w:p>
    <w:p w14:paraId="19D04320">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3、利用行业协会、网络平台、微信公众号等推广本标准的贯彻使用。</w:t>
      </w:r>
    </w:p>
    <w:p w14:paraId="58A1C75F">
      <w:pPr>
        <w:adjustRightInd w:val="0"/>
        <w:snapToGrid w:val="0"/>
        <w:spacing w:line="48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十、废止现行有关标准的建议</w:t>
      </w:r>
    </w:p>
    <w:p w14:paraId="425D7669">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本标准发布实施之日起，旧版本自然废止。</w:t>
      </w:r>
    </w:p>
    <w:p w14:paraId="097A9B20">
      <w:pPr>
        <w:numPr>
          <w:ilvl w:val="0"/>
          <w:numId w:val="0"/>
        </w:numPr>
        <w:spacing w:line="360" w:lineRule="auto"/>
        <w:rPr>
          <w:rFonts w:hint="eastAsia" w:asciiTheme="minorEastAsia" w:hAnsiTheme="minorEastAsia" w:eastAsiaTheme="minorEastAsia"/>
          <w:lang w:val="en-US" w:eastAsia="zh-CN"/>
        </w:rPr>
      </w:pPr>
    </w:p>
    <w:p w14:paraId="79D5EB07">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 xml:space="preserve">                                  </w:t>
      </w:r>
    </w:p>
    <w:p w14:paraId="0A6F1707">
      <w:pPr>
        <w:adjustRightInd w:val="0"/>
        <w:snapToGrid w:val="0"/>
        <w:spacing w:line="360" w:lineRule="auto"/>
        <w:ind w:firstLine="420" w:firstLineChars="200"/>
        <w:rPr>
          <w:rFonts w:ascii="Arial" w:hAnsi="Arial" w:cs="Arial" w:eastAsiaTheme="minorEastAsia"/>
          <w:color w:val="C00000"/>
          <w:szCs w:val="21"/>
        </w:rPr>
      </w:pPr>
      <w:r>
        <w:rPr>
          <w:rFonts w:ascii="Arial" w:hAnsi="Arial" w:cs="Arial" w:eastAsiaTheme="minorEastAsia"/>
          <w:color w:val="C00000"/>
          <w:szCs w:val="21"/>
        </w:rPr>
        <w:t xml:space="preserve">  </w:t>
      </w:r>
    </w:p>
    <w:p w14:paraId="5D7511C7">
      <w:pPr>
        <w:adjustRightInd w:val="0"/>
        <w:snapToGrid w:val="0"/>
        <w:spacing w:line="360" w:lineRule="auto"/>
        <w:rPr>
          <w:rFonts w:ascii="Arial" w:hAnsi="Arial" w:cs="Arial" w:eastAsiaTheme="minorEastAsia"/>
          <w:szCs w:val="21"/>
        </w:rPr>
      </w:pPr>
    </w:p>
    <w:p w14:paraId="074784C7">
      <w:pPr>
        <w:adjustRightInd w:val="0"/>
        <w:snapToGrid w:val="0"/>
        <w:spacing w:line="360" w:lineRule="auto"/>
        <w:jc w:val="right"/>
        <w:rPr>
          <w:rFonts w:ascii="Arial" w:hAnsi="Arial" w:cs="Arial" w:eastAsiaTheme="minorEastAsia"/>
          <w:szCs w:val="21"/>
        </w:rPr>
      </w:pPr>
      <w:r>
        <w:rPr>
          <w:rFonts w:hint="eastAsia" w:ascii="Arial" w:hAnsi="Arial" w:cs="Arial" w:eastAsiaTheme="minorEastAsia"/>
          <w:szCs w:val="21"/>
          <w:lang w:val="en-US" w:eastAsia="zh-CN"/>
        </w:rPr>
        <w:t xml:space="preserve">                </w:t>
      </w:r>
      <w:r>
        <w:rPr>
          <w:rFonts w:ascii="Arial" w:hAnsi="Arial" w:cs="Arial" w:eastAsiaTheme="minorEastAsia"/>
          <w:szCs w:val="21"/>
        </w:rPr>
        <w:t>江阴加华新材料资源有限公司</w:t>
      </w:r>
    </w:p>
    <w:p w14:paraId="49EB49CF">
      <w:pPr>
        <w:adjustRightInd w:val="0"/>
        <w:snapToGrid w:val="0"/>
        <w:spacing w:line="360" w:lineRule="auto"/>
        <w:ind w:left="2310" w:leftChars="1100"/>
        <w:jc w:val="right"/>
        <w:rPr>
          <w:rFonts w:hint="eastAsia" w:ascii="Arial" w:hAnsi="Arial" w:cs="Arial" w:eastAsiaTheme="minorEastAsia"/>
          <w:szCs w:val="21"/>
          <w:highlight w:val="none"/>
        </w:rPr>
      </w:pPr>
      <w:r>
        <w:rPr>
          <w:rFonts w:hint="eastAsia" w:ascii="Arial" w:hAnsi="Arial" w:cs="Arial" w:eastAsiaTheme="minorEastAsia"/>
          <w:szCs w:val="21"/>
          <w:highlight w:val="none"/>
          <w:lang w:val="en-US" w:eastAsia="zh-CN"/>
        </w:rPr>
        <w:t>2024</w:t>
      </w:r>
      <w:r>
        <w:rPr>
          <w:rFonts w:ascii="Arial" w:hAnsi="Arial" w:cs="Arial" w:eastAsiaTheme="minorEastAsia"/>
          <w:szCs w:val="21"/>
          <w:highlight w:val="none"/>
        </w:rPr>
        <w:t>年</w:t>
      </w:r>
      <w:r>
        <w:rPr>
          <w:rFonts w:hint="eastAsia" w:ascii="Arial" w:hAnsi="Arial" w:cs="Arial" w:eastAsiaTheme="minorEastAsia"/>
          <w:szCs w:val="21"/>
          <w:highlight w:val="none"/>
          <w:lang w:val="en-US" w:eastAsia="zh-CN"/>
        </w:rPr>
        <w:t>10</w:t>
      </w:r>
      <w:r>
        <w:rPr>
          <w:rFonts w:ascii="Arial" w:hAnsi="Arial" w:cs="Arial" w:eastAsiaTheme="minorEastAsia"/>
          <w:szCs w:val="21"/>
          <w:highlight w:val="none"/>
        </w:rPr>
        <w:t>月</w:t>
      </w:r>
    </w:p>
    <w:sectPr>
      <w:headerReference r:id="rId3" w:type="default"/>
      <w:footerReference r:id="rId4" w:type="default"/>
      <w:pgSz w:w="11906" w:h="16838"/>
      <w:pgMar w:top="1417" w:right="1134"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AC07D">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28BEDF2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28BEDF2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39A0D">
    <w:pPr>
      <w:pStyle w:val="24"/>
      <w:jc w:val="center"/>
      <w:rPr>
        <w:rFonts w:ascii="宋体" w:hAns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F5A51"/>
    <w:multiLevelType w:val="multilevel"/>
    <w:tmpl w:val="13EF5A51"/>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1">
    <w:nsid w:val="24E1C35A"/>
    <w:multiLevelType w:val="singleLevel"/>
    <w:tmpl w:val="24E1C35A"/>
    <w:lvl w:ilvl="0" w:tentative="0">
      <w:start w:val="3"/>
      <w:numFmt w:val="chineseCounting"/>
      <w:suff w:val="nothing"/>
      <w:lvlText w:val="%1、"/>
      <w:lvlJc w:val="left"/>
      <w:rPr>
        <w:rFonts w:hint="eastAsia"/>
      </w:rPr>
    </w:lvl>
  </w:abstractNum>
  <w:abstractNum w:abstractNumId="2">
    <w:nsid w:val="3F834055"/>
    <w:multiLevelType w:val="multilevel"/>
    <w:tmpl w:val="3F834055"/>
    <w:lvl w:ilvl="0" w:tentative="0">
      <w:start w:val="1"/>
      <w:numFmt w:val="decimal"/>
      <w:pStyle w:val="1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232A0B9"/>
    <w:multiLevelType w:val="singleLevel"/>
    <w:tmpl w:val="4232A0B9"/>
    <w:lvl w:ilvl="0" w:tentative="0">
      <w:start w:val="3"/>
      <w:numFmt w:val="decimal"/>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jZjQ1YjY5MmZmYjUwZDRjMmU0NDA2ZTkwNTRkYTUifQ=="/>
  </w:docVars>
  <w:rsids>
    <w:rsidRoot w:val="00172A27"/>
    <w:rsid w:val="000151FB"/>
    <w:rsid w:val="00031540"/>
    <w:rsid w:val="0003620D"/>
    <w:rsid w:val="0003752B"/>
    <w:rsid w:val="00055E11"/>
    <w:rsid w:val="00084F6C"/>
    <w:rsid w:val="00090371"/>
    <w:rsid w:val="00093B2B"/>
    <w:rsid w:val="000C5D93"/>
    <w:rsid w:val="000D34C6"/>
    <w:rsid w:val="000E3E67"/>
    <w:rsid w:val="000E652D"/>
    <w:rsid w:val="00105A46"/>
    <w:rsid w:val="001126DC"/>
    <w:rsid w:val="00115644"/>
    <w:rsid w:val="00123CC8"/>
    <w:rsid w:val="0014145D"/>
    <w:rsid w:val="0014333F"/>
    <w:rsid w:val="001613DF"/>
    <w:rsid w:val="00172A27"/>
    <w:rsid w:val="001840AE"/>
    <w:rsid w:val="00187251"/>
    <w:rsid w:val="00194092"/>
    <w:rsid w:val="00194C0B"/>
    <w:rsid w:val="001B34A2"/>
    <w:rsid w:val="001C139A"/>
    <w:rsid w:val="001D3658"/>
    <w:rsid w:val="001D7B82"/>
    <w:rsid w:val="001F0052"/>
    <w:rsid w:val="001F4B87"/>
    <w:rsid w:val="002363FB"/>
    <w:rsid w:val="0024004C"/>
    <w:rsid w:val="00241605"/>
    <w:rsid w:val="00246000"/>
    <w:rsid w:val="002475F3"/>
    <w:rsid w:val="002567BF"/>
    <w:rsid w:val="00257C88"/>
    <w:rsid w:val="002653F7"/>
    <w:rsid w:val="00270CA7"/>
    <w:rsid w:val="002719A3"/>
    <w:rsid w:val="002750FE"/>
    <w:rsid w:val="00294C5A"/>
    <w:rsid w:val="002A076D"/>
    <w:rsid w:val="002A658F"/>
    <w:rsid w:val="002A7676"/>
    <w:rsid w:val="002B219D"/>
    <w:rsid w:val="002E33CC"/>
    <w:rsid w:val="00307343"/>
    <w:rsid w:val="0031156B"/>
    <w:rsid w:val="00313DC5"/>
    <w:rsid w:val="00316940"/>
    <w:rsid w:val="003327CC"/>
    <w:rsid w:val="00333239"/>
    <w:rsid w:val="00337709"/>
    <w:rsid w:val="003440F6"/>
    <w:rsid w:val="003564C5"/>
    <w:rsid w:val="00365717"/>
    <w:rsid w:val="00366D8B"/>
    <w:rsid w:val="00380586"/>
    <w:rsid w:val="0038102B"/>
    <w:rsid w:val="003B7591"/>
    <w:rsid w:val="003C39AD"/>
    <w:rsid w:val="003D276D"/>
    <w:rsid w:val="003E5FFA"/>
    <w:rsid w:val="003E777C"/>
    <w:rsid w:val="003F3093"/>
    <w:rsid w:val="003F7982"/>
    <w:rsid w:val="00406CCD"/>
    <w:rsid w:val="00407F2C"/>
    <w:rsid w:val="00423F52"/>
    <w:rsid w:val="00426158"/>
    <w:rsid w:val="00431C8B"/>
    <w:rsid w:val="00431F35"/>
    <w:rsid w:val="004441B4"/>
    <w:rsid w:val="0049266B"/>
    <w:rsid w:val="004B6BF3"/>
    <w:rsid w:val="004C108A"/>
    <w:rsid w:val="004C2BDF"/>
    <w:rsid w:val="004D6F24"/>
    <w:rsid w:val="004E2845"/>
    <w:rsid w:val="004E4B84"/>
    <w:rsid w:val="004E665F"/>
    <w:rsid w:val="004F3A42"/>
    <w:rsid w:val="004F6DE0"/>
    <w:rsid w:val="004F78CF"/>
    <w:rsid w:val="004F7F2A"/>
    <w:rsid w:val="00504940"/>
    <w:rsid w:val="00515C52"/>
    <w:rsid w:val="00523422"/>
    <w:rsid w:val="005262A2"/>
    <w:rsid w:val="00535035"/>
    <w:rsid w:val="005373FC"/>
    <w:rsid w:val="005424C8"/>
    <w:rsid w:val="005452F1"/>
    <w:rsid w:val="00545B49"/>
    <w:rsid w:val="00545D27"/>
    <w:rsid w:val="00553B5F"/>
    <w:rsid w:val="00557E92"/>
    <w:rsid w:val="00560356"/>
    <w:rsid w:val="00577FE0"/>
    <w:rsid w:val="00581286"/>
    <w:rsid w:val="00584DFB"/>
    <w:rsid w:val="005953A8"/>
    <w:rsid w:val="005D3950"/>
    <w:rsid w:val="005D43BB"/>
    <w:rsid w:val="005E0567"/>
    <w:rsid w:val="005E27CA"/>
    <w:rsid w:val="005F565A"/>
    <w:rsid w:val="006045D2"/>
    <w:rsid w:val="00620304"/>
    <w:rsid w:val="00632275"/>
    <w:rsid w:val="006574B4"/>
    <w:rsid w:val="00663834"/>
    <w:rsid w:val="00665B8E"/>
    <w:rsid w:val="006722B1"/>
    <w:rsid w:val="00684F16"/>
    <w:rsid w:val="00686528"/>
    <w:rsid w:val="006929FE"/>
    <w:rsid w:val="00696347"/>
    <w:rsid w:val="006A0152"/>
    <w:rsid w:val="006A1BF5"/>
    <w:rsid w:val="006B230B"/>
    <w:rsid w:val="006B2D6C"/>
    <w:rsid w:val="006D075D"/>
    <w:rsid w:val="006D12C8"/>
    <w:rsid w:val="006E00E9"/>
    <w:rsid w:val="006E620B"/>
    <w:rsid w:val="006F1240"/>
    <w:rsid w:val="006F27E1"/>
    <w:rsid w:val="00713C7D"/>
    <w:rsid w:val="00725379"/>
    <w:rsid w:val="00730B5F"/>
    <w:rsid w:val="00732F2F"/>
    <w:rsid w:val="00734853"/>
    <w:rsid w:val="00742BF6"/>
    <w:rsid w:val="007730CB"/>
    <w:rsid w:val="007803ED"/>
    <w:rsid w:val="00780A76"/>
    <w:rsid w:val="00782AE5"/>
    <w:rsid w:val="00786ED1"/>
    <w:rsid w:val="00794176"/>
    <w:rsid w:val="00794342"/>
    <w:rsid w:val="007975D9"/>
    <w:rsid w:val="007A3483"/>
    <w:rsid w:val="007C0F87"/>
    <w:rsid w:val="007D14BE"/>
    <w:rsid w:val="007D4FF1"/>
    <w:rsid w:val="007E2B27"/>
    <w:rsid w:val="007E5907"/>
    <w:rsid w:val="007F1BBC"/>
    <w:rsid w:val="00801CB0"/>
    <w:rsid w:val="008027E6"/>
    <w:rsid w:val="008339BC"/>
    <w:rsid w:val="00834746"/>
    <w:rsid w:val="0084092D"/>
    <w:rsid w:val="00880C56"/>
    <w:rsid w:val="00894C5A"/>
    <w:rsid w:val="008A089D"/>
    <w:rsid w:val="008B0905"/>
    <w:rsid w:val="008B193B"/>
    <w:rsid w:val="008B4E8D"/>
    <w:rsid w:val="008C2D86"/>
    <w:rsid w:val="00902B5E"/>
    <w:rsid w:val="0091382C"/>
    <w:rsid w:val="00913845"/>
    <w:rsid w:val="00913ACD"/>
    <w:rsid w:val="0091492A"/>
    <w:rsid w:val="00916360"/>
    <w:rsid w:val="0092417E"/>
    <w:rsid w:val="00937FFE"/>
    <w:rsid w:val="009460E5"/>
    <w:rsid w:val="009557C0"/>
    <w:rsid w:val="00967AEA"/>
    <w:rsid w:val="0099649E"/>
    <w:rsid w:val="009A6391"/>
    <w:rsid w:val="009C2CA1"/>
    <w:rsid w:val="009D0198"/>
    <w:rsid w:val="009E159E"/>
    <w:rsid w:val="009E348B"/>
    <w:rsid w:val="009E6132"/>
    <w:rsid w:val="009F5E0E"/>
    <w:rsid w:val="00A06995"/>
    <w:rsid w:val="00A0703E"/>
    <w:rsid w:val="00A32562"/>
    <w:rsid w:val="00A9151E"/>
    <w:rsid w:val="00A97CF7"/>
    <w:rsid w:val="00AB58C3"/>
    <w:rsid w:val="00AB5F2F"/>
    <w:rsid w:val="00AC2A44"/>
    <w:rsid w:val="00AD636E"/>
    <w:rsid w:val="00AE4AF9"/>
    <w:rsid w:val="00AF6071"/>
    <w:rsid w:val="00B02B3A"/>
    <w:rsid w:val="00B05BF4"/>
    <w:rsid w:val="00B07BB1"/>
    <w:rsid w:val="00B158FF"/>
    <w:rsid w:val="00B17F9F"/>
    <w:rsid w:val="00B21A9C"/>
    <w:rsid w:val="00B21AB0"/>
    <w:rsid w:val="00B26F3B"/>
    <w:rsid w:val="00B30A9C"/>
    <w:rsid w:val="00B317E3"/>
    <w:rsid w:val="00B35ACF"/>
    <w:rsid w:val="00B47471"/>
    <w:rsid w:val="00B575D6"/>
    <w:rsid w:val="00B62372"/>
    <w:rsid w:val="00B63AFF"/>
    <w:rsid w:val="00B66D45"/>
    <w:rsid w:val="00B74A46"/>
    <w:rsid w:val="00B76180"/>
    <w:rsid w:val="00B83585"/>
    <w:rsid w:val="00B872C3"/>
    <w:rsid w:val="00BB6D5A"/>
    <w:rsid w:val="00BB71D8"/>
    <w:rsid w:val="00BD52B2"/>
    <w:rsid w:val="00BD5A15"/>
    <w:rsid w:val="00BF2862"/>
    <w:rsid w:val="00BF687D"/>
    <w:rsid w:val="00C03180"/>
    <w:rsid w:val="00C50DC8"/>
    <w:rsid w:val="00C5557B"/>
    <w:rsid w:val="00C62B4A"/>
    <w:rsid w:val="00C67C5A"/>
    <w:rsid w:val="00C7291D"/>
    <w:rsid w:val="00C72CCA"/>
    <w:rsid w:val="00C770A5"/>
    <w:rsid w:val="00C80E76"/>
    <w:rsid w:val="00C87D9D"/>
    <w:rsid w:val="00CB6C93"/>
    <w:rsid w:val="00CC0BDD"/>
    <w:rsid w:val="00CF7316"/>
    <w:rsid w:val="00D04AA9"/>
    <w:rsid w:val="00D24E83"/>
    <w:rsid w:val="00D3145E"/>
    <w:rsid w:val="00D35793"/>
    <w:rsid w:val="00D574A7"/>
    <w:rsid w:val="00D70D72"/>
    <w:rsid w:val="00D92927"/>
    <w:rsid w:val="00D955C2"/>
    <w:rsid w:val="00DA1FEA"/>
    <w:rsid w:val="00DA451D"/>
    <w:rsid w:val="00DB2885"/>
    <w:rsid w:val="00DF0E0D"/>
    <w:rsid w:val="00DF5878"/>
    <w:rsid w:val="00DF74D3"/>
    <w:rsid w:val="00DF7D99"/>
    <w:rsid w:val="00E225D5"/>
    <w:rsid w:val="00E315CB"/>
    <w:rsid w:val="00E41F9B"/>
    <w:rsid w:val="00E449AE"/>
    <w:rsid w:val="00E56EF9"/>
    <w:rsid w:val="00E70191"/>
    <w:rsid w:val="00E74D19"/>
    <w:rsid w:val="00E81238"/>
    <w:rsid w:val="00E90480"/>
    <w:rsid w:val="00EB3281"/>
    <w:rsid w:val="00ED1E6D"/>
    <w:rsid w:val="00ED504F"/>
    <w:rsid w:val="00EE7204"/>
    <w:rsid w:val="00F035D7"/>
    <w:rsid w:val="00F12DF2"/>
    <w:rsid w:val="00F15B3E"/>
    <w:rsid w:val="00F212D7"/>
    <w:rsid w:val="00F22989"/>
    <w:rsid w:val="00F248C2"/>
    <w:rsid w:val="00F33D3C"/>
    <w:rsid w:val="00F37C4E"/>
    <w:rsid w:val="00F40E11"/>
    <w:rsid w:val="00F41098"/>
    <w:rsid w:val="00F43409"/>
    <w:rsid w:val="00F464AA"/>
    <w:rsid w:val="00F519CA"/>
    <w:rsid w:val="00F52343"/>
    <w:rsid w:val="00F533E2"/>
    <w:rsid w:val="00F7117D"/>
    <w:rsid w:val="00F773A4"/>
    <w:rsid w:val="00F85194"/>
    <w:rsid w:val="00FA2CC6"/>
    <w:rsid w:val="00FB19F7"/>
    <w:rsid w:val="00FB46FE"/>
    <w:rsid w:val="00FC53F8"/>
    <w:rsid w:val="00FC5F78"/>
    <w:rsid w:val="00FC6F28"/>
    <w:rsid w:val="00FE6662"/>
    <w:rsid w:val="05043922"/>
    <w:rsid w:val="0588119A"/>
    <w:rsid w:val="0B6A5B9D"/>
    <w:rsid w:val="0F2B249C"/>
    <w:rsid w:val="0F504095"/>
    <w:rsid w:val="10C443E9"/>
    <w:rsid w:val="11E95D14"/>
    <w:rsid w:val="11F77C06"/>
    <w:rsid w:val="12163310"/>
    <w:rsid w:val="12C00E0A"/>
    <w:rsid w:val="16284BB2"/>
    <w:rsid w:val="1A4E272A"/>
    <w:rsid w:val="1C46362C"/>
    <w:rsid w:val="1C77571D"/>
    <w:rsid w:val="1EFB665C"/>
    <w:rsid w:val="20145BB0"/>
    <w:rsid w:val="228379AC"/>
    <w:rsid w:val="22C719ED"/>
    <w:rsid w:val="25E03518"/>
    <w:rsid w:val="299C7B30"/>
    <w:rsid w:val="29FD79D6"/>
    <w:rsid w:val="2DE52949"/>
    <w:rsid w:val="2EEC70D0"/>
    <w:rsid w:val="2EF03A14"/>
    <w:rsid w:val="2FCA25D5"/>
    <w:rsid w:val="390E5F29"/>
    <w:rsid w:val="394E07F0"/>
    <w:rsid w:val="3A883B83"/>
    <w:rsid w:val="401A7F78"/>
    <w:rsid w:val="419C74B1"/>
    <w:rsid w:val="44CC63EF"/>
    <w:rsid w:val="45116DF1"/>
    <w:rsid w:val="470C0B70"/>
    <w:rsid w:val="480A0199"/>
    <w:rsid w:val="4D4437BF"/>
    <w:rsid w:val="4E8D0FEE"/>
    <w:rsid w:val="522F02E8"/>
    <w:rsid w:val="58F1392A"/>
    <w:rsid w:val="5A7528BA"/>
    <w:rsid w:val="5ACB1A0A"/>
    <w:rsid w:val="5F6704AD"/>
    <w:rsid w:val="60216624"/>
    <w:rsid w:val="61C9310E"/>
    <w:rsid w:val="650D77A3"/>
    <w:rsid w:val="65A35E5C"/>
    <w:rsid w:val="68DB0E11"/>
    <w:rsid w:val="6DE035C6"/>
    <w:rsid w:val="6F1F72A8"/>
    <w:rsid w:val="6FA618CA"/>
    <w:rsid w:val="70727520"/>
    <w:rsid w:val="709C5469"/>
    <w:rsid w:val="74B82BA7"/>
    <w:rsid w:val="74DF1ABC"/>
    <w:rsid w:val="74E43B12"/>
    <w:rsid w:val="76F77DB4"/>
    <w:rsid w:val="776158EB"/>
    <w:rsid w:val="7C6763E6"/>
    <w:rsid w:val="7D4B76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9"/>
    <w:qFormat/>
    <w:uiPriority w:val="9"/>
    <w:pPr>
      <w:keepNext/>
      <w:keepLines/>
      <w:numPr>
        <w:ilvl w:val="0"/>
        <w:numId w:val="1"/>
      </w:numPr>
      <w:spacing w:before="340" w:after="330" w:line="578" w:lineRule="auto"/>
      <w:outlineLvl w:val="0"/>
    </w:pPr>
    <w:rPr>
      <w:rFonts w:eastAsia="黑体"/>
      <w:bCs/>
      <w:kern w:val="44"/>
      <w:sz w:val="24"/>
      <w:szCs w:val="44"/>
    </w:rPr>
  </w:style>
  <w:style w:type="paragraph" w:styleId="3">
    <w:name w:val="heading 2"/>
    <w:basedOn w:val="1"/>
    <w:next w:val="1"/>
    <w:link w:val="40"/>
    <w:unhideWhenUsed/>
    <w:qFormat/>
    <w:uiPriority w:val="9"/>
    <w:pPr>
      <w:keepNext/>
      <w:keepLines/>
      <w:numPr>
        <w:ilvl w:val="1"/>
        <w:numId w:val="1"/>
      </w:numPr>
      <w:spacing w:before="260" w:after="260" w:line="416" w:lineRule="auto"/>
      <w:outlineLvl w:val="1"/>
    </w:pPr>
    <w:rPr>
      <w:rFonts w:eastAsia="黑体" w:asciiTheme="majorHAnsi" w:hAnsiTheme="majorHAnsi" w:cstheme="majorBidi"/>
      <w:bCs/>
      <w:sz w:val="24"/>
      <w:szCs w:val="32"/>
    </w:rPr>
  </w:style>
  <w:style w:type="paragraph" w:styleId="4">
    <w:name w:val="heading 3"/>
    <w:basedOn w:val="1"/>
    <w:next w:val="1"/>
    <w:link w:val="41"/>
    <w:unhideWhenUsed/>
    <w:qFormat/>
    <w:uiPriority w:val="9"/>
    <w:pPr>
      <w:keepNext/>
      <w:keepLines/>
      <w:numPr>
        <w:ilvl w:val="2"/>
        <w:numId w:val="1"/>
      </w:numPr>
      <w:spacing w:before="260" w:after="260" w:line="416" w:lineRule="auto"/>
      <w:outlineLvl w:val="2"/>
    </w:pPr>
    <w:rPr>
      <w:rFonts w:eastAsia="黑体"/>
      <w:bCs/>
      <w:sz w:val="24"/>
      <w:szCs w:val="32"/>
    </w:rPr>
  </w:style>
  <w:style w:type="paragraph" w:styleId="5">
    <w:name w:val="heading 4"/>
    <w:basedOn w:val="1"/>
    <w:next w:val="1"/>
    <w:link w:val="42"/>
    <w:unhideWhenUsed/>
    <w:qFormat/>
    <w:uiPriority w:val="9"/>
    <w:pPr>
      <w:keepNext/>
      <w:keepLines/>
      <w:numPr>
        <w:ilvl w:val="3"/>
        <w:numId w:val="1"/>
      </w:numPr>
      <w:spacing w:before="280" w:after="290" w:line="376" w:lineRule="auto"/>
      <w:outlineLvl w:val="3"/>
    </w:pPr>
    <w:rPr>
      <w:rFonts w:eastAsia="黑体" w:asciiTheme="majorHAnsi" w:hAnsiTheme="majorHAnsi" w:cstheme="majorBidi"/>
      <w:bCs/>
      <w:szCs w:val="28"/>
    </w:rPr>
  </w:style>
  <w:style w:type="paragraph" w:styleId="6">
    <w:name w:val="heading 5"/>
    <w:basedOn w:val="1"/>
    <w:next w:val="1"/>
    <w:link w:val="43"/>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4"/>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5"/>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46"/>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47"/>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eastAsia="黑体" w:asciiTheme="majorHAnsi" w:hAnsiTheme="majorHAnsi" w:cstheme="majorBidi"/>
      <w:sz w:val="20"/>
      <w:szCs w:val="20"/>
    </w:rPr>
  </w:style>
  <w:style w:type="paragraph" w:styleId="12">
    <w:name w:val="Body Text Indent"/>
    <w:basedOn w:val="1"/>
    <w:link w:val="48"/>
    <w:unhideWhenUsed/>
    <w:qFormat/>
    <w:uiPriority w:val="99"/>
    <w:pPr>
      <w:ind w:firstLine="420"/>
    </w:pPr>
    <w:rPr>
      <w:rFonts w:ascii="Times New Roman" w:hAnsi="Times New Roman" w:cs="Times New Roman"/>
      <w:szCs w:val="21"/>
    </w:rPr>
  </w:style>
  <w:style w:type="paragraph" w:styleId="13">
    <w:name w:val="Plain Text"/>
    <w:basedOn w:val="1"/>
    <w:unhideWhenUsed/>
    <w:qFormat/>
    <w:uiPriority w:val="0"/>
    <w:rPr>
      <w:rFonts w:ascii="宋体" w:hAnsi="Courier New"/>
      <w:szCs w:val="20"/>
    </w:rPr>
  </w:style>
  <w:style w:type="paragraph" w:styleId="14">
    <w:name w:val="Balloon Text"/>
    <w:basedOn w:val="1"/>
    <w:link w:val="38"/>
    <w:unhideWhenUsed/>
    <w:qFormat/>
    <w:uiPriority w:val="0"/>
    <w:rPr>
      <w:sz w:val="18"/>
      <w:szCs w:val="18"/>
    </w:rPr>
  </w:style>
  <w:style w:type="paragraph" w:styleId="15">
    <w:name w:val="footer"/>
    <w:basedOn w:val="1"/>
    <w:link w:val="35"/>
    <w:qFormat/>
    <w:uiPriority w:val="0"/>
    <w:pPr>
      <w:tabs>
        <w:tab w:val="center" w:pos="4153"/>
        <w:tab w:val="right" w:pos="8306"/>
      </w:tabs>
      <w:snapToGrid w:val="0"/>
      <w:jc w:val="left"/>
    </w:pPr>
    <w:rPr>
      <w:sz w:val="18"/>
      <w:szCs w:val="18"/>
    </w:rPr>
  </w:style>
  <w:style w:type="paragraph" w:styleId="16">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10"/>
    <w:pPr>
      <w:numPr>
        <w:ilvl w:val="0"/>
        <w:numId w:val="2"/>
      </w:numPr>
      <w:spacing w:before="240" w:after="60" w:line="360" w:lineRule="auto"/>
      <w:jc w:val="left"/>
      <w:outlineLvl w:val="0"/>
    </w:pPr>
    <w:rPr>
      <w:rFonts w:ascii="Cambria" w:hAnsi="Cambria"/>
      <w:b/>
      <w:bCs/>
      <w:sz w:val="24"/>
      <w:szCs w:val="32"/>
    </w:rPr>
  </w:style>
  <w:style w:type="table" w:styleId="20">
    <w:name w:val="Table Grid"/>
    <w:basedOn w:val="1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page number"/>
    <w:basedOn w:val="21"/>
    <w:unhideWhenUsed/>
    <w:qFormat/>
    <w:uiPriority w:val="0"/>
  </w:style>
  <w:style w:type="paragraph" w:customStyle="1" w:styleId="23">
    <w:name w:val="日期1"/>
    <w:basedOn w:val="1"/>
    <w:next w:val="1"/>
    <w:link w:val="34"/>
    <w:qFormat/>
    <w:uiPriority w:val="0"/>
    <w:pPr>
      <w:ind w:left="100" w:leftChars="2500"/>
    </w:pPr>
  </w:style>
  <w:style w:type="paragraph" w:customStyle="1" w:styleId="24">
    <w:name w:val="p0"/>
    <w:basedOn w:val="1"/>
    <w:qFormat/>
    <w:uiPriority w:val="0"/>
    <w:pPr>
      <w:widowControl/>
    </w:pPr>
    <w:rPr>
      <w:rFonts w:cs="宋体"/>
      <w:kern w:val="0"/>
      <w:szCs w:val="21"/>
    </w:rPr>
  </w:style>
  <w:style w:type="paragraph" w:customStyle="1" w:styleId="25">
    <w:name w:val="p15"/>
    <w:basedOn w:val="1"/>
    <w:qFormat/>
    <w:uiPriority w:val="0"/>
    <w:pPr>
      <w:widowControl/>
      <w:ind w:firstLine="420"/>
    </w:pPr>
    <w:rPr>
      <w:rFonts w:cs="宋体"/>
      <w:kern w:val="0"/>
      <w:szCs w:val="21"/>
    </w:rPr>
  </w:style>
  <w:style w:type="paragraph" w:customStyle="1" w:styleId="26">
    <w:name w:val="p16"/>
    <w:basedOn w:val="1"/>
    <w:qFormat/>
    <w:uiPriority w:val="0"/>
    <w:pPr>
      <w:widowControl/>
    </w:pPr>
    <w:rPr>
      <w:rFonts w:cs="宋体"/>
      <w:kern w:val="0"/>
      <w:szCs w:val="21"/>
    </w:rPr>
  </w:style>
  <w:style w:type="paragraph" w:customStyle="1" w:styleId="27">
    <w:name w:val="p17"/>
    <w:basedOn w:val="1"/>
    <w:qFormat/>
    <w:uiPriority w:val="0"/>
    <w:pPr>
      <w:widowControl/>
      <w:ind w:firstLine="420"/>
    </w:pPr>
    <w:rPr>
      <w:rFonts w:cs="宋体"/>
      <w:kern w:val="0"/>
      <w:szCs w:val="21"/>
    </w:rPr>
  </w:style>
  <w:style w:type="paragraph" w:customStyle="1" w:styleId="28">
    <w:name w:val="列出段落1"/>
    <w:basedOn w:val="1"/>
    <w:qFormat/>
    <w:uiPriority w:val="0"/>
    <w:pPr>
      <w:ind w:firstLine="420" w:firstLineChars="200"/>
    </w:pPr>
  </w:style>
  <w:style w:type="paragraph" w:customStyle="1" w:styleId="29">
    <w:name w:val="列出段落2"/>
    <w:basedOn w:val="1"/>
    <w:qFormat/>
    <w:uiPriority w:val="0"/>
    <w:pPr>
      <w:ind w:firstLine="420" w:firstLineChars="200"/>
    </w:pPr>
    <w:rPr>
      <w:rFonts w:cs="Times New Roman"/>
    </w:rPr>
  </w:style>
  <w:style w:type="paragraph" w:customStyle="1" w:styleId="30">
    <w:name w:val="段"/>
    <w:link w:val="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1">
    <w:name w:val="标准"/>
    <w:basedOn w:val="1"/>
    <w:qFormat/>
    <w:uiPriority w:val="0"/>
    <w:pPr>
      <w:adjustRightInd w:val="0"/>
      <w:spacing w:line="312" w:lineRule="atLeast"/>
      <w:jc w:val="center"/>
      <w:textAlignment w:val="baseline"/>
    </w:pPr>
    <w:rPr>
      <w:kern w:val="0"/>
      <w:szCs w:val="20"/>
    </w:rPr>
  </w:style>
  <w:style w:type="paragraph" w:customStyle="1" w:styleId="3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3">
    <w:name w:val="Default"/>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character" w:customStyle="1" w:styleId="34">
    <w:name w:val="日期 Char"/>
    <w:basedOn w:val="21"/>
    <w:link w:val="23"/>
    <w:semiHidden/>
    <w:qFormat/>
    <w:uiPriority w:val="0"/>
  </w:style>
  <w:style w:type="character" w:customStyle="1" w:styleId="35">
    <w:name w:val="页脚 字符"/>
    <w:basedOn w:val="21"/>
    <w:link w:val="15"/>
    <w:semiHidden/>
    <w:qFormat/>
    <w:uiPriority w:val="0"/>
    <w:rPr>
      <w:rFonts w:ascii="Calibri" w:hAnsi="Calibri" w:cs="黑体"/>
      <w:kern w:val="2"/>
      <w:sz w:val="18"/>
      <w:szCs w:val="18"/>
    </w:rPr>
  </w:style>
  <w:style w:type="character" w:customStyle="1" w:styleId="36">
    <w:name w:val="页眉 字符"/>
    <w:basedOn w:val="21"/>
    <w:link w:val="16"/>
    <w:semiHidden/>
    <w:qFormat/>
    <w:uiPriority w:val="0"/>
    <w:rPr>
      <w:rFonts w:ascii="Calibri" w:hAnsi="Calibri" w:cs="黑体"/>
      <w:kern w:val="2"/>
      <w:sz w:val="18"/>
      <w:szCs w:val="18"/>
    </w:rPr>
  </w:style>
  <w:style w:type="character" w:customStyle="1" w:styleId="37">
    <w:name w:val="段 Char"/>
    <w:basedOn w:val="21"/>
    <w:link w:val="30"/>
    <w:qFormat/>
    <w:uiPriority w:val="0"/>
    <w:rPr>
      <w:rFonts w:ascii="宋体"/>
      <w:sz w:val="21"/>
      <w:lang w:val="en-US" w:eastAsia="zh-CN" w:bidi="ar-SA"/>
    </w:rPr>
  </w:style>
  <w:style w:type="character" w:customStyle="1" w:styleId="38">
    <w:name w:val="批注框文本 字符"/>
    <w:basedOn w:val="21"/>
    <w:link w:val="14"/>
    <w:semiHidden/>
    <w:qFormat/>
    <w:uiPriority w:val="0"/>
    <w:rPr>
      <w:rFonts w:ascii="Calibri" w:hAnsi="Calibri" w:cs="黑体"/>
      <w:kern w:val="2"/>
      <w:sz w:val="18"/>
      <w:szCs w:val="18"/>
    </w:rPr>
  </w:style>
  <w:style w:type="character" w:customStyle="1" w:styleId="39">
    <w:name w:val="标题 1 字符"/>
    <w:basedOn w:val="21"/>
    <w:link w:val="2"/>
    <w:qFormat/>
    <w:uiPriority w:val="9"/>
    <w:rPr>
      <w:rFonts w:ascii="Calibri" w:hAnsi="Calibri" w:eastAsia="黑体" w:cs="黑体"/>
      <w:bCs/>
      <w:kern w:val="44"/>
      <w:sz w:val="24"/>
      <w:szCs w:val="44"/>
    </w:rPr>
  </w:style>
  <w:style w:type="character" w:customStyle="1" w:styleId="40">
    <w:name w:val="标题 2 字符"/>
    <w:basedOn w:val="21"/>
    <w:link w:val="3"/>
    <w:qFormat/>
    <w:uiPriority w:val="9"/>
    <w:rPr>
      <w:rFonts w:eastAsia="黑体" w:asciiTheme="majorHAnsi" w:hAnsiTheme="majorHAnsi" w:cstheme="majorBidi"/>
      <w:bCs/>
      <w:kern w:val="2"/>
      <w:sz w:val="24"/>
      <w:szCs w:val="32"/>
    </w:rPr>
  </w:style>
  <w:style w:type="character" w:customStyle="1" w:styleId="41">
    <w:name w:val="标题 3 字符"/>
    <w:basedOn w:val="21"/>
    <w:link w:val="4"/>
    <w:qFormat/>
    <w:uiPriority w:val="9"/>
    <w:rPr>
      <w:rFonts w:ascii="Calibri" w:hAnsi="Calibri" w:eastAsia="黑体" w:cs="黑体"/>
      <w:bCs/>
      <w:kern w:val="2"/>
      <w:sz w:val="24"/>
      <w:szCs w:val="32"/>
    </w:rPr>
  </w:style>
  <w:style w:type="character" w:customStyle="1" w:styleId="42">
    <w:name w:val="标题 4 字符"/>
    <w:basedOn w:val="21"/>
    <w:link w:val="5"/>
    <w:qFormat/>
    <w:uiPriority w:val="9"/>
    <w:rPr>
      <w:rFonts w:eastAsia="黑体" w:asciiTheme="majorHAnsi" w:hAnsiTheme="majorHAnsi" w:cstheme="majorBidi"/>
      <w:bCs/>
      <w:kern w:val="2"/>
      <w:sz w:val="21"/>
      <w:szCs w:val="28"/>
    </w:rPr>
  </w:style>
  <w:style w:type="character" w:customStyle="1" w:styleId="43">
    <w:name w:val="标题 5 字符"/>
    <w:basedOn w:val="21"/>
    <w:link w:val="6"/>
    <w:qFormat/>
    <w:uiPriority w:val="9"/>
    <w:rPr>
      <w:rFonts w:ascii="Calibri" w:hAnsi="Calibri" w:cs="黑体"/>
      <w:b/>
      <w:bCs/>
      <w:kern w:val="2"/>
      <w:sz w:val="28"/>
      <w:szCs w:val="28"/>
    </w:rPr>
  </w:style>
  <w:style w:type="character" w:customStyle="1" w:styleId="44">
    <w:name w:val="标题 6 字符"/>
    <w:basedOn w:val="21"/>
    <w:link w:val="7"/>
    <w:semiHidden/>
    <w:qFormat/>
    <w:uiPriority w:val="9"/>
    <w:rPr>
      <w:rFonts w:asciiTheme="majorHAnsi" w:hAnsiTheme="majorHAnsi" w:eastAsiaTheme="majorEastAsia" w:cstheme="majorBidi"/>
      <w:b/>
      <w:bCs/>
      <w:kern w:val="2"/>
      <w:sz w:val="24"/>
      <w:szCs w:val="24"/>
    </w:rPr>
  </w:style>
  <w:style w:type="character" w:customStyle="1" w:styleId="45">
    <w:name w:val="标题 7 字符"/>
    <w:basedOn w:val="21"/>
    <w:link w:val="8"/>
    <w:semiHidden/>
    <w:qFormat/>
    <w:uiPriority w:val="9"/>
    <w:rPr>
      <w:rFonts w:ascii="Calibri" w:hAnsi="Calibri" w:cs="黑体"/>
      <w:b/>
      <w:bCs/>
      <w:kern w:val="2"/>
      <w:sz w:val="24"/>
      <w:szCs w:val="24"/>
    </w:rPr>
  </w:style>
  <w:style w:type="character" w:customStyle="1" w:styleId="46">
    <w:name w:val="标题 8 字符"/>
    <w:basedOn w:val="21"/>
    <w:link w:val="9"/>
    <w:semiHidden/>
    <w:qFormat/>
    <w:uiPriority w:val="9"/>
    <w:rPr>
      <w:rFonts w:asciiTheme="majorHAnsi" w:hAnsiTheme="majorHAnsi" w:eastAsiaTheme="majorEastAsia" w:cstheme="majorBidi"/>
      <w:kern w:val="2"/>
      <w:sz w:val="24"/>
      <w:szCs w:val="24"/>
    </w:rPr>
  </w:style>
  <w:style w:type="character" w:customStyle="1" w:styleId="47">
    <w:name w:val="标题 9 字符"/>
    <w:basedOn w:val="21"/>
    <w:link w:val="10"/>
    <w:semiHidden/>
    <w:qFormat/>
    <w:uiPriority w:val="9"/>
    <w:rPr>
      <w:rFonts w:asciiTheme="majorHAnsi" w:hAnsiTheme="majorHAnsi" w:eastAsiaTheme="majorEastAsia" w:cstheme="majorBidi"/>
      <w:kern w:val="2"/>
      <w:sz w:val="21"/>
      <w:szCs w:val="21"/>
    </w:rPr>
  </w:style>
  <w:style w:type="character" w:customStyle="1" w:styleId="48">
    <w:name w:val="正文文本缩进 字符"/>
    <w:basedOn w:val="21"/>
    <w:link w:val="12"/>
    <w:qFormat/>
    <w:uiPriority w:val="99"/>
    <w:rPr>
      <w:kern w:val="2"/>
      <w:sz w:val="21"/>
      <w:szCs w:val="21"/>
    </w:rPr>
  </w:style>
  <w:style w:type="paragraph" w:customStyle="1" w:styleId="49">
    <w:name w:val="章标题"/>
    <w:next w:val="1"/>
    <w:qFormat/>
    <w:uiPriority w:val="0"/>
    <w:pPr>
      <w:spacing w:beforeLines="50" w:afterLines="50"/>
      <w:jc w:val="both"/>
      <w:outlineLvl w:val="1"/>
    </w:pPr>
    <w:rPr>
      <w:rFonts w:ascii="黑体" w:eastAsia="黑体" w:hAnsiTheme="minorHAnsi" w:cstheme="minorBidi"/>
      <w:sz w:val="21"/>
      <w:szCs w:val="22"/>
      <w:lang w:val="en-US" w:eastAsia="zh-CN" w:bidi="ar-SA"/>
    </w:rPr>
  </w:style>
  <w:style w:type="paragraph" w:styleId="50">
    <w:name w:val="List Paragraph"/>
    <w:basedOn w:val="1"/>
    <w:qFormat/>
    <w:uiPriority w:val="99"/>
    <w:pPr>
      <w:ind w:firstLine="420" w:firstLineChars="200"/>
    </w:pPr>
  </w:style>
  <w:style w:type="paragraph" w:customStyle="1" w:styleId="51">
    <w:name w:val="编制-正文"/>
    <w:basedOn w:val="1"/>
    <w:qFormat/>
    <w:uiPriority w:val="0"/>
    <w:pPr>
      <w:ind w:firstLine="200" w:firstLineChars="200"/>
    </w:pPr>
    <w:rPr>
      <w:rFonts w:cs="宋体"/>
      <w:szCs w:val="21"/>
    </w:rPr>
  </w:style>
  <w:style w:type="paragraph" w:customStyle="1" w:styleId="52">
    <w:name w:val="编制-1."/>
    <w:basedOn w:val="3"/>
    <w:next w:val="51"/>
    <w:qFormat/>
    <w:uiPriority w:val="0"/>
    <w:pPr>
      <w:spacing w:before="50" w:beforeLines="50" w:after="50" w:afterLines="50" w:line="240" w:lineRule="auto"/>
    </w:pPr>
    <w:rPr>
      <w:rFonts w:ascii="Times New Roman" w:hAnsi="Times New Roman" w:eastAsia="黑体"/>
      <w:bCs w:val="0"/>
      <w:sz w:val="21"/>
      <w:szCs w:val="21"/>
    </w:rPr>
  </w:style>
  <w:style w:type="paragraph" w:customStyle="1" w:styleId="53">
    <w:name w:val="编制-1.1"/>
    <w:basedOn w:val="4"/>
    <w:next w:val="51"/>
    <w:qFormat/>
    <w:uiPriority w:val="0"/>
    <w:pPr>
      <w:spacing w:before="50" w:beforeLines="50" w:after="50" w:afterLines="50" w:line="240" w:lineRule="auto"/>
    </w:pPr>
    <w:rPr>
      <w:rFonts w:eastAsia="黑体"/>
      <w:bCs w:val="0"/>
      <w:sz w:val="21"/>
      <w:szCs w:val="21"/>
    </w:rPr>
  </w:style>
  <w:style w:type="paragraph" w:customStyle="1" w:styleId="54">
    <w:name w:val="编制-表头"/>
    <w:basedOn w:val="1"/>
    <w:qFormat/>
    <w:uiPriority w:val="0"/>
    <w:pPr>
      <w:spacing w:before="50" w:beforeLines="50" w:after="50" w:afterLines="50"/>
      <w:jc w:val="center"/>
    </w:pPr>
    <w:rPr>
      <w:rFonts w:eastAsia="黑体" w:cs="黑体"/>
      <w:szCs w:val="21"/>
    </w:rPr>
  </w:style>
  <w:style w:type="paragraph" w:customStyle="1" w:styleId="55">
    <w:name w:val="编制-一"/>
    <w:basedOn w:val="2"/>
    <w:next w:val="51"/>
    <w:qFormat/>
    <w:uiPriority w:val="0"/>
    <w:pPr>
      <w:spacing w:before="100" w:beforeLines="100" w:after="100" w:afterLines="100" w:line="240" w:lineRule="auto"/>
    </w:pPr>
    <w:rPr>
      <w:rFonts w:eastAsia="黑体" w:cs="黑体"/>
      <w:bCs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2019</Words>
  <Characters>2138</Characters>
  <Lines>54</Lines>
  <Paragraphs>15</Paragraphs>
  <TotalTime>23</TotalTime>
  <ScaleCrop>false</ScaleCrop>
  <LinksUpToDate>false</LinksUpToDate>
  <CharactersWithSpaces>2154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2017-12-21T09:10:00Z</dcterms:created>
  <dc:creator>微软用户</dc:creator>
  <cp:lastModifiedBy>阿姚</cp:lastModifiedBy>
  <cp:lastPrinted>2024-08-26T05:46:00Z</cp:lastPrinted>
  <dcterms:modified xsi:type="dcterms:W3CDTF">2024-10-30T02:15:49Z</dcterms:modified>
  <dc:title>稀土国家标准《稀土金属及其氧化物中非稀土杂质化学分析方法  第五部分》（预审稿）编制说明</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7DC42BB819A3413E8FCFB3ED4CF987F2_12</vt:lpwstr>
  </property>
</Properties>
</file>