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6513A">
      <w:pPr>
        <w:pStyle w:val="98"/>
        <w:jc w:val="center"/>
        <w:rPr>
          <w:rFonts w:ascii="黑体" w:hAnsi="黑体" w:eastAsia="黑体"/>
          <w:b w:val="0"/>
          <w:bCs w:val="0"/>
          <w:sz w:val="24"/>
          <w:szCs w:val="24"/>
        </w:rPr>
      </w:pPr>
      <w:bookmarkStart w:id="0" w:name="_Toc464728891"/>
      <w:bookmarkStart w:id="1" w:name="SectionMark4"/>
    </w:p>
    <w:p w14:paraId="261607E6">
      <w:pPr>
        <w:pStyle w:val="98"/>
        <w:jc w:val="center"/>
        <w:rPr>
          <w:rFonts w:ascii="黑体" w:hAnsi="黑体" w:eastAsia="黑体"/>
          <w:b w:val="0"/>
          <w:bCs w:val="0"/>
          <w:sz w:val="24"/>
          <w:szCs w:val="24"/>
        </w:rPr>
      </w:pPr>
    </w:p>
    <w:p w14:paraId="5CCD06B1">
      <w:pPr>
        <w:pStyle w:val="98"/>
        <w:jc w:val="center"/>
        <w:rPr>
          <w:rFonts w:ascii="黑体" w:hAnsi="黑体" w:eastAsia="黑体"/>
          <w:b w:val="0"/>
          <w:bCs w:val="0"/>
          <w:sz w:val="24"/>
          <w:szCs w:val="24"/>
        </w:rPr>
      </w:pPr>
    </w:p>
    <w:p w14:paraId="23A4CA42">
      <w:pPr>
        <w:pStyle w:val="98"/>
        <w:jc w:val="center"/>
        <w:rPr>
          <w:rFonts w:ascii="黑体" w:hAnsi="黑体" w:eastAsia="黑体"/>
          <w:b w:val="0"/>
          <w:bCs w:val="0"/>
          <w:sz w:val="24"/>
          <w:szCs w:val="24"/>
        </w:rPr>
      </w:pPr>
    </w:p>
    <w:p w14:paraId="1CEAA560">
      <w:pPr>
        <w:pStyle w:val="98"/>
        <w:jc w:val="center"/>
        <w:rPr>
          <w:rFonts w:ascii="黑体" w:hAnsi="黑体" w:eastAsia="黑体"/>
          <w:b w:val="0"/>
          <w:bCs w:val="0"/>
          <w:sz w:val="24"/>
          <w:szCs w:val="24"/>
        </w:rPr>
      </w:pPr>
    </w:p>
    <w:p w14:paraId="1E5655C1">
      <w:pPr>
        <w:pStyle w:val="98"/>
        <w:jc w:val="center"/>
        <w:rPr>
          <w:rFonts w:ascii="黑体" w:hAnsi="黑体" w:eastAsia="黑体"/>
          <w:b w:val="0"/>
          <w:bCs w:val="0"/>
          <w:sz w:val="24"/>
          <w:szCs w:val="24"/>
        </w:rPr>
      </w:pPr>
    </w:p>
    <w:p w14:paraId="365DF92E">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3BF3227D">
                            <w:pPr>
                              <w:pStyle w:val="75"/>
                              <w:rPr>
                                <w:rFonts w:hAnsi="黑体" w:cs="黑体"/>
                                <w:sz w:val="44"/>
                                <w:szCs w:val="44"/>
                              </w:rPr>
                            </w:pPr>
                            <w:bookmarkStart w:id="77" w:name="_Hlk23687263"/>
                            <w:r>
                              <w:rPr>
                                <w:rFonts w:hint="eastAsia" w:hAnsi="黑体" w:cs="黑体"/>
                                <w:sz w:val="44"/>
                                <w:szCs w:val="44"/>
                              </w:rPr>
                              <w:t>JJF（有色金属）</w:t>
                            </w:r>
                            <w:r>
                              <w:rPr>
                                <w:rFonts w:hAnsi="黑体" w:cs="黑体"/>
                                <w:sz w:val="44"/>
                                <w:szCs w:val="44"/>
                              </w:rPr>
                              <w:t>00</w:t>
                            </w:r>
                            <w:r>
                              <w:rPr>
                                <w:rFonts w:hint="eastAsia" w:hAnsi="黑体" w:cs="黑体"/>
                                <w:sz w:val="44"/>
                                <w:szCs w:val="44"/>
                                <w:lang w:val="en-US" w:eastAsia="zh-CN"/>
                              </w:rPr>
                              <w:t>5</w:t>
                            </w:r>
                            <w:r>
                              <w:rPr>
                                <w:rFonts w:hAnsi="黑体" w:cs="黑体"/>
                                <w:sz w:val="44"/>
                                <w:szCs w:val="44"/>
                              </w:rPr>
                              <w:t>—20</w:t>
                            </w:r>
                            <w:r>
                              <w:rPr>
                                <w:rFonts w:hint="eastAsia" w:hAnsi="黑体" w:cs="黑体"/>
                                <w:sz w:val="44"/>
                                <w:szCs w:val="44"/>
                                <w:lang w:val="en-US" w:eastAsia="zh-CN"/>
                              </w:rPr>
                              <w:t>23</w:t>
                            </w:r>
                          </w:p>
                          <w:bookmarkEnd w:id="77"/>
                          <w:p w14:paraId="011E22CF">
                            <w:pPr>
                              <w:pStyle w:val="75"/>
                              <w:rPr>
                                <w:rFonts w:hAnsi="黑体" w:cs="黑体"/>
                                <w:szCs w:val="52"/>
                              </w:rPr>
                            </w:pPr>
                            <w:r>
                              <w:rPr>
                                <w:rFonts w:hint="eastAsia" w:hAnsi="黑体" w:cs="黑体"/>
                                <w:szCs w:val="52"/>
                              </w:rPr>
                              <w:t>松装密度漏斗法测定仪校准规范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3BF3227D">
                      <w:pPr>
                        <w:pStyle w:val="75"/>
                        <w:rPr>
                          <w:rFonts w:hAnsi="黑体" w:cs="黑体"/>
                          <w:sz w:val="44"/>
                          <w:szCs w:val="44"/>
                        </w:rPr>
                      </w:pPr>
                      <w:bookmarkStart w:id="77" w:name="_Hlk23687263"/>
                      <w:r>
                        <w:rPr>
                          <w:rFonts w:hint="eastAsia" w:hAnsi="黑体" w:cs="黑体"/>
                          <w:sz w:val="44"/>
                          <w:szCs w:val="44"/>
                        </w:rPr>
                        <w:t>JJF（有色金属）</w:t>
                      </w:r>
                      <w:r>
                        <w:rPr>
                          <w:rFonts w:hAnsi="黑体" w:cs="黑体"/>
                          <w:sz w:val="44"/>
                          <w:szCs w:val="44"/>
                        </w:rPr>
                        <w:t>00</w:t>
                      </w:r>
                      <w:r>
                        <w:rPr>
                          <w:rFonts w:hint="eastAsia" w:hAnsi="黑体" w:cs="黑体"/>
                          <w:sz w:val="44"/>
                          <w:szCs w:val="44"/>
                          <w:lang w:val="en-US" w:eastAsia="zh-CN"/>
                        </w:rPr>
                        <w:t>5</w:t>
                      </w:r>
                      <w:r>
                        <w:rPr>
                          <w:rFonts w:hAnsi="黑体" w:cs="黑体"/>
                          <w:sz w:val="44"/>
                          <w:szCs w:val="44"/>
                        </w:rPr>
                        <w:t>—20</w:t>
                      </w:r>
                      <w:r>
                        <w:rPr>
                          <w:rFonts w:hint="eastAsia" w:hAnsi="黑体" w:cs="黑体"/>
                          <w:sz w:val="44"/>
                          <w:szCs w:val="44"/>
                          <w:lang w:val="en-US" w:eastAsia="zh-CN"/>
                        </w:rPr>
                        <w:t>23</w:t>
                      </w:r>
                    </w:p>
                    <w:bookmarkEnd w:id="77"/>
                    <w:p w14:paraId="011E22CF">
                      <w:pPr>
                        <w:pStyle w:val="75"/>
                        <w:rPr>
                          <w:rFonts w:hAnsi="黑体" w:cs="黑体"/>
                          <w:szCs w:val="52"/>
                        </w:rPr>
                      </w:pPr>
                      <w:r>
                        <w:rPr>
                          <w:rFonts w:hint="eastAsia" w:hAnsi="黑体" w:cs="黑体"/>
                          <w:szCs w:val="52"/>
                        </w:rPr>
                        <w:t>松装密度漏斗法测定仪校准规范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657F1709">
      <w:pPr>
        <w:pStyle w:val="98"/>
        <w:jc w:val="center"/>
        <w:rPr>
          <w:rFonts w:ascii="黑体" w:hAnsi="黑体" w:eastAsia="黑体"/>
          <w:b w:val="0"/>
          <w:bCs w:val="0"/>
          <w:sz w:val="24"/>
          <w:szCs w:val="24"/>
        </w:rPr>
      </w:pPr>
    </w:p>
    <w:p w14:paraId="5B12077C">
      <w:pPr>
        <w:pStyle w:val="98"/>
        <w:jc w:val="center"/>
        <w:rPr>
          <w:rFonts w:ascii="黑体" w:hAnsi="黑体" w:eastAsia="黑体"/>
          <w:b w:val="0"/>
          <w:bCs w:val="0"/>
          <w:sz w:val="24"/>
          <w:szCs w:val="24"/>
        </w:rPr>
      </w:pPr>
    </w:p>
    <w:p w14:paraId="4B6D4267">
      <w:pPr>
        <w:pStyle w:val="98"/>
        <w:jc w:val="center"/>
        <w:rPr>
          <w:rFonts w:ascii="黑体" w:hAnsi="黑体" w:eastAsia="黑体"/>
          <w:b w:val="0"/>
          <w:bCs w:val="0"/>
          <w:sz w:val="24"/>
          <w:szCs w:val="24"/>
        </w:rPr>
      </w:pPr>
    </w:p>
    <w:p w14:paraId="5CEE8E5D">
      <w:pPr>
        <w:pStyle w:val="98"/>
        <w:jc w:val="center"/>
        <w:rPr>
          <w:rFonts w:ascii="黑体" w:hAnsi="黑体" w:eastAsia="黑体"/>
          <w:b w:val="0"/>
          <w:bCs w:val="0"/>
          <w:sz w:val="24"/>
          <w:szCs w:val="24"/>
        </w:rPr>
      </w:pPr>
    </w:p>
    <w:p w14:paraId="520DE93F">
      <w:pPr>
        <w:pStyle w:val="98"/>
        <w:jc w:val="center"/>
        <w:rPr>
          <w:rFonts w:ascii="黑体" w:hAnsi="黑体" w:eastAsia="黑体"/>
          <w:b w:val="0"/>
          <w:bCs w:val="0"/>
          <w:sz w:val="24"/>
          <w:szCs w:val="24"/>
        </w:rPr>
      </w:pPr>
    </w:p>
    <w:p w14:paraId="4DC0BF17">
      <w:pPr>
        <w:pStyle w:val="98"/>
        <w:jc w:val="center"/>
        <w:rPr>
          <w:rFonts w:ascii="黑体" w:hAnsi="黑体" w:eastAsia="黑体"/>
          <w:b w:val="0"/>
          <w:bCs w:val="0"/>
          <w:sz w:val="24"/>
          <w:szCs w:val="24"/>
        </w:rPr>
      </w:pPr>
    </w:p>
    <w:p w14:paraId="4A8606C4">
      <w:pPr>
        <w:pStyle w:val="98"/>
        <w:jc w:val="center"/>
        <w:rPr>
          <w:rFonts w:ascii="黑体" w:hAnsi="黑体" w:eastAsia="黑体"/>
          <w:b w:val="0"/>
          <w:bCs w:val="0"/>
          <w:sz w:val="24"/>
          <w:szCs w:val="24"/>
        </w:rPr>
      </w:pPr>
    </w:p>
    <w:p w14:paraId="426E253B">
      <w:pPr>
        <w:pStyle w:val="98"/>
        <w:jc w:val="center"/>
        <w:rPr>
          <w:rFonts w:ascii="黑体" w:hAnsi="黑体" w:eastAsia="黑体"/>
          <w:b w:val="0"/>
          <w:bCs w:val="0"/>
          <w:sz w:val="24"/>
          <w:szCs w:val="24"/>
        </w:rPr>
      </w:pPr>
    </w:p>
    <w:p w14:paraId="7AF395CF">
      <w:pPr>
        <w:pStyle w:val="98"/>
        <w:jc w:val="center"/>
        <w:rPr>
          <w:rFonts w:ascii="黑体" w:hAnsi="黑体" w:eastAsia="黑体"/>
          <w:b w:val="0"/>
          <w:bCs w:val="0"/>
          <w:sz w:val="24"/>
          <w:szCs w:val="24"/>
        </w:rPr>
      </w:pPr>
    </w:p>
    <w:p w14:paraId="7E7C99B0">
      <w:pPr>
        <w:pStyle w:val="98"/>
        <w:jc w:val="center"/>
        <w:rPr>
          <w:rFonts w:ascii="黑体" w:hAnsi="黑体" w:eastAsia="黑体"/>
          <w:b w:val="0"/>
          <w:bCs w:val="0"/>
          <w:sz w:val="24"/>
          <w:szCs w:val="24"/>
        </w:rPr>
      </w:pPr>
    </w:p>
    <w:p w14:paraId="44A9AD4F">
      <w:pPr>
        <w:pStyle w:val="98"/>
        <w:jc w:val="center"/>
        <w:rPr>
          <w:rFonts w:ascii="黑体" w:hAnsi="黑体" w:eastAsia="黑体"/>
          <w:b w:val="0"/>
          <w:bCs w:val="0"/>
          <w:sz w:val="24"/>
          <w:szCs w:val="24"/>
        </w:rPr>
      </w:pPr>
    </w:p>
    <w:p w14:paraId="02AC33B4">
      <w:pPr>
        <w:pStyle w:val="98"/>
        <w:jc w:val="center"/>
        <w:rPr>
          <w:rFonts w:ascii="黑体" w:hAnsi="黑体" w:eastAsia="黑体"/>
          <w:b w:val="0"/>
          <w:bCs w:val="0"/>
          <w:sz w:val="24"/>
          <w:szCs w:val="24"/>
        </w:rPr>
      </w:pPr>
    </w:p>
    <w:p w14:paraId="6C0AC297">
      <w:pPr>
        <w:pStyle w:val="98"/>
        <w:jc w:val="center"/>
        <w:rPr>
          <w:rFonts w:ascii="黑体" w:hAnsi="黑体" w:eastAsia="黑体"/>
          <w:b w:val="0"/>
          <w:bCs w:val="0"/>
          <w:sz w:val="24"/>
          <w:szCs w:val="24"/>
        </w:rPr>
      </w:pPr>
    </w:p>
    <w:p w14:paraId="6ED72D46">
      <w:pPr>
        <w:pStyle w:val="98"/>
        <w:jc w:val="center"/>
        <w:rPr>
          <w:rFonts w:ascii="黑体" w:hAnsi="黑体" w:eastAsia="黑体"/>
          <w:b w:val="0"/>
          <w:bCs w:val="0"/>
          <w:sz w:val="24"/>
          <w:szCs w:val="24"/>
        </w:rPr>
      </w:pPr>
    </w:p>
    <w:p w14:paraId="4D140896">
      <w:pPr>
        <w:pStyle w:val="98"/>
        <w:jc w:val="center"/>
        <w:rPr>
          <w:rFonts w:ascii="黑体" w:hAnsi="黑体" w:eastAsia="黑体"/>
          <w:b w:val="0"/>
          <w:bCs w:val="0"/>
          <w:sz w:val="24"/>
          <w:szCs w:val="24"/>
        </w:rPr>
      </w:pPr>
    </w:p>
    <w:p w14:paraId="276BDB7B">
      <w:pPr>
        <w:pStyle w:val="98"/>
        <w:jc w:val="center"/>
        <w:rPr>
          <w:rFonts w:ascii="黑体" w:hAnsi="黑体" w:eastAsia="黑体"/>
          <w:b w:val="0"/>
          <w:bCs w:val="0"/>
          <w:sz w:val="24"/>
          <w:szCs w:val="24"/>
        </w:rPr>
      </w:pPr>
    </w:p>
    <w:p w14:paraId="55981809">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送审</w:t>
                            </w:r>
                            <w:r>
                              <w:rPr>
                                <w:rFonts w:hint="eastAsia" w:ascii="黑体" w:hAnsi="黑体" w:eastAsia="黑体"/>
                                <w:sz w:val="36"/>
                                <w:szCs w:val="36"/>
                              </w:rPr>
                              <w:t>稿</w:t>
                            </w:r>
                          </w:p>
                          <w:p w14:paraId="15A726FB">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11</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送审</w:t>
                      </w:r>
                      <w:r>
                        <w:rPr>
                          <w:rFonts w:hint="eastAsia" w:ascii="黑体" w:hAnsi="黑体" w:eastAsia="黑体"/>
                          <w:sz w:val="36"/>
                          <w:szCs w:val="36"/>
                        </w:rPr>
                        <w:t>稿</w:t>
                      </w:r>
                    </w:p>
                    <w:p w14:paraId="15A726FB">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11</w:t>
                      </w:r>
                    </w:p>
                  </w:txbxContent>
                </v:textbox>
                <w10:anchorlock/>
              </v:rect>
            </w:pict>
          </mc:Fallback>
        </mc:AlternateContent>
      </w:r>
    </w:p>
    <w:p w14:paraId="60A4B863">
      <w:pPr>
        <w:pStyle w:val="98"/>
        <w:jc w:val="center"/>
        <w:rPr>
          <w:rFonts w:ascii="黑体" w:hAnsi="黑体" w:eastAsia="黑体"/>
          <w:b w:val="0"/>
          <w:bCs w:val="0"/>
          <w:sz w:val="24"/>
          <w:szCs w:val="24"/>
        </w:rPr>
      </w:pPr>
    </w:p>
    <w:p w14:paraId="5485B151">
      <w:pPr>
        <w:pStyle w:val="98"/>
        <w:jc w:val="center"/>
        <w:rPr>
          <w:rFonts w:ascii="黑体" w:hAnsi="黑体" w:eastAsia="黑体"/>
          <w:b w:val="0"/>
          <w:bCs w:val="0"/>
          <w:sz w:val="24"/>
          <w:szCs w:val="24"/>
        </w:rPr>
      </w:pPr>
    </w:p>
    <w:p w14:paraId="6EAE2478">
      <w:pPr>
        <w:pStyle w:val="98"/>
        <w:jc w:val="center"/>
        <w:rPr>
          <w:rFonts w:ascii="黑体" w:hAnsi="黑体" w:eastAsia="黑体"/>
          <w:b w:val="0"/>
          <w:bCs w:val="0"/>
          <w:sz w:val="24"/>
          <w:szCs w:val="24"/>
        </w:rPr>
      </w:pPr>
    </w:p>
    <w:p w14:paraId="51704646">
      <w:pPr>
        <w:pStyle w:val="98"/>
        <w:jc w:val="center"/>
        <w:rPr>
          <w:rFonts w:ascii="黑体" w:hAnsi="黑体" w:eastAsia="黑体"/>
          <w:b w:val="0"/>
          <w:bCs w:val="0"/>
          <w:sz w:val="24"/>
          <w:szCs w:val="24"/>
        </w:rPr>
      </w:pPr>
    </w:p>
    <w:p w14:paraId="7E453036">
      <w:pPr>
        <w:pStyle w:val="98"/>
        <w:jc w:val="center"/>
        <w:rPr>
          <w:rFonts w:ascii="黑体" w:hAnsi="黑体" w:eastAsia="黑体"/>
          <w:b w:val="0"/>
          <w:bCs w:val="0"/>
          <w:sz w:val="24"/>
          <w:szCs w:val="24"/>
        </w:rPr>
      </w:pPr>
    </w:p>
    <w:p w14:paraId="642EA6C2">
      <w:pPr>
        <w:pStyle w:val="98"/>
        <w:jc w:val="center"/>
        <w:rPr>
          <w:rFonts w:ascii="黑体" w:hAnsi="黑体" w:eastAsia="黑体"/>
          <w:b w:val="0"/>
          <w:bCs w:val="0"/>
          <w:sz w:val="24"/>
          <w:szCs w:val="24"/>
        </w:rPr>
      </w:pPr>
    </w:p>
    <w:p w14:paraId="0082894A">
      <w:pPr>
        <w:pStyle w:val="98"/>
        <w:jc w:val="center"/>
        <w:rPr>
          <w:rFonts w:ascii="黑体" w:hAnsi="黑体" w:eastAsia="黑体"/>
          <w:b w:val="0"/>
          <w:bCs w:val="0"/>
          <w:sz w:val="24"/>
          <w:szCs w:val="24"/>
        </w:rPr>
      </w:pPr>
    </w:p>
    <w:p w14:paraId="0709B332">
      <w:pPr>
        <w:pStyle w:val="98"/>
        <w:jc w:val="center"/>
        <w:rPr>
          <w:rFonts w:ascii="黑体" w:hAnsi="黑体" w:eastAsia="黑体"/>
          <w:b w:val="0"/>
          <w:bCs w:val="0"/>
          <w:sz w:val="24"/>
          <w:szCs w:val="24"/>
        </w:rPr>
      </w:pPr>
    </w:p>
    <w:p w14:paraId="5258344D">
      <w:pPr>
        <w:pStyle w:val="98"/>
        <w:jc w:val="center"/>
        <w:rPr>
          <w:rFonts w:ascii="黑体" w:hAnsi="黑体" w:eastAsia="黑体"/>
          <w:b w:val="0"/>
          <w:bCs w:val="0"/>
          <w:sz w:val="24"/>
          <w:szCs w:val="24"/>
        </w:rPr>
      </w:pPr>
    </w:p>
    <w:p w14:paraId="660B44CE">
      <w:pPr>
        <w:pStyle w:val="98"/>
        <w:jc w:val="center"/>
        <w:rPr>
          <w:rFonts w:ascii="黑体" w:hAnsi="黑体" w:eastAsia="黑体"/>
          <w:b w:val="0"/>
          <w:bCs w:val="0"/>
          <w:sz w:val="24"/>
          <w:szCs w:val="24"/>
        </w:rPr>
      </w:pPr>
    </w:p>
    <w:p w14:paraId="29D1196A">
      <w:pPr>
        <w:pStyle w:val="98"/>
        <w:jc w:val="center"/>
        <w:rPr>
          <w:rFonts w:ascii="黑体" w:hAnsi="黑体" w:eastAsia="黑体"/>
          <w:b w:val="0"/>
          <w:bCs w:val="0"/>
          <w:sz w:val="24"/>
          <w:szCs w:val="24"/>
        </w:rPr>
      </w:pPr>
    </w:p>
    <w:p w14:paraId="60223242">
      <w:pPr>
        <w:pStyle w:val="98"/>
        <w:jc w:val="center"/>
        <w:rPr>
          <w:rFonts w:ascii="黑体" w:hAnsi="黑体" w:eastAsia="黑体"/>
          <w:b w:val="0"/>
          <w:bCs w:val="0"/>
          <w:sz w:val="24"/>
          <w:szCs w:val="24"/>
        </w:rPr>
      </w:pPr>
    </w:p>
    <w:p w14:paraId="7AAF4CC4">
      <w:pPr>
        <w:pStyle w:val="98"/>
        <w:jc w:val="center"/>
        <w:rPr>
          <w:rFonts w:ascii="黑体" w:hAnsi="黑体" w:eastAsia="黑体"/>
          <w:b w:val="0"/>
          <w:bCs w:val="0"/>
          <w:sz w:val="24"/>
          <w:szCs w:val="24"/>
        </w:rPr>
      </w:pPr>
    </w:p>
    <w:p w14:paraId="75E989CA">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6FD6E607">
                            <w:pPr>
                              <w:pStyle w:val="75"/>
                              <w:rPr>
                                <w:rFonts w:ascii="宋体" w:hAnsi="宋体" w:eastAsia="宋体" w:cs="宋体"/>
                                <w:spacing w:val="58"/>
                                <w:w w:val="120"/>
                                <w:kern w:val="2"/>
                                <w:sz w:val="28"/>
                                <w:szCs w:val="28"/>
                              </w:rPr>
                            </w:pPr>
                          </w:p>
                          <w:p w14:paraId="008D70A3">
                            <w:pPr>
                              <w:jc w:val="center"/>
                              <w:rPr>
                                <w:rFonts w:hint="eastAsia" w:ascii="宋体" w:hAnsi="宋体" w:cs="宋体"/>
                                <w:spacing w:val="58"/>
                                <w:w w:val="120"/>
                                <w:sz w:val="28"/>
                                <w:szCs w:val="28"/>
                              </w:rPr>
                            </w:pPr>
                            <w:r>
                              <w:rPr>
                                <w:rFonts w:hint="eastAsia" w:ascii="宋体" w:hAnsi="宋体" w:cs="宋体"/>
                                <w:spacing w:val="58"/>
                                <w:w w:val="120"/>
                                <w:sz w:val="28"/>
                                <w:szCs w:val="28"/>
                              </w:rPr>
                              <w:t>松装密度漏斗法测定仪校准规范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hint="default" w:ascii="宋体" w:hAnsi="宋体" w:eastAsia="宋体" w:cs="宋体"/>
                                <w:sz w:val="28"/>
                                <w:szCs w:val="28"/>
                                <w:lang w:val="en-US"/>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广东省科学院工业分析检测中心</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6FD6E607">
                      <w:pPr>
                        <w:pStyle w:val="75"/>
                        <w:rPr>
                          <w:rFonts w:ascii="宋体" w:hAnsi="宋体" w:eastAsia="宋体" w:cs="宋体"/>
                          <w:spacing w:val="58"/>
                          <w:w w:val="120"/>
                          <w:kern w:val="2"/>
                          <w:sz w:val="28"/>
                          <w:szCs w:val="28"/>
                        </w:rPr>
                      </w:pPr>
                    </w:p>
                    <w:p w14:paraId="008D70A3">
                      <w:pPr>
                        <w:jc w:val="center"/>
                        <w:rPr>
                          <w:rFonts w:hint="eastAsia" w:ascii="宋体" w:hAnsi="宋体" w:cs="宋体"/>
                          <w:spacing w:val="58"/>
                          <w:w w:val="120"/>
                          <w:sz w:val="28"/>
                          <w:szCs w:val="28"/>
                        </w:rPr>
                      </w:pPr>
                      <w:r>
                        <w:rPr>
                          <w:rFonts w:hint="eastAsia" w:ascii="宋体" w:hAnsi="宋体" w:cs="宋体"/>
                          <w:spacing w:val="58"/>
                          <w:w w:val="120"/>
                          <w:sz w:val="28"/>
                          <w:szCs w:val="28"/>
                        </w:rPr>
                        <w:t>松装密度漏斗法测定仪校准规范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hint="default" w:ascii="宋体" w:hAnsi="宋体" w:eastAsia="宋体" w:cs="宋体"/>
                          <w:sz w:val="28"/>
                          <w:szCs w:val="28"/>
                          <w:lang w:val="en-US"/>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广东省科学院工业分析检测中心</w:t>
                      </w:r>
                    </w:p>
                  </w:txbxContent>
                </v:textbox>
                <w10:anchorlock/>
              </v:rect>
            </w:pict>
          </mc:Fallback>
        </mc:AlternateContent>
      </w:r>
    </w:p>
    <w:p w14:paraId="08C76235">
      <w:pPr>
        <w:pStyle w:val="98"/>
        <w:jc w:val="center"/>
        <w:rPr>
          <w:rFonts w:ascii="黑体" w:hAnsi="黑体" w:eastAsia="黑体"/>
          <w:b w:val="0"/>
          <w:bCs w:val="0"/>
          <w:sz w:val="24"/>
          <w:szCs w:val="24"/>
        </w:rPr>
      </w:pPr>
    </w:p>
    <w:p w14:paraId="207D3399">
      <w:pPr>
        <w:pStyle w:val="98"/>
        <w:jc w:val="center"/>
        <w:rPr>
          <w:rFonts w:ascii="黑体" w:hAnsi="黑体" w:eastAsia="黑体"/>
          <w:b w:val="0"/>
          <w:bCs w:val="0"/>
          <w:sz w:val="24"/>
          <w:szCs w:val="24"/>
        </w:rPr>
      </w:pPr>
    </w:p>
    <w:p w14:paraId="2A2979CC">
      <w:pPr>
        <w:pStyle w:val="98"/>
        <w:jc w:val="center"/>
        <w:rPr>
          <w:rFonts w:ascii="黑体" w:hAnsi="黑体" w:eastAsia="黑体"/>
          <w:b w:val="0"/>
          <w:bCs w:val="0"/>
          <w:sz w:val="24"/>
          <w:szCs w:val="24"/>
        </w:rPr>
      </w:pPr>
    </w:p>
    <w:p w14:paraId="1C6E7CC3">
      <w:pPr>
        <w:pStyle w:val="98"/>
        <w:jc w:val="center"/>
        <w:rPr>
          <w:rFonts w:ascii="黑体" w:hAnsi="黑体" w:eastAsia="黑体"/>
          <w:b w:val="0"/>
          <w:bCs w:val="0"/>
          <w:sz w:val="24"/>
          <w:szCs w:val="24"/>
        </w:rPr>
      </w:pPr>
    </w:p>
    <w:p w14:paraId="1F92AC1C">
      <w:pPr>
        <w:pStyle w:val="98"/>
        <w:jc w:val="center"/>
        <w:rPr>
          <w:rFonts w:ascii="黑体" w:hAnsi="黑体" w:eastAsia="黑体"/>
          <w:b w:val="0"/>
          <w:bCs w:val="0"/>
          <w:sz w:val="24"/>
          <w:szCs w:val="24"/>
        </w:rPr>
      </w:pPr>
    </w:p>
    <w:p w14:paraId="0C6A8990">
      <w:pPr>
        <w:pStyle w:val="98"/>
        <w:jc w:val="center"/>
        <w:rPr>
          <w:rFonts w:ascii="黑体" w:hAnsi="黑体" w:eastAsia="黑体"/>
          <w:b w:val="0"/>
          <w:bCs w:val="0"/>
          <w:sz w:val="24"/>
          <w:szCs w:val="24"/>
        </w:rPr>
      </w:pPr>
    </w:p>
    <w:p w14:paraId="6F63AF80">
      <w:pPr>
        <w:pStyle w:val="98"/>
        <w:jc w:val="center"/>
        <w:rPr>
          <w:rFonts w:ascii="黑体" w:hAnsi="黑体" w:eastAsia="黑体"/>
          <w:b w:val="0"/>
          <w:bCs w:val="0"/>
          <w:sz w:val="24"/>
          <w:szCs w:val="24"/>
        </w:rPr>
      </w:pPr>
    </w:p>
    <w:p w14:paraId="4518B1F7">
      <w:pPr>
        <w:pStyle w:val="2"/>
        <w:spacing w:before="156" w:after="156"/>
        <w:rPr>
          <w:b w:val="0"/>
          <w:bCs w:val="0"/>
        </w:rPr>
      </w:pPr>
      <w:r>
        <w:rPr>
          <w:rFonts w:hint="eastAsia"/>
          <w:b w:val="0"/>
          <w:bCs w:val="0"/>
        </w:rPr>
        <w:t>一、工作简况</w:t>
      </w:r>
      <w:bookmarkEnd w:id="0"/>
      <w:bookmarkStart w:id="2" w:name="_Toc464728896"/>
    </w:p>
    <w:p w14:paraId="75FBB674">
      <w:pPr>
        <w:pStyle w:val="3"/>
        <w:spacing w:before="156" w:after="156"/>
        <w:rPr>
          <w:b w:val="0"/>
          <w:bCs w:val="0"/>
        </w:rPr>
      </w:pPr>
      <w:r>
        <w:rPr>
          <w:rFonts w:hint="eastAsia"/>
          <w:b w:val="0"/>
          <w:bCs w:val="0"/>
        </w:rPr>
        <w:t>1.立项目的</w:t>
      </w:r>
    </w:p>
    <w:p w14:paraId="0D7E6401">
      <w:pPr>
        <w:spacing w:line="360" w:lineRule="auto"/>
        <w:ind w:firstLine="555"/>
        <w:rPr>
          <w:rFonts w:hint="eastAsia" w:asciiTheme="minorEastAsia" w:hAnsiTheme="minorEastAsia" w:eastAsiaTheme="minorEastAsia" w:cstheme="minorEastAsia"/>
          <w:b w:val="0"/>
          <w:bCs w:val="0"/>
          <w:sz w:val="21"/>
          <w:szCs w:val="21"/>
          <w:lang w:eastAsia="zh-CN"/>
        </w:rPr>
      </w:pPr>
      <w:bookmarkStart w:id="3" w:name="OLE_LINK4"/>
      <w:r>
        <w:rPr>
          <w:rFonts w:hint="eastAsia" w:asciiTheme="minorEastAsia" w:hAnsiTheme="minorEastAsia" w:eastAsiaTheme="minorEastAsia" w:cstheme="minorEastAsia"/>
          <w:b w:val="0"/>
          <w:bCs w:val="0"/>
          <w:sz w:val="21"/>
          <w:szCs w:val="21"/>
        </w:rPr>
        <w:t>松装密度漏斗法测定仪</w:t>
      </w:r>
      <w:bookmarkEnd w:id="3"/>
      <w:r>
        <w:rPr>
          <w:rFonts w:hint="eastAsia" w:asciiTheme="minorEastAsia" w:hAnsiTheme="minorEastAsia" w:eastAsiaTheme="minorEastAsia" w:cstheme="minorEastAsia"/>
          <w:b w:val="0"/>
          <w:bCs w:val="0"/>
          <w:sz w:val="21"/>
          <w:szCs w:val="21"/>
        </w:rPr>
        <w:t>是使粉末</w:t>
      </w:r>
      <w:r>
        <w:rPr>
          <w:rFonts w:hint="eastAsia" w:asciiTheme="minorEastAsia" w:hAnsiTheme="minorEastAsia" w:eastAsiaTheme="minorEastAsia" w:cstheme="minorEastAsia"/>
          <w:b w:val="0"/>
          <w:bCs w:val="0"/>
          <w:sz w:val="21"/>
          <w:szCs w:val="21"/>
          <w:lang w:val="en-US" w:eastAsia="zh-CN"/>
        </w:rPr>
        <w:t>颗粒</w:t>
      </w:r>
      <w:r>
        <w:rPr>
          <w:rFonts w:hint="eastAsia" w:asciiTheme="minorEastAsia" w:hAnsiTheme="minorEastAsia" w:eastAsiaTheme="minorEastAsia" w:cstheme="minorEastAsia"/>
          <w:b w:val="0"/>
          <w:bCs w:val="0"/>
          <w:sz w:val="21"/>
          <w:szCs w:val="21"/>
        </w:rPr>
        <w:t>在自然状态下从漏斗孔按一定高度自由落体充满量杯</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从而算得粉末颗粒的松装密度。</w:t>
      </w:r>
      <w:r>
        <w:rPr>
          <w:rFonts w:hint="eastAsia" w:asciiTheme="minorEastAsia" w:hAnsiTheme="minorEastAsia" w:eastAsiaTheme="minorEastAsia" w:cstheme="minorEastAsia"/>
          <w:b w:val="0"/>
          <w:bCs w:val="0"/>
          <w:sz w:val="21"/>
          <w:szCs w:val="21"/>
        </w:rPr>
        <w:t>为</w:t>
      </w:r>
      <w:r>
        <w:rPr>
          <w:rFonts w:hint="eastAsia" w:asciiTheme="minorEastAsia" w:hAnsiTheme="minorEastAsia" w:eastAsiaTheme="minorEastAsia" w:cstheme="minorEastAsia"/>
          <w:b w:val="0"/>
          <w:bCs w:val="0"/>
          <w:sz w:val="21"/>
          <w:szCs w:val="21"/>
          <w:lang w:val="en-US" w:eastAsia="zh-CN"/>
        </w:rPr>
        <w:t>保证测试结果的</w:t>
      </w:r>
      <w:r>
        <w:rPr>
          <w:rFonts w:hint="eastAsia" w:asciiTheme="minorEastAsia" w:hAnsiTheme="minorEastAsia" w:eastAsiaTheme="minorEastAsia" w:cstheme="minorEastAsia"/>
          <w:b w:val="0"/>
          <w:bCs w:val="0"/>
          <w:sz w:val="21"/>
          <w:szCs w:val="21"/>
        </w:rPr>
        <w:t>准确可靠，需要对其进行</w:t>
      </w:r>
      <w:r>
        <w:rPr>
          <w:rFonts w:hint="eastAsia" w:asciiTheme="minorEastAsia" w:hAnsiTheme="minorEastAsia" w:eastAsiaTheme="minorEastAsia" w:cstheme="minorEastAsia"/>
          <w:b w:val="0"/>
          <w:bCs w:val="0"/>
          <w:sz w:val="21"/>
          <w:szCs w:val="21"/>
          <w:lang w:val="en-US" w:eastAsia="zh-CN"/>
        </w:rPr>
        <w:t>校准</w:t>
      </w:r>
      <w:r>
        <w:rPr>
          <w:rFonts w:hint="eastAsia" w:asciiTheme="minorEastAsia" w:hAnsiTheme="minorEastAsia" w:eastAsiaTheme="minorEastAsia" w:cstheme="minorEastAsia"/>
          <w:b w:val="0"/>
          <w:bCs w:val="0"/>
          <w:sz w:val="21"/>
          <w:szCs w:val="21"/>
        </w:rPr>
        <w:t>，保证其量值准确、可靠、有源可溯。</w:t>
      </w:r>
    </w:p>
    <w:p w14:paraId="72EEEBFF">
      <w:pPr>
        <w:pStyle w:val="21"/>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本</w:t>
      </w:r>
      <w:r>
        <w:rPr>
          <w:rFonts w:hint="eastAsia" w:asciiTheme="minorEastAsia" w:hAnsiTheme="minorEastAsia" w:eastAsiaTheme="minorEastAsia" w:cstheme="minorEastAsia"/>
          <w:b w:val="0"/>
          <w:bCs w:val="0"/>
          <w:sz w:val="21"/>
          <w:szCs w:val="21"/>
        </w:rPr>
        <w:t>规范</w:t>
      </w:r>
      <w:r>
        <w:rPr>
          <w:rFonts w:hint="eastAsia" w:asciiTheme="minorEastAsia" w:hAnsiTheme="minorEastAsia" w:eastAsiaTheme="minorEastAsia" w:cstheme="minorEastAsia"/>
          <w:b w:val="0"/>
          <w:bCs w:val="0"/>
          <w:sz w:val="21"/>
          <w:szCs w:val="21"/>
          <w:lang w:val="en-US" w:eastAsia="zh-CN"/>
        </w:rPr>
        <w:t>重点</w:t>
      </w:r>
      <w:r>
        <w:rPr>
          <w:rFonts w:hint="eastAsia" w:asciiTheme="minorEastAsia" w:hAnsiTheme="minorEastAsia" w:eastAsiaTheme="minorEastAsia" w:cstheme="minorEastAsia"/>
          <w:b w:val="0"/>
          <w:bCs w:val="0"/>
          <w:sz w:val="21"/>
          <w:szCs w:val="21"/>
        </w:rPr>
        <w:t>解决</w:t>
      </w:r>
      <w:r>
        <w:rPr>
          <w:rFonts w:hint="eastAsia" w:asciiTheme="minorEastAsia" w:hAnsiTheme="minorEastAsia" w:eastAsiaTheme="minorEastAsia" w:cstheme="minorEastAsia"/>
          <w:b w:val="0"/>
          <w:bCs w:val="0"/>
          <w:sz w:val="21"/>
          <w:szCs w:val="21"/>
          <w:lang w:val="en-US" w:eastAsia="zh-CN"/>
        </w:rPr>
        <w:t>了</w:t>
      </w:r>
      <w:r>
        <w:rPr>
          <w:rFonts w:hint="eastAsia" w:asciiTheme="minorEastAsia" w:hAnsiTheme="minorEastAsia" w:eastAsiaTheme="minorEastAsia" w:cstheme="minorEastAsia"/>
          <w:b w:val="0"/>
          <w:bCs w:val="0"/>
          <w:sz w:val="21"/>
          <w:szCs w:val="21"/>
        </w:rPr>
        <w:t>松装密度漏斗法测定仪</w:t>
      </w:r>
      <w:r>
        <w:rPr>
          <w:rFonts w:hint="eastAsia" w:asciiTheme="minorEastAsia" w:hAnsiTheme="minorEastAsia" w:eastAsiaTheme="minorEastAsia" w:cstheme="minorEastAsia"/>
          <w:b w:val="0"/>
          <w:bCs w:val="0"/>
          <w:sz w:val="21"/>
          <w:szCs w:val="21"/>
          <w:lang w:val="en-US" w:eastAsia="zh-CN"/>
        </w:rPr>
        <w:t>计量特性不明确、校准项目不齐全、</w:t>
      </w:r>
      <w:r>
        <w:rPr>
          <w:rFonts w:hint="eastAsia" w:asciiTheme="minorEastAsia" w:hAnsiTheme="minorEastAsia" w:eastAsiaTheme="minorEastAsia" w:cstheme="minorEastAsia"/>
          <w:b w:val="0"/>
          <w:bCs w:val="0"/>
          <w:sz w:val="21"/>
          <w:szCs w:val="21"/>
        </w:rPr>
        <w:t>校准方法不统一等问题，弥补松装密度漏斗法测定仪校准</w:t>
      </w:r>
      <w:r>
        <w:rPr>
          <w:rFonts w:hint="eastAsia" w:asciiTheme="minorEastAsia" w:hAnsiTheme="minorEastAsia" w:eastAsiaTheme="minorEastAsia" w:cstheme="minorEastAsia"/>
          <w:b w:val="0"/>
          <w:bCs w:val="0"/>
          <w:sz w:val="21"/>
          <w:szCs w:val="21"/>
          <w:lang w:val="en-US" w:eastAsia="zh-CN"/>
        </w:rPr>
        <w:t>规范</w:t>
      </w:r>
      <w:r>
        <w:rPr>
          <w:rFonts w:hint="eastAsia" w:asciiTheme="minorEastAsia" w:hAnsiTheme="minorEastAsia" w:eastAsiaTheme="minorEastAsia" w:cstheme="minorEastAsia"/>
          <w:b w:val="0"/>
          <w:bCs w:val="0"/>
          <w:sz w:val="21"/>
          <w:szCs w:val="21"/>
        </w:rPr>
        <w:t>的空白，</w:t>
      </w:r>
      <w:r>
        <w:rPr>
          <w:rFonts w:hint="eastAsia" w:asciiTheme="minorEastAsia" w:hAnsiTheme="minorEastAsia" w:eastAsiaTheme="minorEastAsia" w:cstheme="minorEastAsia"/>
          <w:b w:val="0"/>
          <w:bCs w:val="0"/>
          <w:sz w:val="21"/>
          <w:szCs w:val="21"/>
          <w:lang w:val="en-US" w:eastAsia="zh-CN"/>
        </w:rPr>
        <w:t>进一步提高了</w:t>
      </w:r>
      <w:r>
        <w:rPr>
          <w:rFonts w:hint="eastAsia" w:asciiTheme="minorEastAsia" w:hAnsiTheme="minorEastAsia" w:eastAsiaTheme="minorEastAsia" w:cstheme="minorEastAsia"/>
          <w:sz w:val="21"/>
          <w:szCs w:val="21"/>
        </w:rPr>
        <w:t>粉末颗粒</w:t>
      </w:r>
      <w:r>
        <w:rPr>
          <w:rFonts w:hint="eastAsia" w:asciiTheme="minorEastAsia" w:hAnsiTheme="minorEastAsia" w:eastAsiaTheme="minorEastAsia" w:cstheme="minorEastAsia"/>
          <w:sz w:val="21"/>
          <w:szCs w:val="21"/>
          <w:lang w:val="en-US" w:eastAsia="zh-CN"/>
        </w:rPr>
        <w:t>松装密度</w:t>
      </w:r>
      <w:r>
        <w:rPr>
          <w:rFonts w:hint="eastAsia" w:asciiTheme="minorEastAsia" w:hAnsiTheme="minorEastAsia" w:eastAsiaTheme="minorEastAsia" w:cstheme="minorEastAsia"/>
          <w:b w:val="0"/>
          <w:bCs w:val="0"/>
          <w:sz w:val="21"/>
          <w:szCs w:val="21"/>
        </w:rPr>
        <w:t>测试结果的准确性。</w:t>
      </w:r>
    </w:p>
    <w:p w14:paraId="33748486">
      <w:pPr>
        <w:pStyle w:val="3"/>
        <w:spacing w:before="156" w:after="156"/>
        <w:rPr>
          <w:b w:val="0"/>
          <w:bCs w:val="0"/>
        </w:rPr>
      </w:pPr>
      <w:r>
        <w:rPr>
          <w:rFonts w:hint="eastAsia"/>
          <w:b w:val="0"/>
          <w:bCs w:val="0"/>
        </w:rPr>
        <w:t>2.任务来源</w:t>
      </w:r>
      <w:bookmarkEnd w:id="2"/>
    </w:p>
    <w:p w14:paraId="36825DE0">
      <w:pPr>
        <w:pStyle w:val="35"/>
        <w:spacing w:after="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根据工业和信息化部《关于印发</w:t>
      </w:r>
      <w:r>
        <w:rPr>
          <w:rFonts w:hint="eastAsia" w:ascii="宋体" w:hAnsi="宋体" w:cs="宋体"/>
          <w:color w:val="auto"/>
          <w:szCs w:val="21"/>
          <w:lang w:val="en-US" w:eastAsia="zh-CN"/>
        </w:rPr>
        <w:t>2023</w:t>
      </w:r>
      <w:r>
        <w:rPr>
          <w:rFonts w:hint="eastAsia" w:ascii="宋体" w:hAnsi="宋体" w:eastAsia="宋体" w:cs="宋体"/>
          <w:color w:val="auto"/>
          <w:szCs w:val="21"/>
        </w:rPr>
        <w:t>年行业计量技术规范制修订计划的通知》（工信厅科函［</w:t>
      </w:r>
      <w:r>
        <w:rPr>
          <w:rFonts w:hint="eastAsia" w:ascii="宋体" w:hAnsi="宋体" w:cs="宋体"/>
          <w:color w:val="auto"/>
          <w:szCs w:val="21"/>
          <w:lang w:val="en-US" w:eastAsia="zh-CN"/>
        </w:rPr>
        <w:t>2023</w:t>
      </w:r>
      <w:r>
        <w:rPr>
          <w:rFonts w:hint="eastAsia" w:ascii="宋体" w:hAnsi="宋体" w:eastAsia="宋体" w:cs="宋体"/>
          <w:color w:val="auto"/>
          <w:szCs w:val="21"/>
        </w:rPr>
        <w:t>］</w:t>
      </w:r>
      <w:r>
        <w:rPr>
          <w:rFonts w:hint="eastAsia" w:ascii="宋体" w:hAnsi="宋体" w:cs="宋体"/>
          <w:color w:val="auto"/>
          <w:szCs w:val="21"/>
          <w:lang w:val="en-US" w:eastAsia="zh-CN"/>
        </w:rPr>
        <w:t>476</w:t>
      </w:r>
      <w:r>
        <w:rPr>
          <w:rFonts w:hint="eastAsia" w:ascii="宋体" w:hAnsi="宋体" w:eastAsia="宋体" w:cs="宋体"/>
          <w:color w:val="auto"/>
          <w:szCs w:val="21"/>
        </w:rPr>
        <w:t>号）文的要求，行业计量技术规范《</w:t>
      </w:r>
      <w:r>
        <w:rPr>
          <w:rFonts w:hint="eastAsia" w:hAnsi="宋体"/>
          <w:b w:val="0"/>
          <w:bCs w:val="0"/>
          <w:szCs w:val="21"/>
        </w:rPr>
        <w:t>松装密度漏斗法测定仪</w:t>
      </w:r>
      <w:r>
        <w:rPr>
          <w:rFonts w:hint="eastAsia" w:ascii="宋体" w:hAnsi="宋体" w:eastAsia="宋体" w:cs="宋体"/>
          <w:color w:val="auto"/>
          <w:szCs w:val="21"/>
        </w:rPr>
        <w:t>校准规范》由广东省</w:t>
      </w:r>
      <w:r>
        <w:rPr>
          <w:rFonts w:hint="eastAsia" w:ascii="宋体" w:hAnsi="宋体" w:eastAsia="宋体" w:cs="宋体"/>
          <w:color w:val="auto"/>
          <w:szCs w:val="21"/>
          <w:lang w:val="en-US" w:eastAsia="zh-CN"/>
        </w:rPr>
        <w:t>科学院</w:t>
      </w:r>
      <w:r>
        <w:rPr>
          <w:rFonts w:hint="eastAsia" w:ascii="宋体" w:hAnsi="宋体" w:eastAsia="宋体" w:cs="宋体"/>
          <w:color w:val="auto"/>
          <w:szCs w:val="21"/>
        </w:rPr>
        <w:t>工业分析检测中心负责起草。该项目计划编号为JJF</w:t>
      </w:r>
      <w:r>
        <w:rPr>
          <w:rFonts w:hint="eastAsia" w:ascii="宋体" w:hAnsi="宋体" w:eastAsia="宋体" w:cs="宋体"/>
          <w:color w:val="auto"/>
          <w:szCs w:val="21"/>
          <w:lang w:val="en-US" w:eastAsia="zh-CN"/>
        </w:rPr>
        <w:t>Z</w:t>
      </w:r>
      <w:r>
        <w:rPr>
          <w:rFonts w:hint="eastAsia" w:ascii="宋体" w:hAnsi="宋体" w:eastAsia="宋体" w:cs="宋体"/>
          <w:color w:val="auto"/>
          <w:szCs w:val="21"/>
        </w:rPr>
        <w:t>（有色金属）00</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。按计划要求，本技术规范应于202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年完成。</w:t>
      </w:r>
    </w:p>
    <w:p w14:paraId="7285DE43">
      <w:pPr>
        <w:pStyle w:val="3"/>
        <w:spacing w:before="156" w:after="156"/>
        <w:rPr>
          <w:b w:val="0"/>
          <w:bCs w:val="0"/>
        </w:rPr>
      </w:pPr>
      <w:r>
        <w:rPr>
          <w:rFonts w:hint="eastAsia"/>
          <w:b w:val="0"/>
          <w:bCs w:val="0"/>
        </w:rPr>
        <w:t>3.项目编制组单位简况</w:t>
      </w:r>
    </w:p>
    <w:p w14:paraId="5C80AFEB">
      <w:pPr>
        <w:pStyle w:val="4"/>
        <w:spacing w:before="156" w:after="156"/>
        <w:rPr>
          <w:b w:val="0"/>
          <w:bCs w:val="0"/>
        </w:rPr>
      </w:pPr>
      <w:r>
        <w:rPr>
          <w:rFonts w:hint="eastAsia"/>
          <w:b w:val="0"/>
          <w:bCs w:val="0"/>
        </w:rPr>
        <w:t>3.1</w:t>
      </w:r>
      <w:r>
        <w:rPr>
          <w:rFonts w:hint="eastAsia"/>
          <w:b w:val="0"/>
          <w:bCs w:val="0"/>
          <w:lang w:val="en-US" w:eastAsia="zh-CN"/>
        </w:rPr>
        <w:t xml:space="preserve"> </w:t>
      </w:r>
      <w:r>
        <w:rPr>
          <w:rFonts w:hint="eastAsia"/>
          <w:b w:val="0"/>
          <w:bCs w:val="0"/>
        </w:rPr>
        <w:t>编制组成员单位</w:t>
      </w:r>
    </w:p>
    <w:p w14:paraId="40014D57">
      <w:pPr>
        <w:widowControl/>
        <w:autoSpaceDE w:val="0"/>
        <w:autoSpaceDN w:val="0"/>
        <w:spacing w:line="360" w:lineRule="auto"/>
        <w:ind w:firstLine="420" w:firstLineChars="200"/>
        <w:rPr>
          <w:rFonts w:hint="default"/>
          <w:b w:val="0"/>
          <w:bCs w:val="0"/>
          <w:szCs w:val="21"/>
          <w:lang w:val="en-US"/>
        </w:rPr>
      </w:pPr>
      <w:bookmarkStart w:id="4" w:name="_Toc464728900"/>
      <w:bookmarkStart w:id="5" w:name="_Toc462884344"/>
      <w:r>
        <w:rPr>
          <w:rFonts w:hint="eastAsia"/>
          <w:b w:val="0"/>
          <w:bCs w:val="0"/>
          <w:szCs w:val="21"/>
        </w:rPr>
        <w:t>本规范的编制组单位为：</w:t>
      </w:r>
      <w:r>
        <w:rPr>
          <w:rFonts w:hint="eastAsia"/>
          <w:b w:val="0"/>
          <w:bCs w:val="0"/>
          <w:szCs w:val="21"/>
          <w:lang w:val="en-US" w:eastAsia="zh-CN"/>
        </w:rPr>
        <w:t>广东省科学院工业分析检测中心、西安汉唐分析检测有限公司、西南铝业（集团）有限责任公司、天津新艾隆科技有限公司、广东省科学院新材料研究所、国标（北京）检验认证有限公司、中国有色金属工业标准计量质量研究所。</w:t>
      </w:r>
    </w:p>
    <w:p w14:paraId="7D4F1A94">
      <w:pPr>
        <w:pStyle w:val="4"/>
        <w:spacing w:before="156" w:after="156"/>
        <w:rPr>
          <w:b w:val="0"/>
          <w:bCs w:val="0"/>
        </w:rPr>
      </w:pPr>
      <w:r>
        <w:rPr>
          <w:rFonts w:hint="eastAsia"/>
          <w:b w:val="0"/>
          <w:bCs w:val="0"/>
        </w:rPr>
        <w:t>3.2 主编单位简介</w:t>
      </w:r>
    </w:p>
    <w:bookmarkEnd w:id="4"/>
    <w:bookmarkEnd w:id="5"/>
    <w:p w14:paraId="752637BB">
      <w:pPr>
        <w:spacing w:line="360" w:lineRule="auto"/>
        <w:ind w:firstLine="420" w:firstLineChars="200"/>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w:t>
      </w:r>
      <w:r>
        <w:rPr>
          <w:rFonts w:hint="eastAsia" w:asciiTheme="minorEastAsia" w:hAnsiTheme="minorEastAsia" w:eastAsiaTheme="minorEastAsia" w:cstheme="minorEastAsia"/>
          <w:b w:val="0"/>
          <w:bCs w:val="0"/>
          <w:color w:val="auto"/>
          <w:szCs w:val="21"/>
          <w:lang w:val="en-US" w:eastAsia="zh-CN"/>
        </w:rPr>
        <w:t>160</w:t>
      </w:r>
      <w:r>
        <w:rPr>
          <w:rFonts w:hint="eastAsia" w:asciiTheme="minorEastAsia" w:hAnsiTheme="minorEastAsia" w:eastAsiaTheme="minorEastAsia" w:cstheme="minorEastAsia"/>
          <w:b w:val="0"/>
          <w:bCs w:val="0"/>
          <w:color w:val="auto"/>
          <w:szCs w:val="21"/>
          <w:lang w:eastAsia="zh-CN"/>
        </w:rPr>
        <w:t>余人，其中具有中级职称以上科技人员占80%。承担国家、省级各类项目50余项，主持和参与国家、行业标准200余项，发表专著5部，发表论文300余篇。</w:t>
      </w:r>
    </w:p>
    <w:p w14:paraId="1BFEC3A0">
      <w:pPr>
        <w:spacing w:line="360" w:lineRule="auto"/>
        <w:ind w:firstLine="420" w:firstLineChars="200"/>
        <w:contextualSpacing/>
        <w:jc w:val="left"/>
        <w:rPr>
          <w:rFonts w:hint="eastAsia"/>
          <w:b w:val="0"/>
          <w:bCs w:val="0"/>
          <w:szCs w:val="21"/>
        </w:rPr>
      </w:pPr>
      <w:r>
        <w:rPr>
          <w:rFonts w:hint="eastAsia"/>
          <w:b w:val="0"/>
          <w:bCs w:val="0"/>
          <w:szCs w:val="21"/>
          <w:lang w:val="en-US" w:eastAsia="zh-CN"/>
        </w:rPr>
        <w:t>该</w:t>
      </w:r>
      <w:r>
        <w:rPr>
          <w:rFonts w:hint="eastAsia"/>
          <w:b w:val="0"/>
          <w:bCs w:val="0"/>
          <w:szCs w:val="21"/>
        </w:rPr>
        <w:t>单位</w:t>
      </w:r>
      <w:r>
        <w:rPr>
          <w:rFonts w:hint="eastAsia"/>
          <w:b w:val="0"/>
          <w:bCs w:val="0"/>
          <w:szCs w:val="21"/>
          <w:lang w:val="en-US" w:eastAsia="zh-CN"/>
        </w:rPr>
        <w:t>主要负责本规范的起草工作</w:t>
      </w:r>
      <w:r>
        <w:rPr>
          <w:rFonts w:hint="eastAsia"/>
          <w:b w:val="0"/>
          <w:bCs w:val="0"/>
          <w:szCs w:val="21"/>
          <w:lang w:eastAsia="zh-CN"/>
        </w:rPr>
        <w:t>，</w:t>
      </w:r>
      <w:r>
        <w:rPr>
          <w:rFonts w:hint="eastAsia"/>
          <w:b w:val="0"/>
          <w:bCs w:val="0"/>
          <w:szCs w:val="21"/>
          <w:lang w:val="en-US" w:eastAsia="zh-CN"/>
        </w:rPr>
        <w:t>成立编制组并根据委员会的工作安排组织编制组成员单位开展相关校准工作</w:t>
      </w:r>
      <w:r>
        <w:rPr>
          <w:rFonts w:hint="eastAsia"/>
          <w:b w:val="0"/>
          <w:bCs w:val="0"/>
          <w:szCs w:val="21"/>
        </w:rPr>
        <w:t>，组织</w:t>
      </w:r>
      <w:r>
        <w:rPr>
          <w:rFonts w:hint="eastAsia"/>
          <w:b w:val="0"/>
          <w:bCs w:val="0"/>
          <w:szCs w:val="21"/>
          <w:lang w:val="en-US" w:eastAsia="zh-CN"/>
        </w:rPr>
        <w:t>各</w:t>
      </w:r>
      <w:r>
        <w:rPr>
          <w:rFonts w:hint="eastAsia"/>
          <w:b w:val="0"/>
          <w:bCs w:val="0"/>
          <w:szCs w:val="21"/>
        </w:rPr>
        <w:t>单位对规范的《征求意见稿》</w:t>
      </w:r>
      <w:r>
        <w:rPr>
          <w:rFonts w:hint="eastAsia"/>
          <w:b w:val="0"/>
          <w:bCs w:val="0"/>
          <w:szCs w:val="21"/>
          <w:lang w:eastAsia="zh-CN"/>
        </w:rPr>
        <w:t>、《</w:t>
      </w:r>
      <w:r>
        <w:rPr>
          <w:rFonts w:hint="eastAsia"/>
          <w:b w:val="0"/>
          <w:bCs w:val="0"/>
          <w:szCs w:val="21"/>
          <w:lang w:val="en-US" w:eastAsia="zh-CN"/>
        </w:rPr>
        <w:t>预审稿</w:t>
      </w:r>
      <w:r>
        <w:rPr>
          <w:rFonts w:hint="eastAsia"/>
          <w:b w:val="0"/>
          <w:bCs w:val="0"/>
          <w:szCs w:val="21"/>
          <w:lang w:eastAsia="zh-CN"/>
        </w:rPr>
        <w:t>》</w:t>
      </w:r>
      <w:r>
        <w:rPr>
          <w:rFonts w:hint="eastAsia"/>
          <w:b w:val="0"/>
          <w:bCs w:val="0"/>
          <w:szCs w:val="21"/>
          <w:lang w:val="en-US" w:eastAsia="zh-CN"/>
        </w:rPr>
        <w:t>及《送审稿》</w:t>
      </w:r>
      <w:r>
        <w:rPr>
          <w:rFonts w:hint="eastAsia"/>
          <w:b w:val="0"/>
          <w:bCs w:val="0"/>
          <w:szCs w:val="21"/>
        </w:rPr>
        <w:t>进行认真的讨论，</w:t>
      </w:r>
      <w:r>
        <w:rPr>
          <w:rFonts w:hint="eastAsia"/>
          <w:b w:val="0"/>
          <w:bCs w:val="0"/>
          <w:szCs w:val="21"/>
          <w:lang w:val="en-US" w:eastAsia="zh-CN"/>
        </w:rPr>
        <w:t>并就</w:t>
      </w:r>
      <w:r>
        <w:rPr>
          <w:rFonts w:hint="eastAsia"/>
          <w:b w:val="0"/>
          <w:bCs w:val="0"/>
          <w:szCs w:val="21"/>
        </w:rPr>
        <w:t>提出的意见和建议</w:t>
      </w:r>
      <w:r>
        <w:rPr>
          <w:rFonts w:hint="eastAsia"/>
          <w:b w:val="0"/>
          <w:bCs w:val="0"/>
          <w:szCs w:val="21"/>
          <w:lang w:val="en-US" w:eastAsia="zh-CN"/>
        </w:rPr>
        <w:t>进行反馈和修改</w:t>
      </w:r>
      <w:r>
        <w:rPr>
          <w:rFonts w:hint="eastAsia"/>
          <w:b w:val="0"/>
          <w:bCs w:val="0"/>
          <w:szCs w:val="21"/>
        </w:rPr>
        <w:t>，在编制组中发挥</w:t>
      </w:r>
      <w:r>
        <w:rPr>
          <w:rFonts w:hint="eastAsia"/>
          <w:b w:val="0"/>
          <w:bCs w:val="0"/>
          <w:szCs w:val="21"/>
          <w:lang w:val="en-US" w:eastAsia="zh-CN"/>
        </w:rPr>
        <w:t>主要带头</w:t>
      </w:r>
      <w:r>
        <w:rPr>
          <w:rFonts w:hint="eastAsia"/>
          <w:b w:val="0"/>
          <w:bCs w:val="0"/>
          <w:szCs w:val="21"/>
        </w:rPr>
        <w:t>作用。</w:t>
      </w:r>
    </w:p>
    <w:p w14:paraId="6220CB61">
      <w:pPr>
        <w:pStyle w:val="60"/>
        <w:numPr>
          <w:ilvl w:val="0"/>
          <w:numId w:val="0"/>
        </w:numPr>
        <w:spacing w:before="156" w:beforeLines="50" w:after="156" w:afterLines="50"/>
        <w:rPr>
          <w:b w:val="0"/>
          <w:bCs w:val="0"/>
          <w:color w:val="auto"/>
        </w:rPr>
      </w:pPr>
      <w:bookmarkStart w:id="6" w:name="_Toc464728901"/>
      <w:bookmarkStart w:id="7" w:name="_Toc462884345"/>
      <w:r>
        <w:rPr>
          <w:rFonts w:hint="eastAsia"/>
          <w:b w:val="0"/>
          <w:bCs w:val="0"/>
          <w:color w:val="auto"/>
        </w:rPr>
        <w:t>3.3</w:t>
      </w:r>
      <w:r>
        <w:rPr>
          <w:rFonts w:hint="eastAsia"/>
          <w:b w:val="0"/>
          <w:bCs w:val="0"/>
          <w:color w:val="auto"/>
          <w:lang w:val="en-US" w:eastAsia="zh-CN"/>
        </w:rPr>
        <w:t xml:space="preserve"> </w:t>
      </w:r>
      <w:r>
        <w:rPr>
          <w:rFonts w:hint="eastAsia"/>
          <w:b w:val="0"/>
          <w:bCs w:val="0"/>
          <w:color w:val="auto"/>
        </w:rPr>
        <w:t>成员单位简介</w:t>
      </w:r>
      <w:bookmarkEnd w:id="6"/>
      <w:bookmarkEnd w:id="7"/>
    </w:p>
    <w:p w14:paraId="18374AD4">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3.3.1  西安汉唐分析检测有限公司</w:t>
      </w:r>
    </w:p>
    <w:p w14:paraId="51A91C69">
      <w:pPr>
        <w:spacing w:line="360" w:lineRule="auto"/>
        <w:ind w:firstLine="420" w:firstLineChars="200"/>
        <w:contextualSpacing/>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公司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w:t>
      </w:r>
    </w:p>
    <w:p w14:paraId="150B9858">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 xml:space="preserve">3.3.2  </w:t>
      </w:r>
      <w:bookmarkStart w:id="8" w:name="_Toc462884347"/>
      <w:bookmarkStart w:id="9" w:name="_Toc464728903"/>
      <w:r>
        <w:rPr>
          <w:rFonts w:hint="eastAsia"/>
          <w:b w:val="0"/>
          <w:bCs w:val="0"/>
          <w:lang w:val="en-US" w:eastAsia="zh-CN"/>
        </w:rPr>
        <w:t>西南铝业（集团）有限责任公司</w:t>
      </w:r>
    </w:p>
    <w:p w14:paraId="355B1A73">
      <w:pPr>
        <w:numPr>
          <w:ilvl w:val="0"/>
          <w:numId w:val="0"/>
        </w:numPr>
        <w:spacing w:line="360" w:lineRule="auto"/>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西南铝业（集团）有限责任公司（简称西南铝）位于重庆市九龙坡区西彭镇，前身为冶金部112厂、西南铝加工厂，始建于1965年7月，2000年12月改制成立有限责任公司，是我国为生产重点项目、航空航天所需大规格、新品种、高质量铝及铝合金材料而建设的大型企业。经过50多年的建设发展,西南铝已成为我国综合实力最强的特大型铝加工企业之一,是我国航空航天和重点项目材料研发保障、高精尖铝材研发生产和出口的“核心基地”。现隶属于中国铝业集团有限公司。西南铝培养了中国工程院院士1人、两江学者1人、国家级技能大师1人、享受国务院政府特殊津贴专家30余人，建有院士工作站，拥有国家级企业技术中心，技术研发实力国内领先。率先开发出以地铁车辆用铝型材、易拉罐用铝板材、印刷用铝版基等为代表的大量高品质新型铝合金材料以及全铝家居系列产品，“西南铝”驰名商标已成为具有国际影响力的中国铝加工品牌。</w:t>
      </w:r>
    </w:p>
    <w:p w14:paraId="3FA0DEF3">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 xml:space="preserve">3.3.3  </w:t>
      </w:r>
      <w:r>
        <w:rPr>
          <w:rFonts w:hint="eastAsia"/>
          <w:b w:val="0"/>
          <w:bCs w:val="0"/>
          <w:szCs w:val="21"/>
          <w:lang w:val="en-US" w:eastAsia="zh-CN"/>
        </w:rPr>
        <w:t>天津新艾隆科技有限公司</w:t>
      </w:r>
    </w:p>
    <w:p w14:paraId="1B49FB84">
      <w:pPr>
        <w:pStyle w:val="5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Theme="minorEastAsia" w:hAnsiTheme="minorEastAsia" w:eastAsiaTheme="minorEastAsia" w:cstheme="minorEastAsia"/>
          <w:b w:val="0"/>
          <w:bCs w:val="0"/>
          <w:color w:val="auto"/>
          <w:spacing w:val="0"/>
          <w:kern w:val="2"/>
          <w:sz w:val="21"/>
          <w:szCs w:val="24"/>
          <w:lang w:val="en-US" w:eastAsia="zh-CN" w:bidi="ar-SA"/>
        </w:rPr>
      </w:pPr>
      <w:r>
        <w:rPr>
          <w:rFonts w:hint="eastAsia" w:asciiTheme="minorEastAsia" w:hAnsiTheme="minorEastAsia" w:eastAsiaTheme="minorEastAsia" w:cstheme="minorEastAsia"/>
          <w:b w:val="0"/>
          <w:bCs w:val="0"/>
          <w:color w:val="auto"/>
          <w:spacing w:val="0"/>
          <w:kern w:val="2"/>
          <w:sz w:val="21"/>
          <w:szCs w:val="24"/>
          <w:lang w:val="en-US" w:eastAsia="zh-CN" w:bidi="ar-SA"/>
        </w:rPr>
        <w:t>天津新艾隆科技有限公司是我国铝合金建筑型材用丙烯酸电泳涂料的主要供货厂家之一，成立于2003年，是在天津滨海经济开发区注册的一家拥有高新技术及人才的独资企业，主要生产、销售铝型材专用阳极电泳涂料。公司现在拥有外籍专家4名，高级工程师6名，工程师及技术人员12名。用于涂料的生产、分析及检测的原装进口或国产生产设备、检测仪器共23台套。以综合的技术实力为各地的铝型材厂提供品质技术支持和服务。</w:t>
      </w:r>
    </w:p>
    <w:p w14:paraId="4D1FB6C0">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 xml:space="preserve">3.3.4  </w:t>
      </w:r>
      <w:r>
        <w:rPr>
          <w:rFonts w:hint="eastAsia"/>
          <w:b w:val="0"/>
          <w:bCs w:val="0"/>
          <w:szCs w:val="21"/>
          <w:lang w:val="en-US" w:eastAsia="zh-CN"/>
        </w:rPr>
        <w:t>广东省科学院新材料研究所</w:t>
      </w:r>
    </w:p>
    <w:p w14:paraId="7EC69B20">
      <w:pPr>
        <w:numPr>
          <w:ilvl w:val="0"/>
          <w:numId w:val="0"/>
        </w:numPr>
        <w:spacing w:line="360" w:lineRule="auto"/>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广东省科学院新材料研究所是广东省科学院直属的科研单位，由原广州有色金属研究院粉末冶金研究所、新材料研究所等单位重新组建而成，是华南地区最早从事粉末冶金研究及产业化的单位之一，组建有国家钛及稀有金属粉末冶金工程技术研究中心、广东省金属粉体材料工程技术研究中心、现代材料表面工程技术国家工程实验室等国家、省部级科技创新及基础条件平台15个，单位长期从事金属材料及其加工制造技术的工艺研发和工程化应用。研究所主要围绕广东省战略新兴产业、重点传统产业和高端装备制造业及国家重大工程对产品开发及装备性能不断提升的需求，面向航空航天、海洋工程、先进装备制造、新能源汽车、机械、轨道交通、医疗器械等领域，开展高性能粉末冶金制品、分析检测技术、铝镁轻金属材料、真空镀膜技术、金属基复合材料、激光制造技术等的研究与应用。</w:t>
      </w:r>
    </w:p>
    <w:p w14:paraId="68E70472">
      <w:pPr>
        <w:pStyle w:val="59"/>
        <w:numPr>
          <w:ilvl w:val="0"/>
          <w:numId w:val="0"/>
        </w:numPr>
        <w:spacing w:before="156" w:beforeLines="50" w:after="156" w:afterLines="50"/>
        <w:contextualSpacing/>
        <w:rPr>
          <w:rFonts w:hint="default"/>
          <w:b w:val="0"/>
          <w:bCs w:val="0"/>
          <w:lang w:val="en-US" w:eastAsia="zh-CN"/>
        </w:rPr>
      </w:pPr>
      <w:r>
        <w:rPr>
          <w:rFonts w:hint="eastAsia"/>
          <w:b w:val="0"/>
          <w:bCs w:val="0"/>
          <w:lang w:val="en-US" w:eastAsia="zh-CN"/>
        </w:rPr>
        <w:t>3.3.5  国标（北京）检验认证有限公司</w:t>
      </w:r>
    </w:p>
    <w:p w14:paraId="307D399D">
      <w:pPr>
        <w:numPr>
          <w:ilvl w:val="0"/>
          <w:numId w:val="0"/>
        </w:numPr>
        <w:spacing w:line="360" w:lineRule="auto"/>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14:paraId="2F157D96">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 xml:space="preserve">3.3.6  </w:t>
      </w:r>
      <w:bookmarkStart w:id="78" w:name="_GoBack"/>
      <w:bookmarkEnd w:id="78"/>
      <w:r>
        <w:rPr>
          <w:rFonts w:hint="eastAsia"/>
          <w:b w:val="0"/>
          <w:bCs w:val="0"/>
          <w:lang w:val="en-US" w:eastAsia="zh-CN"/>
        </w:rPr>
        <w:t>有色金属技术经济研究院有限责任公司</w:t>
      </w:r>
    </w:p>
    <w:p w14:paraId="48E04313">
      <w:pPr>
        <w:spacing w:line="400" w:lineRule="exact"/>
        <w:ind w:firstLine="420" w:firstLineChars="200"/>
        <w:contextualSpacing/>
        <w:jc w:val="left"/>
        <w:rPr>
          <w:rFonts w:hint="eastAsia"/>
          <w:b w:val="0"/>
          <w:bCs w:val="0"/>
          <w:szCs w:val="21"/>
          <w:lang w:eastAsia="zh-CN"/>
        </w:rPr>
      </w:pPr>
      <w:r>
        <w:rPr>
          <w:rFonts w:hint="eastAsia"/>
          <w:b w:val="0"/>
          <w:bCs w:val="0"/>
          <w:szCs w:val="21"/>
          <w:lang w:eastAsia="zh-CN"/>
        </w:rPr>
        <w:t>有色金属技术经济研究院有限责任公司成立于1983年3月，是中央所属242家转制科研院所之一，于1999年7月由国家全额拨款科研事业单位转制为科技型企业，变更为现名称。隶属于中国有色金属工业协会（以下简称“协会”），获批设立了国家级博士后科研工作站，是国家级高新技术企业和北京市高新技术企业。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对外又称“中国有色金属工业信息中心”和“中国有色金属工业标准计量质量研究所”。</w:t>
      </w:r>
    </w:p>
    <w:p w14:paraId="424DE313">
      <w:pPr>
        <w:spacing w:line="400" w:lineRule="exact"/>
        <w:ind w:firstLine="420" w:firstLineChars="200"/>
        <w:contextualSpacing/>
        <w:jc w:val="left"/>
        <w:rPr>
          <w:rFonts w:hint="eastAsia"/>
          <w:b w:val="0"/>
          <w:bCs w:val="0"/>
          <w:szCs w:val="21"/>
          <w:lang w:eastAsia="zh-CN"/>
        </w:rPr>
      </w:pPr>
      <w:r>
        <w:rPr>
          <w:rFonts w:hint="eastAsia"/>
          <w:b w:val="0"/>
          <w:bCs w:val="0"/>
          <w:szCs w:val="21"/>
          <w:lang w:eastAsia="zh-CN"/>
        </w:rPr>
        <w:t>有色金属行业计量技术委员会是有色金属技术经济研究院有限责任公司下属机构，负责有色金属金属行业计量技术规范制修订工作。该机构旨在充分发挥有色金属行业生产、科研、教学、质量检验和计量器具生产诸方面计量专家的作用，更好地开展有色金属行业的量值溯源、规范制修订、能力验证和提高计量标准建设与完善计量技术及其管理体系等工作。</w:t>
      </w:r>
    </w:p>
    <w:p w14:paraId="79BADA7B">
      <w:pPr>
        <w:spacing w:line="400" w:lineRule="exact"/>
        <w:ind w:firstLine="420" w:firstLineChars="200"/>
        <w:contextualSpacing/>
        <w:jc w:val="left"/>
        <w:rPr>
          <w:rFonts w:hint="eastAsia"/>
          <w:b w:val="0"/>
          <w:bCs w:val="0"/>
          <w:szCs w:val="21"/>
          <w:lang w:eastAsia="zh-CN"/>
        </w:rPr>
      </w:pPr>
      <w:r>
        <w:rPr>
          <w:rFonts w:hint="eastAsia"/>
          <w:b w:val="0"/>
          <w:bCs w:val="0"/>
          <w:szCs w:val="21"/>
          <w:lang w:eastAsia="zh-CN"/>
        </w:rPr>
        <w:t>有色计量委员会是国家市场监督管理总局统一规划，受工业和信息化部的业务管理，由中国有色金属工业协会组建，从事有色金属行业计量技术及其管理工作的技术性组织，负责本行业计量技术规范的计划制定、修订、宣贯及有关政策的咨询工作。目前已发布行业规范20余项，在研40余项。</w:t>
      </w:r>
    </w:p>
    <w:p w14:paraId="1CA26D8A">
      <w:pPr>
        <w:pStyle w:val="4"/>
        <w:spacing w:before="156" w:after="156"/>
        <w:rPr>
          <w:rFonts w:hint="default"/>
          <w:b w:val="0"/>
          <w:bCs w:val="0"/>
        </w:rPr>
      </w:pPr>
      <w:r>
        <w:rPr>
          <w:rFonts w:hint="eastAsia"/>
          <w:b w:val="0"/>
          <w:bCs w:val="0"/>
        </w:rPr>
        <w:t>3.</w:t>
      </w:r>
      <w:r>
        <w:rPr>
          <w:rFonts w:hint="eastAsia"/>
          <w:b w:val="0"/>
          <w:bCs w:val="0"/>
          <w:lang w:val="en-US" w:eastAsia="zh-CN"/>
        </w:rPr>
        <w:t xml:space="preserve">4 </w:t>
      </w:r>
      <w:r>
        <w:rPr>
          <w:rFonts w:hint="eastAsia"/>
          <w:b w:val="0"/>
          <w:bCs w:val="0"/>
          <w:lang w:eastAsia="zh-CN"/>
        </w:rPr>
        <w:t>各单位分工情况</w:t>
      </w:r>
    </w:p>
    <w:p w14:paraId="35305676">
      <w:pPr>
        <w:pStyle w:val="59"/>
        <w:numPr>
          <w:ilvl w:val="3"/>
          <w:numId w:val="0"/>
        </w:numPr>
        <w:spacing w:before="156" w:beforeLines="50" w:after="156" w:afterLines="50" w:line="360" w:lineRule="auto"/>
        <w:ind w:firstLine="396" w:firstLineChars="200"/>
        <w:contextualSpacing/>
        <w:rPr>
          <w:rFonts w:hint="eastAsia" w:ascii="宋体" w:hAnsi="宋体" w:eastAsia="宋体" w:cs="宋体"/>
          <w:b w:val="0"/>
          <w:bCs w:val="0"/>
          <w:color w:val="auto"/>
          <w:kern w:val="2"/>
          <w:sz w:val="21"/>
          <w:szCs w:val="21"/>
          <w:highlight w:val="none"/>
          <w:lang w:val="en-US" w:eastAsia="zh-CN"/>
        </w:rPr>
      </w:pPr>
      <w:r>
        <w:rPr>
          <w:rFonts w:hint="eastAsia" w:ascii="Times New Roman" w:hAnsi="Times New Roman" w:eastAsia="宋体" w:cs="Times New Roman"/>
          <w:sz w:val="21"/>
          <w:szCs w:val="21"/>
          <w:lang w:val="en-US" w:eastAsia="zh-CN"/>
        </w:rPr>
        <w:t>编制组依据各单位情况，对整个规范的起草进行了分工。</w:t>
      </w:r>
      <w:r>
        <w:rPr>
          <w:rFonts w:hint="default" w:ascii="Times New Roman" w:hAnsi="Times New Roman" w:eastAsia="宋体" w:cs="Times New Roman"/>
          <w:sz w:val="21"/>
          <w:szCs w:val="21"/>
          <w:lang w:val="en-US" w:eastAsia="zh-CN"/>
        </w:rPr>
        <w:t>广东省科学院工业分析检测中心</w:t>
      </w:r>
      <w:r>
        <w:rPr>
          <w:rFonts w:hint="default" w:ascii="宋体" w:hAnsi="宋体" w:eastAsia="宋体" w:cs="宋体"/>
          <w:b w:val="0"/>
          <w:bCs w:val="0"/>
          <w:color w:val="auto"/>
          <w:kern w:val="2"/>
          <w:sz w:val="21"/>
          <w:szCs w:val="21"/>
          <w:highlight w:val="none"/>
          <w:lang w:val="en-US" w:eastAsia="zh-CN"/>
        </w:rPr>
        <w:t>负责</w:t>
      </w:r>
      <w:r>
        <w:rPr>
          <w:rFonts w:hint="eastAsia" w:ascii="宋体" w:hAnsi="宋体" w:eastAsia="宋体" w:cs="宋体"/>
          <w:b w:val="0"/>
          <w:bCs w:val="0"/>
          <w:color w:val="auto"/>
          <w:kern w:val="2"/>
          <w:sz w:val="21"/>
          <w:szCs w:val="21"/>
          <w:highlight w:val="none"/>
          <w:lang w:val="en-US" w:eastAsia="zh-CN"/>
        </w:rPr>
        <w:t>资料的调研、</w:t>
      </w:r>
      <w:r>
        <w:rPr>
          <w:rFonts w:hint="default" w:ascii="宋体" w:hAnsi="宋体" w:eastAsia="宋体" w:cs="宋体"/>
          <w:b w:val="0"/>
          <w:bCs w:val="0"/>
          <w:color w:val="auto"/>
          <w:kern w:val="2"/>
          <w:sz w:val="21"/>
          <w:szCs w:val="21"/>
          <w:highlight w:val="none"/>
          <w:lang w:val="en-US" w:eastAsia="zh-CN"/>
        </w:rPr>
        <w:t>收集，完成</w:t>
      </w:r>
      <w:r>
        <w:rPr>
          <w:rFonts w:hint="eastAsia" w:ascii="宋体" w:hAnsi="宋体" w:eastAsia="宋体" w:cs="宋体"/>
          <w:b w:val="0"/>
          <w:bCs w:val="0"/>
          <w:color w:val="auto"/>
          <w:kern w:val="2"/>
          <w:sz w:val="21"/>
          <w:szCs w:val="21"/>
          <w:highlight w:val="none"/>
          <w:lang w:val="en-US" w:eastAsia="zh-CN"/>
        </w:rPr>
        <w:t>校准</w:t>
      </w:r>
      <w:r>
        <w:rPr>
          <w:rFonts w:hint="default" w:ascii="宋体" w:hAnsi="宋体" w:eastAsia="宋体" w:cs="宋体"/>
          <w:b w:val="0"/>
          <w:bCs w:val="0"/>
          <w:color w:val="auto"/>
          <w:kern w:val="2"/>
          <w:sz w:val="21"/>
          <w:szCs w:val="21"/>
          <w:highlight w:val="none"/>
          <w:lang w:val="en-US" w:eastAsia="zh-CN"/>
        </w:rPr>
        <w:t>方法研究工作，撰写</w:t>
      </w:r>
      <w:r>
        <w:rPr>
          <w:rFonts w:hint="eastAsia" w:ascii="宋体" w:hAnsi="宋体" w:eastAsia="宋体" w:cs="宋体"/>
          <w:b w:val="0"/>
          <w:bCs w:val="0"/>
          <w:color w:val="auto"/>
          <w:kern w:val="2"/>
          <w:sz w:val="21"/>
          <w:szCs w:val="21"/>
          <w:highlight w:val="none"/>
          <w:lang w:val="en-US" w:eastAsia="zh-CN"/>
        </w:rPr>
        <w:t>规范</w:t>
      </w:r>
      <w:r>
        <w:rPr>
          <w:rFonts w:hint="default" w:ascii="宋体" w:hAnsi="宋体" w:eastAsia="宋体" w:cs="宋体"/>
          <w:b w:val="0"/>
          <w:bCs w:val="0"/>
          <w:color w:val="auto"/>
          <w:kern w:val="2"/>
          <w:sz w:val="21"/>
          <w:szCs w:val="21"/>
          <w:highlight w:val="none"/>
          <w:lang w:val="en-US" w:eastAsia="zh-CN"/>
        </w:rPr>
        <w:t>文稿、编制说明</w:t>
      </w:r>
      <w:r>
        <w:rPr>
          <w:rFonts w:hint="eastAsia" w:ascii="宋体" w:hAnsi="宋体" w:eastAsia="宋体" w:cs="宋体"/>
          <w:b w:val="0"/>
          <w:bCs w:val="0"/>
          <w:color w:val="auto"/>
          <w:kern w:val="2"/>
          <w:sz w:val="21"/>
          <w:szCs w:val="21"/>
          <w:highlight w:val="none"/>
          <w:lang w:val="en-US" w:eastAsia="zh-CN"/>
        </w:rPr>
        <w:t>。西安汉唐分析检测有限公司、西南铝业（集团）有限责任公司、天津新艾隆科技有限公司、广东省科学院新材料研究所、国标（北京）检验认证有限公司、中国有色金属工业标准计量质量研究所</w:t>
      </w:r>
      <w:r>
        <w:rPr>
          <w:rFonts w:hint="eastAsia" w:ascii="Times New Roman" w:hAnsi="Times New Roman" w:eastAsia="宋体" w:cs="Times New Roman"/>
          <w:sz w:val="21"/>
          <w:szCs w:val="21"/>
          <w:lang w:val="en-US" w:eastAsia="zh-CN"/>
        </w:rPr>
        <w:t>对规范内容提出具体修改意见，</w:t>
      </w:r>
      <w:r>
        <w:rPr>
          <w:rFonts w:hint="default" w:ascii="宋体" w:hAnsi="宋体" w:eastAsia="宋体" w:cs="宋体"/>
          <w:b w:val="0"/>
          <w:bCs w:val="0"/>
          <w:color w:val="auto"/>
          <w:kern w:val="2"/>
          <w:sz w:val="21"/>
          <w:szCs w:val="21"/>
          <w:highlight w:val="none"/>
          <w:lang w:val="en-US" w:eastAsia="zh-CN"/>
        </w:rPr>
        <w:t>提供</w:t>
      </w:r>
      <w:r>
        <w:rPr>
          <w:rFonts w:hint="eastAsia" w:ascii="宋体" w:hAnsi="宋体" w:eastAsia="宋体" w:cs="宋体"/>
          <w:b w:val="0"/>
          <w:bCs w:val="0"/>
          <w:color w:val="auto"/>
          <w:kern w:val="2"/>
          <w:sz w:val="21"/>
          <w:szCs w:val="21"/>
          <w:highlight w:val="none"/>
          <w:lang w:val="en-US" w:eastAsia="zh-CN"/>
        </w:rPr>
        <w:t>对规范方法的验证工作及完成相应验证报告</w:t>
      </w:r>
      <w:r>
        <w:rPr>
          <w:rFonts w:hint="default" w:ascii="宋体" w:hAnsi="宋体" w:eastAsia="宋体" w:cs="宋体"/>
          <w:b w:val="0"/>
          <w:bCs w:val="0"/>
          <w:color w:val="auto"/>
          <w:kern w:val="2"/>
          <w:sz w:val="21"/>
          <w:szCs w:val="21"/>
          <w:highlight w:val="none"/>
          <w:lang w:val="en-US" w:eastAsia="zh-CN"/>
        </w:rPr>
        <w:t>，并对</w:t>
      </w:r>
      <w:r>
        <w:rPr>
          <w:rFonts w:hint="eastAsia" w:ascii="宋体" w:hAnsi="宋体" w:eastAsia="宋体" w:cs="宋体"/>
          <w:b w:val="0"/>
          <w:bCs w:val="0"/>
          <w:color w:val="auto"/>
          <w:kern w:val="2"/>
          <w:sz w:val="21"/>
          <w:szCs w:val="21"/>
          <w:highlight w:val="none"/>
          <w:lang w:val="en-US" w:eastAsia="zh-CN"/>
        </w:rPr>
        <w:t>规范</w:t>
      </w:r>
      <w:r>
        <w:rPr>
          <w:rFonts w:hint="default" w:ascii="宋体" w:hAnsi="宋体" w:eastAsia="宋体" w:cs="宋体"/>
          <w:b w:val="0"/>
          <w:bCs w:val="0"/>
          <w:color w:val="auto"/>
          <w:kern w:val="2"/>
          <w:sz w:val="21"/>
          <w:szCs w:val="21"/>
          <w:highlight w:val="none"/>
          <w:lang w:val="en-US" w:eastAsia="zh-CN"/>
        </w:rPr>
        <w:t>文稿等提出相应修改意见</w:t>
      </w:r>
      <w:r>
        <w:rPr>
          <w:rFonts w:hint="eastAsia" w:ascii="宋体" w:hAnsi="宋体" w:eastAsia="宋体" w:cs="宋体"/>
          <w:b w:val="0"/>
          <w:bCs w:val="0"/>
          <w:color w:val="auto"/>
          <w:kern w:val="2"/>
          <w:sz w:val="21"/>
          <w:szCs w:val="21"/>
          <w:highlight w:val="none"/>
          <w:lang w:val="en-US" w:eastAsia="zh-CN"/>
        </w:rPr>
        <w:t>。</w:t>
      </w:r>
    </w:p>
    <w:p w14:paraId="6875DD3B">
      <w:pPr>
        <w:pStyle w:val="58"/>
        <w:ind w:left="0" w:leftChars="0" w:firstLine="0" w:firstLineChars="0"/>
        <w:jc w:val="center"/>
        <w:rPr>
          <w:rFonts w:hint="default"/>
          <w:lang w:val="en-US" w:eastAsia="zh-CN"/>
        </w:rPr>
      </w:pPr>
      <w:r>
        <w:rPr>
          <w:rFonts w:hint="eastAsia"/>
          <w:lang w:val="en-US" w:eastAsia="zh-CN"/>
        </w:rPr>
        <w:t>各单位分工表</w:t>
      </w:r>
    </w:p>
    <w:tbl>
      <w:tblPr>
        <w:tblStyle w:val="42"/>
        <w:tblpPr w:leftFromText="180" w:rightFromText="180" w:vertAnchor="text" w:horzAnchor="page" w:tblpXSpec="center" w:tblpY="245"/>
        <w:tblOverlap w:val="never"/>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987"/>
        <w:gridCol w:w="5463"/>
      </w:tblGrid>
      <w:tr w14:paraId="5A85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pct"/>
            <w:noWrap w:val="0"/>
            <w:vAlign w:val="top"/>
          </w:tcPr>
          <w:p w14:paraId="6FA11AC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b w:val="0"/>
                <w:color w:val="auto"/>
                <w:kern w:val="2"/>
                <w:sz w:val="21"/>
                <w:szCs w:val="21"/>
                <w:vertAlign w:val="baseline"/>
                <w:lang w:val="en-US" w:eastAsia="zh-CN" w:bidi="ar-SA"/>
              </w:rPr>
              <w:t>单位</w:t>
            </w:r>
          </w:p>
        </w:tc>
        <w:tc>
          <w:tcPr>
            <w:tcW w:w="559" w:type="pct"/>
            <w:noWrap w:val="0"/>
            <w:vAlign w:val="top"/>
          </w:tcPr>
          <w:p w14:paraId="0B022E8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b w:val="0"/>
                <w:color w:val="auto"/>
                <w:kern w:val="2"/>
                <w:sz w:val="21"/>
                <w:szCs w:val="21"/>
                <w:vertAlign w:val="baseline"/>
                <w:lang w:val="en-US" w:eastAsia="zh-CN" w:bidi="ar-SA"/>
              </w:rPr>
              <w:t>人员</w:t>
            </w:r>
          </w:p>
        </w:tc>
        <w:tc>
          <w:tcPr>
            <w:tcW w:w="3095" w:type="pct"/>
            <w:noWrap w:val="0"/>
            <w:vAlign w:val="top"/>
          </w:tcPr>
          <w:p w14:paraId="6F25BDF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b w:val="0"/>
                <w:color w:val="auto"/>
                <w:kern w:val="2"/>
                <w:sz w:val="21"/>
                <w:szCs w:val="21"/>
                <w:vertAlign w:val="baseline"/>
                <w:lang w:val="en-US" w:eastAsia="zh-CN" w:bidi="ar-SA"/>
              </w:rPr>
              <w:t>工作分工</w:t>
            </w:r>
          </w:p>
        </w:tc>
      </w:tr>
      <w:tr w14:paraId="4D53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pct"/>
            <w:noWrap w:val="0"/>
            <w:vAlign w:val="top"/>
          </w:tcPr>
          <w:p w14:paraId="62D0D5C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sz w:val="21"/>
                <w:szCs w:val="21"/>
                <w:lang w:val="en-US" w:eastAsia="zh-CN"/>
              </w:rPr>
              <w:t>广东省科学院工业分析检测中心</w:t>
            </w:r>
          </w:p>
        </w:tc>
        <w:tc>
          <w:tcPr>
            <w:tcW w:w="559" w:type="pct"/>
            <w:noWrap w:val="0"/>
            <w:vAlign w:val="top"/>
          </w:tcPr>
          <w:p w14:paraId="073434F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r>
              <w:rPr>
                <w:rFonts w:hint="eastAsia" w:ascii="宋体" w:hAnsi="宋体" w:cs="宋体"/>
                <w:b w:val="0"/>
                <w:bCs w:val="0"/>
                <w:color w:val="auto"/>
                <w:kern w:val="2"/>
                <w:sz w:val="21"/>
                <w:szCs w:val="21"/>
                <w:lang w:val="en-US" w:eastAsia="zh-CN"/>
              </w:rPr>
              <w:t>XXXXX</w:t>
            </w:r>
          </w:p>
        </w:tc>
        <w:tc>
          <w:tcPr>
            <w:tcW w:w="3095" w:type="pct"/>
            <w:noWrap w:val="0"/>
            <w:vAlign w:val="top"/>
          </w:tcPr>
          <w:p w14:paraId="6D26C66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规范</w:t>
            </w:r>
            <w:r>
              <w:rPr>
                <w:rFonts w:hint="eastAsia" w:ascii="Times New Roman" w:hAnsi="Times New Roman" w:cs="Times New Roman"/>
                <w:b w:val="0"/>
                <w:color w:val="auto"/>
                <w:kern w:val="2"/>
                <w:sz w:val="21"/>
                <w:szCs w:val="21"/>
                <w:vertAlign w:val="baseline"/>
                <w:lang w:val="en-US" w:eastAsia="zh-CN" w:bidi="ar-SA"/>
              </w:rPr>
              <w:t>起草编制，</w:t>
            </w:r>
            <w:r>
              <w:rPr>
                <w:rFonts w:hint="eastAsia" w:cs="Times New Roman"/>
                <w:b w:val="0"/>
                <w:color w:val="auto"/>
                <w:kern w:val="2"/>
                <w:sz w:val="21"/>
                <w:szCs w:val="21"/>
                <w:vertAlign w:val="baseline"/>
                <w:lang w:val="en-US" w:eastAsia="zh-CN" w:bidi="ar-SA"/>
              </w:rPr>
              <w:t>试</w:t>
            </w:r>
            <w:r>
              <w:rPr>
                <w:rFonts w:hint="eastAsia" w:ascii="Times New Roman" w:hAnsi="Times New Roman" w:cs="Times New Roman"/>
                <w:b w:val="0"/>
                <w:color w:val="auto"/>
                <w:kern w:val="2"/>
                <w:sz w:val="21"/>
                <w:szCs w:val="21"/>
                <w:vertAlign w:val="baseline"/>
                <w:lang w:val="en-US" w:eastAsia="zh-CN" w:bidi="ar-SA"/>
              </w:rPr>
              <w:t>验方案编订，实验数据分析</w:t>
            </w:r>
            <w:r>
              <w:rPr>
                <w:rFonts w:hint="eastAsia" w:cs="Times New Roman"/>
                <w:b w:val="0"/>
                <w:color w:val="auto"/>
                <w:kern w:val="2"/>
                <w:sz w:val="21"/>
                <w:szCs w:val="21"/>
                <w:vertAlign w:val="baseline"/>
                <w:lang w:val="en-US" w:eastAsia="zh-CN" w:bidi="ar-SA"/>
              </w:rPr>
              <w:t>，编制说明的撰写工作，会议纪要整理及规范的完善。</w:t>
            </w:r>
          </w:p>
        </w:tc>
      </w:tr>
      <w:tr w14:paraId="5F2B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pct"/>
            <w:noWrap w:val="0"/>
            <w:vAlign w:val="top"/>
          </w:tcPr>
          <w:p w14:paraId="2AA3AAA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highlight w:val="none"/>
                <w:lang w:val="en-US" w:eastAsia="zh-CN"/>
              </w:rPr>
              <w:t>西安汉唐分析检测有限公司</w:t>
            </w:r>
          </w:p>
        </w:tc>
        <w:tc>
          <w:tcPr>
            <w:tcW w:w="559" w:type="pct"/>
            <w:noWrap w:val="0"/>
            <w:vAlign w:val="top"/>
          </w:tcPr>
          <w:p w14:paraId="7F4DE7B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eastAsia="宋体" w:cs="Times New Roman"/>
                <w:b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XXXXX</w:t>
            </w:r>
          </w:p>
        </w:tc>
        <w:tc>
          <w:tcPr>
            <w:tcW w:w="3095" w:type="pct"/>
            <w:noWrap w:val="0"/>
            <w:vAlign w:val="top"/>
          </w:tcPr>
          <w:p w14:paraId="38BC250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内容审阅并提出修改意见，完成验证工作</w:t>
            </w:r>
          </w:p>
        </w:tc>
      </w:tr>
      <w:tr w14:paraId="2DC5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45" w:type="pct"/>
            <w:noWrap w:val="0"/>
            <w:vAlign w:val="top"/>
          </w:tcPr>
          <w:p w14:paraId="24F71CD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lang w:val="en-US" w:eastAsia="zh-CN" w:bidi="ar-SA"/>
              </w:rPr>
            </w:pPr>
            <w:r>
              <w:rPr>
                <w:rFonts w:hint="eastAsia" w:ascii="宋体" w:hAnsi="宋体" w:eastAsia="宋体" w:cs="宋体"/>
                <w:b w:val="0"/>
                <w:bCs w:val="0"/>
                <w:color w:val="auto"/>
                <w:kern w:val="2"/>
                <w:sz w:val="21"/>
                <w:szCs w:val="21"/>
                <w:highlight w:val="none"/>
                <w:lang w:val="en-US" w:eastAsia="zh-CN"/>
              </w:rPr>
              <w:t>西南铝业（集团）有限责任公司</w:t>
            </w:r>
          </w:p>
        </w:tc>
        <w:tc>
          <w:tcPr>
            <w:tcW w:w="559" w:type="pct"/>
            <w:noWrap w:val="0"/>
            <w:vAlign w:val="top"/>
          </w:tcPr>
          <w:p w14:paraId="1BB6FF0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XXXXX</w:t>
            </w:r>
          </w:p>
        </w:tc>
        <w:tc>
          <w:tcPr>
            <w:tcW w:w="3095" w:type="pct"/>
            <w:noWrap w:val="0"/>
            <w:vAlign w:val="top"/>
          </w:tcPr>
          <w:p w14:paraId="2A38005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内容审阅并提出修改意见，完成验证工作</w:t>
            </w:r>
          </w:p>
        </w:tc>
      </w:tr>
      <w:tr w14:paraId="17D9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pct"/>
            <w:noWrap w:val="0"/>
            <w:vAlign w:val="top"/>
          </w:tcPr>
          <w:p w14:paraId="7531200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lang w:val="en-US" w:eastAsia="zh-CN" w:bidi="ar-SA"/>
              </w:rPr>
            </w:pPr>
            <w:r>
              <w:rPr>
                <w:rFonts w:hint="eastAsia" w:ascii="宋体" w:hAnsi="宋体" w:eastAsia="宋体" w:cs="宋体"/>
                <w:b w:val="0"/>
                <w:bCs w:val="0"/>
                <w:color w:val="auto"/>
                <w:kern w:val="2"/>
                <w:sz w:val="21"/>
                <w:szCs w:val="21"/>
                <w:highlight w:val="none"/>
                <w:lang w:val="en-US" w:eastAsia="zh-CN"/>
              </w:rPr>
              <w:t>天津新艾隆科技有限公司</w:t>
            </w:r>
          </w:p>
        </w:tc>
        <w:tc>
          <w:tcPr>
            <w:tcW w:w="559" w:type="pct"/>
            <w:noWrap w:val="0"/>
            <w:vAlign w:val="top"/>
          </w:tcPr>
          <w:p w14:paraId="7B86B48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r>
              <w:rPr>
                <w:rFonts w:hint="eastAsia" w:ascii="宋体" w:hAnsi="宋体" w:cs="宋体"/>
                <w:b w:val="0"/>
                <w:bCs w:val="0"/>
                <w:color w:val="auto"/>
                <w:kern w:val="2"/>
                <w:sz w:val="21"/>
                <w:szCs w:val="21"/>
                <w:lang w:val="en-US" w:eastAsia="zh-CN"/>
              </w:rPr>
              <w:t>XXXXX</w:t>
            </w:r>
          </w:p>
        </w:tc>
        <w:tc>
          <w:tcPr>
            <w:tcW w:w="3095" w:type="pct"/>
            <w:noWrap w:val="0"/>
            <w:vAlign w:val="top"/>
          </w:tcPr>
          <w:p w14:paraId="05D5D6F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内容审阅并提出修改意见，规范二验</w:t>
            </w:r>
          </w:p>
        </w:tc>
      </w:tr>
      <w:tr w14:paraId="1D57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pct"/>
            <w:shd w:val="clear" w:color="auto" w:fill="auto"/>
            <w:noWrap w:val="0"/>
            <w:vAlign w:val="top"/>
          </w:tcPr>
          <w:p w14:paraId="54A51AA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highlight w:val="yellow"/>
                <w:lang w:val="en-US" w:eastAsia="zh-CN" w:bidi="ar-SA"/>
              </w:rPr>
            </w:pPr>
            <w:r>
              <w:rPr>
                <w:rFonts w:hint="eastAsia" w:ascii="宋体" w:hAnsi="宋体" w:eastAsia="宋体" w:cs="宋体"/>
                <w:b w:val="0"/>
                <w:bCs w:val="0"/>
                <w:color w:val="auto"/>
                <w:kern w:val="2"/>
                <w:sz w:val="21"/>
                <w:szCs w:val="21"/>
                <w:highlight w:val="none"/>
                <w:lang w:val="en-US" w:eastAsia="zh-CN"/>
              </w:rPr>
              <w:t>广东省科学院新材料研究所</w:t>
            </w:r>
          </w:p>
        </w:tc>
        <w:tc>
          <w:tcPr>
            <w:tcW w:w="559" w:type="pct"/>
            <w:shd w:val="clear" w:color="auto" w:fill="auto"/>
            <w:noWrap w:val="0"/>
            <w:vAlign w:val="top"/>
          </w:tcPr>
          <w:p w14:paraId="57551CB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r>
              <w:rPr>
                <w:rFonts w:hint="eastAsia" w:ascii="宋体" w:hAnsi="宋体" w:cs="宋体"/>
                <w:b w:val="0"/>
                <w:bCs w:val="0"/>
                <w:color w:val="auto"/>
                <w:kern w:val="2"/>
                <w:sz w:val="21"/>
                <w:szCs w:val="21"/>
                <w:lang w:val="en-US" w:eastAsia="zh-CN"/>
              </w:rPr>
              <w:t>XXXXX</w:t>
            </w:r>
          </w:p>
        </w:tc>
        <w:tc>
          <w:tcPr>
            <w:tcW w:w="3095" w:type="pct"/>
            <w:shd w:val="clear" w:color="auto" w:fill="auto"/>
            <w:noWrap w:val="0"/>
            <w:vAlign w:val="top"/>
          </w:tcPr>
          <w:p w14:paraId="73D1581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highlight w:val="yellow"/>
                <w:vertAlign w:val="baseline"/>
                <w:lang w:val="en-US" w:eastAsia="zh-CN" w:bidi="ar-SA"/>
              </w:rPr>
            </w:pPr>
            <w:r>
              <w:rPr>
                <w:rFonts w:hint="eastAsia" w:cs="Times New Roman"/>
                <w:b w:val="0"/>
                <w:color w:val="auto"/>
                <w:kern w:val="2"/>
                <w:sz w:val="21"/>
                <w:szCs w:val="21"/>
                <w:vertAlign w:val="baseline"/>
                <w:lang w:val="en-US" w:eastAsia="zh-CN" w:bidi="ar-SA"/>
              </w:rPr>
              <w:t>协助完成</w:t>
            </w:r>
            <w:r>
              <w:rPr>
                <w:rFonts w:hint="eastAsia" w:ascii="Times New Roman" w:hAnsi="Times New Roman" w:cs="Times New Roman"/>
                <w:b w:val="0"/>
                <w:color w:val="auto"/>
                <w:kern w:val="2"/>
                <w:sz w:val="21"/>
                <w:szCs w:val="21"/>
                <w:vertAlign w:val="baseline"/>
                <w:lang w:val="en-US" w:eastAsia="zh-CN" w:bidi="ar-SA"/>
              </w:rPr>
              <w:t>实验数据分析</w:t>
            </w:r>
            <w:r>
              <w:rPr>
                <w:rFonts w:hint="eastAsia" w:cs="Times New Roman"/>
                <w:b w:val="0"/>
                <w:color w:val="auto"/>
                <w:kern w:val="2"/>
                <w:sz w:val="21"/>
                <w:szCs w:val="21"/>
                <w:vertAlign w:val="baseline"/>
                <w:lang w:val="en-US" w:eastAsia="zh-CN" w:bidi="ar-SA"/>
              </w:rPr>
              <w:t>。</w:t>
            </w:r>
          </w:p>
        </w:tc>
      </w:tr>
      <w:tr w14:paraId="6B40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pct"/>
            <w:noWrap w:val="0"/>
            <w:vAlign w:val="top"/>
          </w:tcPr>
          <w:p w14:paraId="3958F15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国标（北京）检验认证有限公司</w:t>
            </w:r>
          </w:p>
        </w:tc>
        <w:tc>
          <w:tcPr>
            <w:tcW w:w="559" w:type="pct"/>
            <w:noWrap w:val="0"/>
            <w:vAlign w:val="top"/>
          </w:tcPr>
          <w:p w14:paraId="572D04A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highlight w:val="yellow"/>
                <w:vertAlign w:val="baseline"/>
                <w:lang w:val="en-US" w:eastAsia="zh-CN" w:bidi="ar-SA"/>
              </w:rPr>
            </w:pPr>
            <w:r>
              <w:rPr>
                <w:rFonts w:hint="eastAsia" w:ascii="宋体" w:hAnsi="宋体" w:cs="宋体"/>
                <w:b w:val="0"/>
                <w:bCs w:val="0"/>
                <w:color w:val="auto"/>
                <w:kern w:val="2"/>
                <w:sz w:val="21"/>
                <w:szCs w:val="21"/>
                <w:lang w:val="en-US" w:eastAsia="zh-CN"/>
              </w:rPr>
              <w:t>XXXXX</w:t>
            </w:r>
          </w:p>
        </w:tc>
        <w:tc>
          <w:tcPr>
            <w:tcW w:w="3095" w:type="pct"/>
            <w:noWrap w:val="0"/>
            <w:vAlign w:val="top"/>
          </w:tcPr>
          <w:p w14:paraId="3733E5B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w:t>
            </w:r>
          </w:p>
        </w:tc>
      </w:tr>
      <w:tr w14:paraId="57FB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pct"/>
            <w:noWrap w:val="0"/>
            <w:vAlign w:val="top"/>
          </w:tcPr>
          <w:p w14:paraId="07C2290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highlight w:val="none"/>
                <w:lang w:val="en-US" w:eastAsia="zh-CN"/>
              </w:rPr>
              <w:t>中国有色金属工业标准计量质量研究所</w:t>
            </w:r>
          </w:p>
        </w:tc>
        <w:tc>
          <w:tcPr>
            <w:tcW w:w="559" w:type="pct"/>
            <w:noWrap w:val="0"/>
            <w:vAlign w:val="top"/>
          </w:tcPr>
          <w:p w14:paraId="4166F28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r>
              <w:rPr>
                <w:rFonts w:hint="eastAsia" w:ascii="宋体" w:hAnsi="宋体" w:cs="宋体"/>
                <w:b w:val="0"/>
                <w:bCs w:val="0"/>
                <w:color w:val="auto"/>
                <w:kern w:val="2"/>
                <w:sz w:val="21"/>
                <w:szCs w:val="21"/>
                <w:lang w:val="en-US" w:eastAsia="zh-CN"/>
              </w:rPr>
              <w:t>XXXXX</w:t>
            </w:r>
          </w:p>
        </w:tc>
        <w:tc>
          <w:tcPr>
            <w:tcW w:w="3095" w:type="pct"/>
            <w:noWrap w:val="0"/>
            <w:vAlign w:val="top"/>
          </w:tcPr>
          <w:p w14:paraId="33E99AE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协调管理实验方案讨论，内容审阅并提出修改意见</w:t>
            </w:r>
          </w:p>
        </w:tc>
      </w:tr>
    </w:tbl>
    <w:p w14:paraId="38D30B0D">
      <w:pPr>
        <w:pStyle w:val="58"/>
        <w:rPr>
          <w:rFonts w:hint="default"/>
          <w:lang w:val="en-US" w:eastAsia="zh-CN"/>
        </w:rPr>
      </w:pPr>
    </w:p>
    <w:bookmarkEnd w:id="8"/>
    <w:bookmarkEnd w:id="9"/>
    <w:p w14:paraId="3126F503">
      <w:pPr>
        <w:pStyle w:val="3"/>
        <w:spacing w:before="156" w:after="156"/>
        <w:rPr>
          <w:rFonts w:hint="eastAsia"/>
          <w:b w:val="0"/>
          <w:bCs w:val="0"/>
        </w:rPr>
      </w:pPr>
      <w:bookmarkStart w:id="10" w:name="_Toc462884357"/>
      <w:bookmarkStart w:id="11" w:name="_Toc464728913"/>
      <w:r>
        <w:rPr>
          <w:rFonts w:hint="eastAsia"/>
          <w:b w:val="0"/>
          <w:bCs w:val="0"/>
        </w:rPr>
        <w:t>4.主要工作过程</w:t>
      </w:r>
      <w:bookmarkEnd w:id="10"/>
      <w:bookmarkEnd w:id="11"/>
    </w:p>
    <w:p w14:paraId="4E957C5B">
      <w:pPr>
        <w:spacing w:line="360" w:lineRule="auto"/>
        <w:ind w:firstLine="420" w:firstLineChars="200"/>
        <w:rPr>
          <w:rFonts w:hint="eastAsia" w:asciiTheme="minorEastAsia" w:hAnsiTheme="minorEastAsia" w:eastAsiaTheme="minorEastAsia" w:cstheme="minorEastAsia"/>
          <w:b w:val="0"/>
          <w:bCs w:val="0"/>
        </w:rPr>
      </w:pPr>
      <w:bookmarkStart w:id="12" w:name="_Hlk134448643"/>
      <w:r>
        <w:rPr>
          <w:rFonts w:hint="eastAsia"/>
          <w:b w:val="0"/>
          <w:bCs w:val="0"/>
          <w:lang w:val="en-US" w:eastAsia="zh-CN"/>
        </w:rPr>
        <w:t>广东省科学院工业分析检测中心</w:t>
      </w:r>
      <w:r>
        <w:rPr>
          <w:rFonts w:hint="eastAsia"/>
          <w:b w:val="0"/>
          <w:bCs w:val="0"/>
        </w:rPr>
        <w:t>接到有色金属行业计量技术委员会转发下达的制定任务后，成立了</w:t>
      </w:r>
      <w:r>
        <w:rPr>
          <w:rFonts w:hint="eastAsia" w:asciiTheme="minorEastAsia" w:hAnsiTheme="minorEastAsia" w:eastAsiaTheme="minorEastAsia" w:cstheme="minorEastAsia"/>
          <w:b w:val="0"/>
          <w:bCs w:val="0"/>
        </w:rPr>
        <w:t>计量规范编制组，对计量技术规范编写工作进行了部署和分工，制定了</w:t>
      </w:r>
      <w:r>
        <w:rPr>
          <w:rFonts w:hint="eastAsia" w:asciiTheme="minorEastAsia" w:hAnsiTheme="minorEastAsia" w:eastAsiaTheme="minorEastAsia" w:cstheme="minorEastAsia"/>
          <w:b w:val="0"/>
          <w:bCs w:val="0"/>
          <w:lang w:val="en-US" w:eastAsia="zh-CN"/>
        </w:rPr>
        <w:t>本规范的</w:t>
      </w:r>
      <w:r>
        <w:rPr>
          <w:rFonts w:hint="eastAsia" w:asciiTheme="minorEastAsia" w:hAnsiTheme="minorEastAsia" w:eastAsiaTheme="minorEastAsia" w:cstheme="minorEastAsia"/>
          <w:b w:val="0"/>
          <w:bCs w:val="0"/>
        </w:rPr>
        <w:t>制定原则及工作计划。本项目主要工作过程经过了以下几个阶段：</w:t>
      </w:r>
    </w:p>
    <w:p w14:paraId="4FB712F9">
      <w:pPr>
        <w:numPr>
          <w:ilvl w:val="0"/>
          <w:numId w:val="11"/>
        </w:numPr>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w:t>
      </w: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rPr>
        <w:t>年</w:t>
      </w:r>
      <w:r>
        <w:rPr>
          <w:rFonts w:hint="eastAsia" w:asciiTheme="minorEastAsia" w:hAnsiTheme="minorEastAsia" w:eastAsiaTheme="minorEastAsia" w:cstheme="minorEastAsia"/>
          <w:b w:val="0"/>
          <w:bCs w:val="0"/>
          <w:lang w:val="en-US" w:eastAsia="zh-CN"/>
        </w:rPr>
        <w:t>12</w:t>
      </w:r>
      <w:r>
        <w:rPr>
          <w:rFonts w:hint="eastAsia" w:asciiTheme="minorEastAsia" w:hAnsiTheme="minorEastAsia" w:eastAsiaTheme="minorEastAsia" w:cstheme="minorEastAsia"/>
          <w:b w:val="0"/>
          <w:bCs w:val="0"/>
        </w:rPr>
        <w:t>月成立了计量规范编制组，明确了编制组成员各自的工作内容和任务。</w:t>
      </w:r>
    </w:p>
    <w:p w14:paraId="3117B2B9">
      <w:pPr>
        <w:numPr>
          <w:ilvl w:val="0"/>
          <w:numId w:val="12"/>
        </w:numPr>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w:t>
      </w:r>
      <w:r>
        <w:rPr>
          <w:rFonts w:hint="eastAsia" w:asciiTheme="minorEastAsia" w:hAnsiTheme="minorEastAsia" w:eastAsiaTheme="minorEastAsia" w:cstheme="minorEastAsia"/>
          <w:b w:val="0"/>
          <w:bCs w:val="0"/>
          <w:lang w:val="en-US" w:eastAsia="zh-CN"/>
        </w:rPr>
        <w:t>4</w:t>
      </w:r>
      <w:r>
        <w:rPr>
          <w:rFonts w:hint="eastAsia" w:asciiTheme="minorEastAsia" w:hAnsiTheme="minorEastAsia" w:eastAsiaTheme="minorEastAsia" w:cstheme="minorEastAsia"/>
          <w:b w:val="0"/>
          <w:bCs w:val="0"/>
        </w:rPr>
        <w:t>年</w:t>
      </w: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rPr>
        <w:t>月～202</w:t>
      </w:r>
      <w:r>
        <w:rPr>
          <w:rFonts w:hint="eastAsia" w:asciiTheme="minorEastAsia" w:hAnsiTheme="minorEastAsia" w:eastAsiaTheme="minorEastAsia" w:cstheme="minorEastAsia"/>
          <w:b w:val="0"/>
          <w:bCs w:val="0"/>
          <w:lang w:val="en-US" w:eastAsia="zh-CN"/>
        </w:rPr>
        <w:t>4</w:t>
      </w:r>
      <w:r>
        <w:rPr>
          <w:rFonts w:hint="eastAsia" w:asciiTheme="minorEastAsia" w:hAnsiTheme="minorEastAsia" w:eastAsiaTheme="minorEastAsia" w:cstheme="minorEastAsia"/>
          <w:b w:val="0"/>
          <w:bCs w:val="0"/>
        </w:rPr>
        <w:t>年4月</w:t>
      </w:r>
      <w:r>
        <w:rPr>
          <w:rFonts w:hint="eastAsia" w:asciiTheme="minorEastAsia" w:hAnsiTheme="minorEastAsia" w:eastAsiaTheme="minorEastAsia" w:cstheme="minorEastAsia"/>
          <w:b w:val="0"/>
          <w:bCs w:val="0"/>
          <w:lang w:eastAsia="zh-CN"/>
        </w:rPr>
        <w:t>，</w:t>
      </w:r>
      <w:r>
        <w:rPr>
          <w:rFonts w:hint="eastAsia" w:asciiTheme="minorEastAsia" w:hAnsiTheme="minorEastAsia" w:eastAsiaTheme="minorEastAsia" w:cstheme="minorEastAsia"/>
          <w:b w:val="0"/>
          <w:bCs w:val="0"/>
        </w:rPr>
        <w:t>编制组成员对</w:t>
      </w:r>
      <w:r>
        <w:rPr>
          <w:rFonts w:hint="eastAsia" w:asciiTheme="minorEastAsia" w:hAnsiTheme="minorEastAsia" w:eastAsiaTheme="minorEastAsia" w:cstheme="minorEastAsia"/>
          <w:b w:val="0"/>
          <w:bCs w:val="0"/>
          <w:lang w:eastAsia="zh-CN"/>
        </w:rPr>
        <w:t>《</w:t>
      </w:r>
      <w:r>
        <w:rPr>
          <w:rFonts w:hint="eastAsia" w:hAnsi="宋体"/>
          <w:b w:val="0"/>
          <w:bCs w:val="0"/>
          <w:szCs w:val="21"/>
        </w:rPr>
        <w:t>松装密度漏斗法测定仪</w:t>
      </w:r>
      <w:r>
        <w:rPr>
          <w:rFonts w:hint="eastAsia" w:asciiTheme="minorEastAsia" w:hAnsiTheme="minorEastAsia" w:eastAsiaTheme="minorEastAsia" w:cstheme="minorEastAsia"/>
          <w:b w:val="0"/>
          <w:bCs w:val="0"/>
        </w:rPr>
        <w:t>校准规范</w:t>
      </w:r>
      <w:r>
        <w:rPr>
          <w:rFonts w:hint="eastAsia" w:asciiTheme="minorEastAsia" w:hAnsiTheme="minorEastAsia" w:eastAsiaTheme="minorEastAsia" w:cstheme="minorEastAsia"/>
          <w:b w:val="0"/>
          <w:bCs w:val="0"/>
          <w:lang w:eastAsia="zh-CN"/>
        </w:rPr>
        <w:t>》</w:t>
      </w:r>
      <w:r>
        <w:rPr>
          <w:rFonts w:hint="eastAsia" w:asciiTheme="minorEastAsia" w:hAnsiTheme="minorEastAsia" w:eastAsiaTheme="minorEastAsia" w:cstheme="minorEastAsia"/>
          <w:b w:val="0"/>
          <w:bCs w:val="0"/>
        </w:rPr>
        <w:t>中的计量特性及校准方法进行了讨论，确定了校准项目和方法，在202</w:t>
      </w:r>
      <w:r>
        <w:rPr>
          <w:rFonts w:hint="eastAsia" w:asciiTheme="minorEastAsia" w:hAnsiTheme="minorEastAsia" w:eastAsiaTheme="minorEastAsia" w:cstheme="minorEastAsia"/>
          <w:b w:val="0"/>
          <w:bCs w:val="0"/>
          <w:lang w:val="en-US" w:eastAsia="zh-CN"/>
        </w:rPr>
        <w:t>4</w:t>
      </w:r>
      <w:r>
        <w:rPr>
          <w:rFonts w:hint="eastAsia" w:asciiTheme="minorEastAsia" w:hAnsiTheme="minorEastAsia" w:eastAsiaTheme="minorEastAsia" w:cstheme="minorEastAsia"/>
          <w:b w:val="0"/>
          <w:bCs w:val="0"/>
        </w:rPr>
        <w:t>年4月形成了计量规范讨论稿。</w:t>
      </w:r>
    </w:p>
    <w:p w14:paraId="6FBC0613">
      <w:pPr>
        <w:numPr>
          <w:ilvl w:val="0"/>
          <w:numId w:val="13"/>
        </w:numPr>
        <w:spacing w:line="360" w:lineRule="auto"/>
        <w:ind w:firstLine="420" w:firstLineChars="200"/>
        <w:rPr>
          <w:rFonts w:hint="eastAsia" w:asciiTheme="minorEastAsia" w:hAnsiTheme="minorEastAsia" w:eastAsiaTheme="minorEastAsia" w:cstheme="minorEastAsia"/>
          <w:b w:val="0"/>
          <w:bCs w:val="0"/>
          <w:szCs w:val="21"/>
          <w:highlight w:val="none"/>
          <w:lang w:eastAsia="zh-CN"/>
        </w:rPr>
      </w:pPr>
      <w:r>
        <w:rPr>
          <w:rFonts w:hint="eastAsia" w:asciiTheme="minorEastAsia" w:hAnsiTheme="minorEastAsia" w:eastAsiaTheme="minorEastAsia" w:cstheme="minorEastAsia"/>
          <w:b w:val="0"/>
          <w:bCs w:val="0"/>
        </w:rPr>
        <w:t>202</w:t>
      </w:r>
      <w:r>
        <w:rPr>
          <w:rFonts w:hint="eastAsia" w:asciiTheme="minorEastAsia" w:hAnsiTheme="minorEastAsia" w:eastAsiaTheme="minorEastAsia" w:cstheme="minorEastAsia"/>
          <w:b w:val="0"/>
          <w:bCs w:val="0"/>
          <w:lang w:val="en-US" w:eastAsia="zh-CN"/>
        </w:rPr>
        <w:t>4</w:t>
      </w:r>
      <w:r>
        <w:rPr>
          <w:rFonts w:hint="eastAsia" w:asciiTheme="minorEastAsia" w:hAnsiTheme="minorEastAsia" w:eastAsiaTheme="minorEastAsia" w:cstheme="minorEastAsia"/>
          <w:b w:val="0"/>
          <w:bCs w:val="0"/>
        </w:rPr>
        <w:t>年</w:t>
      </w:r>
      <w:r>
        <w:rPr>
          <w:rFonts w:hint="eastAsia" w:asciiTheme="minorEastAsia" w:hAnsiTheme="minorEastAsia" w:eastAsiaTheme="minorEastAsia" w:cstheme="minorEastAsia"/>
          <w:b w:val="0"/>
          <w:bCs w:val="0"/>
          <w:lang w:val="en-US" w:eastAsia="zh-CN"/>
        </w:rPr>
        <w:t>4</w:t>
      </w:r>
      <w:r>
        <w:rPr>
          <w:rFonts w:hint="eastAsia" w:asciiTheme="minorEastAsia" w:hAnsiTheme="minorEastAsia" w:eastAsiaTheme="minorEastAsia" w:cstheme="minorEastAsia"/>
          <w:b w:val="0"/>
          <w:bCs w:val="0"/>
        </w:rPr>
        <w:t>月</w:t>
      </w:r>
      <w:r>
        <w:rPr>
          <w:rFonts w:hint="eastAsia" w:asciiTheme="minorEastAsia" w:hAnsiTheme="minorEastAsia" w:eastAsiaTheme="minorEastAsia" w:cstheme="minorEastAsia"/>
          <w:b w:val="0"/>
          <w:bCs w:val="0"/>
          <w:lang w:val="en-US" w:eastAsia="zh-CN"/>
        </w:rPr>
        <w:t>25</w:t>
      </w:r>
      <w:r>
        <w:rPr>
          <w:rFonts w:hint="eastAsia" w:asciiTheme="minorEastAsia" w:hAnsiTheme="minorEastAsia" w:eastAsiaTheme="minorEastAsia" w:cstheme="minorEastAsia"/>
          <w:b w:val="0"/>
          <w:bCs w:val="0"/>
        </w:rPr>
        <w:t>日，在</w:t>
      </w:r>
      <w:r>
        <w:rPr>
          <w:rFonts w:hint="eastAsia" w:asciiTheme="minorEastAsia" w:hAnsiTheme="minorEastAsia" w:eastAsiaTheme="minorEastAsia" w:cstheme="minorEastAsia"/>
          <w:b w:val="0"/>
          <w:bCs w:val="0"/>
          <w:lang w:val="en-US" w:eastAsia="zh-CN"/>
        </w:rPr>
        <w:t>长沙</w:t>
      </w:r>
      <w:r>
        <w:rPr>
          <w:rFonts w:hint="eastAsia" w:asciiTheme="minorEastAsia" w:hAnsiTheme="minorEastAsia" w:eastAsiaTheme="minorEastAsia" w:cstheme="minorEastAsia"/>
          <w:b w:val="0"/>
          <w:bCs w:val="0"/>
        </w:rPr>
        <w:t>市召开有色金属计量技术规范研讨会，</w:t>
      </w:r>
      <w:r>
        <w:rPr>
          <w:rFonts w:hint="eastAsia" w:asciiTheme="minorEastAsia" w:hAnsiTheme="minorEastAsia" w:eastAsiaTheme="minorEastAsia" w:cstheme="minorEastAsia"/>
          <w:b w:val="0"/>
          <w:bCs w:val="0"/>
          <w:szCs w:val="21"/>
        </w:rPr>
        <w:t>会上对《</w:t>
      </w:r>
      <w:r>
        <w:rPr>
          <w:rFonts w:hint="eastAsia" w:hAnsi="宋体"/>
          <w:b w:val="0"/>
          <w:bCs w:val="0"/>
          <w:szCs w:val="21"/>
        </w:rPr>
        <w:t>松装密度漏斗法测定仪</w:t>
      </w:r>
      <w:r>
        <w:rPr>
          <w:rFonts w:hint="eastAsia" w:asciiTheme="minorEastAsia" w:hAnsiTheme="minorEastAsia" w:eastAsiaTheme="minorEastAsia" w:cstheme="minorEastAsia"/>
          <w:b w:val="0"/>
          <w:bCs w:val="0"/>
          <w:szCs w:val="21"/>
        </w:rPr>
        <w:t>校准规范-讨论稿》进行了讨论，会上有来自不同单位的计量委员会委员、专家、代表</w:t>
      </w:r>
      <w:r>
        <w:rPr>
          <w:rFonts w:hint="eastAsia" w:asciiTheme="minorEastAsia" w:hAnsiTheme="minorEastAsia" w:eastAsiaTheme="minorEastAsia" w:cstheme="minorEastAsia"/>
          <w:b w:val="0"/>
          <w:bCs w:val="0"/>
          <w:szCs w:val="21"/>
          <w:lang w:val="en-US" w:eastAsia="zh-CN"/>
        </w:rPr>
        <w:t>就讨论稿中的计量特性、校准项目、校准方法等内容</w:t>
      </w:r>
      <w:r>
        <w:rPr>
          <w:rFonts w:hint="eastAsia" w:asciiTheme="minorEastAsia" w:hAnsiTheme="minorEastAsia" w:eastAsiaTheme="minorEastAsia" w:cstheme="minorEastAsia"/>
          <w:b w:val="0"/>
          <w:bCs w:val="0"/>
          <w:szCs w:val="21"/>
        </w:rPr>
        <w:t>提出了修改建议和意见</w:t>
      </w:r>
      <w:r>
        <w:rPr>
          <w:rFonts w:hint="eastAsia" w:asciiTheme="minorEastAsia" w:hAnsiTheme="minorEastAsia" w:eastAsiaTheme="minorEastAsia" w:cstheme="minorEastAsia"/>
          <w:b w:val="0"/>
          <w:bCs w:val="0"/>
          <w:szCs w:val="21"/>
          <w:lang w:eastAsia="zh-CN"/>
        </w:rPr>
        <w:t>。</w:t>
      </w:r>
    </w:p>
    <w:p w14:paraId="2FDABE4F">
      <w:pPr>
        <w:numPr>
          <w:ilvl w:val="0"/>
          <w:numId w:val="14"/>
        </w:numPr>
        <w:spacing w:line="360" w:lineRule="auto"/>
        <w:ind w:firstLine="420" w:firstLineChars="200"/>
        <w:rPr>
          <w:rFonts w:hint="eastAsia" w:asciiTheme="minorEastAsia" w:hAnsiTheme="minorEastAsia" w:eastAsiaTheme="minorEastAsia" w:cstheme="minorEastAsia"/>
          <w:b w:val="0"/>
          <w:bCs w:val="0"/>
          <w:color w:val="0408BC"/>
          <w:highlight w:val="none"/>
          <w:lang w:val="en-US" w:eastAsia="zh-CN"/>
        </w:rPr>
      </w:pPr>
      <w:r>
        <w:rPr>
          <w:rFonts w:hint="eastAsia" w:asciiTheme="minorEastAsia" w:hAnsiTheme="minorEastAsia" w:eastAsiaTheme="minorEastAsia" w:cstheme="minorEastAsia"/>
          <w:b w:val="0"/>
          <w:bCs w:val="0"/>
          <w:highlight w:val="none"/>
        </w:rPr>
        <w:t>202</w:t>
      </w:r>
      <w:r>
        <w:rPr>
          <w:rFonts w:hint="eastAsia" w:asciiTheme="minorEastAsia" w:hAnsiTheme="minorEastAsia" w:eastAsiaTheme="minorEastAsia" w:cstheme="minorEastAsia"/>
          <w:b w:val="0"/>
          <w:bCs w:val="0"/>
          <w:highlight w:val="none"/>
          <w:lang w:val="en-US" w:eastAsia="zh-CN"/>
        </w:rPr>
        <w:t>4</w:t>
      </w:r>
      <w:r>
        <w:rPr>
          <w:rFonts w:hint="eastAsia" w:asciiTheme="minorEastAsia" w:hAnsiTheme="minorEastAsia" w:eastAsiaTheme="minorEastAsia" w:cstheme="minorEastAsia"/>
          <w:b w:val="0"/>
          <w:bCs w:val="0"/>
          <w:highlight w:val="none"/>
        </w:rPr>
        <w:t>年</w:t>
      </w:r>
      <w:r>
        <w:rPr>
          <w:rFonts w:hint="eastAsia" w:asciiTheme="minorEastAsia" w:hAnsiTheme="minorEastAsia" w:eastAsiaTheme="minorEastAsia" w:cstheme="minorEastAsia"/>
          <w:b w:val="0"/>
          <w:bCs w:val="0"/>
          <w:highlight w:val="none"/>
          <w:lang w:val="en-US" w:eastAsia="zh-CN"/>
        </w:rPr>
        <w:t>5</w:t>
      </w:r>
      <w:r>
        <w:rPr>
          <w:rFonts w:hint="eastAsia" w:asciiTheme="minorEastAsia" w:hAnsiTheme="minorEastAsia" w:eastAsiaTheme="minorEastAsia" w:cstheme="minorEastAsia"/>
          <w:b w:val="0"/>
          <w:bCs w:val="0"/>
          <w:highlight w:val="none"/>
        </w:rPr>
        <w:t>月</w:t>
      </w:r>
      <w:r>
        <w:rPr>
          <w:rFonts w:hint="eastAsia" w:asciiTheme="minorEastAsia" w:hAnsiTheme="minorEastAsia" w:eastAsiaTheme="minorEastAsia" w:cstheme="minorEastAsia"/>
          <w:b w:val="0"/>
          <w:bCs w:val="0"/>
          <w:highlight w:val="none"/>
          <w:lang w:eastAsia="zh-CN"/>
        </w:rPr>
        <w:t>，规范编制组</w:t>
      </w:r>
      <w:r>
        <w:rPr>
          <w:rFonts w:hint="eastAsia" w:asciiTheme="minorEastAsia" w:hAnsiTheme="minorEastAsia" w:eastAsiaTheme="minorEastAsia" w:cstheme="minorEastAsia"/>
          <w:b w:val="0"/>
          <w:bCs w:val="0"/>
          <w:highlight w:val="none"/>
          <w:lang w:val="en-US" w:eastAsia="zh-CN"/>
        </w:rPr>
        <w:t>根据讨论会上各专家</w:t>
      </w:r>
      <w:r>
        <w:rPr>
          <w:rFonts w:hint="eastAsia" w:asciiTheme="minorEastAsia" w:hAnsiTheme="minorEastAsia" w:eastAsiaTheme="minorEastAsia" w:cstheme="minorEastAsia"/>
          <w:b w:val="0"/>
          <w:bCs w:val="0"/>
          <w:highlight w:val="none"/>
          <w:lang w:eastAsia="zh-CN"/>
        </w:rPr>
        <w:t>提出</w:t>
      </w:r>
      <w:r>
        <w:rPr>
          <w:rFonts w:hint="eastAsia" w:asciiTheme="minorEastAsia" w:hAnsiTheme="minorEastAsia" w:eastAsiaTheme="minorEastAsia" w:cstheme="minorEastAsia"/>
          <w:b w:val="0"/>
          <w:bCs w:val="0"/>
          <w:highlight w:val="none"/>
          <w:lang w:val="en-US" w:eastAsia="zh-CN"/>
        </w:rPr>
        <w:t>的意见，对</w:t>
      </w:r>
      <w:r>
        <w:rPr>
          <w:rFonts w:hint="eastAsia" w:asciiTheme="minorEastAsia" w:hAnsiTheme="minorEastAsia" w:eastAsiaTheme="minorEastAsia" w:cstheme="minorEastAsia"/>
          <w:b w:val="0"/>
          <w:bCs w:val="0"/>
          <w:highlight w:val="none"/>
          <w:lang w:eastAsia="zh-CN"/>
        </w:rPr>
        <w:t>规范讨论稿</w:t>
      </w:r>
      <w:r>
        <w:rPr>
          <w:rFonts w:hint="eastAsia" w:asciiTheme="minorEastAsia" w:hAnsiTheme="minorEastAsia" w:eastAsiaTheme="minorEastAsia" w:cstheme="minorEastAsia"/>
          <w:b w:val="0"/>
          <w:bCs w:val="0"/>
          <w:highlight w:val="none"/>
          <w:lang w:val="en-US" w:eastAsia="zh-CN"/>
        </w:rPr>
        <w:t>进行修改并形成了</w:t>
      </w:r>
      <w:r>
        <w:rPr>
          <w:rFonts w:hint="eastAsia" w:asciiTheme="minorEastAsia" w:hAnsiTheme="minorEastAsia" w:eastAsiaTheme="minorEastAsia" w:cstheme="minorEastAsia"/>
          <w:b w:val="0"/>
          <w:bCs w:val="0"/>
          <w:szCs w:val="21"/>
          <w:highlight w:val="none"/>
        </w:rPr>
        <w:t>《</w:t>
      </w:r>
      <w:r>
        <w:rPr>
          <w:rFonts w:hint="eastAsia" w:hAnsi="宋体"/>
          <w:b w:val="0"/>
          <w:bCs w:val="0"/>
          <w:szCs w:val="21"/>
        </w:rPr>
        <w:t>松装密度漏斗法测定仪</w:t>
      </w:r>
      <w:r>
        <w:rPr>
          <w:rFonts w:hint="eastAsia" w:asciiTheme="minorEastAsia" w:hAnsiTheme="minorEastAsia" w:eastAsiaTheme="minorEastAsia" w:cstheme="minorEastAsia"/>
          <w:b w:val="0"/>
          <w:bCs w:val="0"/>
          <w:szCs w:val="21"/>
          <w:highlight w:val="none"/>
        </w:rPr>
        <w:t>校准规范-</w:t>
      </w:r>
      <w:r>
        <w:rPr>
          <w:rFonts w:hint="eastAsia" w:asciiTheme="minorEastAsia" w:hAnsiTheme="minorEastAsia" w:eastAsiaTheme="minorEastAsia" w:cstheme="minorEastAsia"/>
          <w:b w:val="0"/>
          <w:bCs w:val="0"/>
          <w:highlight w:val="none"/>
        </w:rPr>
        <w:t>征求意见稿</w:t>
      </w:r>
      <w:r>
        <w:rPr>
          <w:rFonts w:hint="eastAsia" w:asciiTheme="minorEastAsia" w:hAnsiTheme="minorEastAsia" w:eastAsiaTheme="minorEastAsia" w:cstheme="minorEastAsia"/>
          <w:b w:val="0"/>
          <w:bCs w:val="0"/>
          <w:szCs w:val="21"/>
          <w:highlight w:val="none"/>
        </w:rPr>
        <w:t>》</w:t>
      </w:r>
      <w:r>
        <w:rPr>
          <w:rFonts w:hint="eastAsia" w:asciiTheme="minorEastAsia" w:hAnsiTheme="minorEastAsia" w:eastAsiaTheme="minorEastAsia" w:cstheme="minorEastAsia"/>
          <w:b w:val="0"/>
          <w:bCs w:val="0"/>
          <w:szCs w:val="21"/>
          <w:highlight w:val="none"/>
          <w:lang w:eastAsia="zh-CN"/>
        </w:rPr>
        <w:t>，</w:t>
      </w:r>
      <w:r>
        <w:rPr>
          <w:rFonts w:hint="eastAsia" w:asciiTheme="minorEastAsia" w:hAnsiTheme="minorEastAsia" w:eastAsiaTheme="minorEastAsia" w:cstheme="minorEastAsia"/>
          <w:b w:val="0"/>
          <w:bCs w:val="0"/>
          <w:szCs w:val="21"/>
          <w:highlight w:val="none"/>
          <w:lang w:val="en-US" w:eastAsia="zh-CN"/>
        </w:rPr>
        <w:t>并在</w:t>
      </w:r>
      <w:r>
        <w:rPr>
          <w:rFonts w:hint="eastAsia" w:asciiTheme="minorEastAsia" w:hAnsiTheme="minorEastAsia" w:eastAsiaTheme="minorEastAsia" w:cstheme="minorEastAsia"/>
          <w:b w:val="0"/>
          <w:bCs w:val="0"/>
          <w:highlight w:val="none"/>
          <w:lang w:val="en-US" w:eastAsia="zh-CN"/>
        </w:rPr>
        <w:t>向社会广泛征求意见后于2024年9月形成了</w:t>
      </w:r>
      <w:r>
        <w:rPr>
          <w:rFonts w:hint="eastAsia" w:asciiTheme="minorEastAsia" w:hAnsiTheme="minorEastAsia" w:eastAsiaTheme="minorEastAsia" w:cstheme="minorEastAsia"/>
          <w:b w:val="0"/>
          <w:bCs w:val="0"/>
          <w:szCs w:val="21"/>
          <w:highlight w:val="none"/>
        </w:rPr>
        <w:t>《</w:t>
      </w:r>
      <w:r>
        <w:rPr>
          <w:rFonts w:hint="eastAsia" w:hAnsi="宋体"/>
          <w:b w:val="0"/>
          <w:bCs w:val="0"/>
          <w:szCs w:val="21"/>
        </w:rPr>
        <w:t>松装密度漏斗法测定仪</w:t>
      </w:r>
      <w:r>
        <w:rPr>
          <w:rFonts w:hint="eastAsia" w:asciiTheme="minorEastAsia" w:hAnsiTheme="minorEastAsia" w:eastAsiaTheme="minorEastAsia" w:cstheme="minorEastAsia"/>
          <w:b w:val="0"/>
          <w:bCs w:val="0"/>
          <w:szCs w:val="21"/>
          <w:highlight w:val="none"/>
        </w:rPr>
        <w:t>校准规范-</w:t>
      </w:r>
      <w:r>
        <w:rPr>
          <w:rFonts w:hint="eastAsia" w:asciiTheme="minorEastAsia" w:hAnsiTheme="minorEastAsia" w:eastAsiaTheme="minorEastAsia" w:cstheme="minorEastAsia"/>
          <w:b w:val="0"/>
          <w:bCs w:val="0"/>
          <w:highlight w:val="none"/>
          <w:lang w:val="en-US" w:eastAsia="zh-CN"/>
        </w:rPr>
        <w:t>预审</w:t>
      </w:r>
      <w:r>
        <w:rPr>
          <w:rFonts w:hint="eastAsia" w:asciiTheme="minorEastAsia" w:hAnsiTheme="minorEastAsia" w:eastAsiaTheme="minorEastAsia" w:cstheme="minorEastAsia"/>
          <w:b w:val="0"/>
          <w:bCs w:val="0"/>
          <w:highlight w:val="none"/>
        </w:rPr>
        <w:t>稿</w:t>
      </w:r>
      <w:r>
        <w:rPr>
          <w:rFonts w:hint="eastAsia" w:asciiTheme="minorEastAsia" w:hAnsiTheme="minorEastAsia" w:eastAsiaTheme="minorEastAsia" w:cstheme="minorEastAsia"/>
          <w:b w:val="0"/>
          <w:bCs w:val="0"/>
          <w:szCs w:val="21"/>
          <w:highlight w:val="none"/>
        </w:rPr>
        <w:t>》</w:t>
      </w:r>
      <w:r>
        <w:rPr>
          <w:rFonts w:hint="eastAsia" w:asciiTheme="minorEastAsia" w:hAnsiTheme="minorEastAsia" w:eastAsiaTheme="minorEastAsia" w:cstheme="minorEastAsia"/>
          <w:b w:val="0"/>
          <w:bCs w:val="0"/>
          <w:highlight w:val="none"/>
        </w:rPr>
        <w:t>。</w:t>
      </w:r>
    </w:p>
    <w:bookmarkEnd w:id="12"/>
    <w:p w14:paraId="376A0B37">
      <w:pPr>
        <w:numPr>
          <w:ilvl w:val="0"/>
          <w:numId w:val="15"/>
        </w:numPr>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w:t>
      </w:r>
      <w:r>
        <w:rPr>
          <w:rFonts w:hint="eastAsia" w:asciiTheme="minorEastAsia" w:hAnsiTheme="minorEastAsia" w:eastAsiaTheme="minorEastAsia" w:cstheme="minorEastAsia"/>
          <w:b w:val="0"/>
          <w:bCs w:val="0"/>
          <w:lang w:val="en-US" w:eastAsia="zh-CN"/>
        </w:rPr>
        <w:t>4年9月</w:t>
      </w:r>
      <w:r>
        <w:rPr>
          <w:rFonts w:hint="eastAsia" w:asciiTheme="minorEastAsia" w:hAnsiTheme="minorEastAsia" w:eastAsiaTheme="minorEastAsia" w:cstheme="minorEastAsia"/>
          <w:b w:val="0"/>
          <w:bCs w:val="0"/>
        </w:rPr>
        <w:t>在</w:t>
      </w:r>
      <w:r>
        <w:rPr>
          <w:rFonts w:hint="eastAsia" w:asciiTheme="minorEastAsia" w:hAnsiTheme="minorEastAsia" w:eastAsiaTheme="minorEastAsia" w:cstheme="minorEastAsia"/>
          <w:b w:val="0"/>
          <w:bCs w:val="0"/>
          <w:lang w:val="en-US" w:eastAsia="zh-CN"/>
        </w:rPr>
        <w:t>柳州市</w:t>
      </w:r>
      <w:r>
        <w:rPr>
          <w:rFonts w:hint="eastAsia" w:asciiTheme="minorEastAsia" w:hAnsiTheme="minorEastAsia" w:eastAsiaTheme="minorEastAsia" w:cstheme="minorEastAsia"/>
          <w:b w:val="0"/>
          <w:bCs w:val="0"/>
        </w:rPr>
        <w:t>举行</w:t>
      </w:r>
      <w:r>
        <w:rPr>
          <w:rFonts w:hint="eastAsia" w:asciiTheme="minorEastAsia" w:hAnsiTheme="minorEastAsia" w:eastAsiaTheme="minorEastAsia" w:cstheme="minorEastAsia"/>
          <w:b w:val="0"/>
          <w:bCs w:val="0"/>
          <w:lang w:val="en-US" w:eastAsia="zh-CN"/>
        </w:rPr>
        <w:t>了</w:t>
      </w:r>
      <w:r>
        <w:rPr>
          <w:rFonts w:hint="eastAsia" w:asciiTheme="minorEastAsia" w:hAnsiTheme="minorEastAsia" w:eastAsiaTheme="minorEastAsia" w:cstheme="minorEastAsia"/>
          <w:b w:val="0"/>
          <w:bCs w:val="0"/>
        </w:rPr>
        <w:t>有色金属计量技术规范研讨会，</w:t>
      </w:r>
      <w:r>
        <w:rPr>
          <w:rFonts w:hint="eastAsia" w:asciiTheme="minorEastAsia" w:hAnsiTheme="minorEastAsia" w:eastAsiaTheme="minorEastAsia" w:cstheme="minorEastAsia"/>
          <w:b w:val="0"/>
          <w:bCs w:val="0"/>
          <w:szCs w:val="21"/>
        </w:rPr>
        <w:t>会上对《</w:t>
      </w:r>
      <w:r>
        <w:rPr>
          <w:rFonts w:hint="eastAsia" w:hAnsi="宋体"/>
          <w:b w:val="0"/>
          <w:bCs w:val="0"/>
          <w:szCs w:val="21"/>
        </w:rPr>
        <w:t>松装密度漏斗法测定仪</w:t>
      </w:r>
      <w:r>
        <w:rPr>
          <w:rFonts w:hint="eastAsia" w:asciiTheme="minorEastAsia" w:hAnsiTheme="minorEastAsia" w:eastAsiaTheme="minorEastAsia" w:cstheme="minorEastAsia"/>
          <w:b w:val="0"/>
          <w:bCs w:val="0"/>
          <w:szCs w:val="21"/>
        </w:rPr>
        <w:t>校准规范-</w:t>
      </w:r>
      <w:r>
        <w:rPr>
          <w:rFonts w:hint="eastAsia" w:asciiTheme="minorEastAsia" w:hAnsiTheme="minorEastAsia" w:eastAsiaTheme="minorEastAsia" w:cstheme="minorEastAsia"/>
          <w:b w:val="0"/>
          <w:bCs w:val="0"/>
          <w:szCs w:val="21"/>
          <w:lang w:val="en-US" w:eastAsia="zh-CN"/>
        </w:rPr>
        <w:t>预审</w:t>
      </w:r>
      <w:r>
        <w:rPr>
          <w:rFonts w:hint="eastAsia" w:asciiTheme="minorEastAsia" w:hAnsiTheme="minorEastAsia" w:eastAsiaTheme="minorEastAsia" w:cstheme="minorEastAsia"/>
          <w:b w:val="0"/>
          <w:bCs w:val="0"/>
          <w:szCs w:val="21"/>
        </w:rPr>
        <w:t>稿》</w:t>
      </w:r>
      <w:r>
        <w:rPr>
          <w:rFonts w:hint="eastAsia" w:asciiTheme="minorEastAsia" w:hAnsiTheme="minorEastAsia" w:eastAsiaTheme="minorEastAsia" w:cstheme="minorEastAsia"/>
          <w:b w:val="0"/>
          <w:bCs w:val="0"/>
          <w:szCs w:val="21"/>
          <w:lang w:val="en-US" w:eastAsia="zh-CN"/>
        </w:rPr>
        <w:t>和</w:t>
      </w:r>
      <w:r>
        <w:rPr>
          <w:rFonts w:hint="eastAsia" w:asciiTheme="minorEastAsia" w:hAnsiTheme="minorEastAsia" w:eastAsiaTheme="minorEastAsia" w:cstheme="minorEastAsia"/>
          <w:b w:val="0"/>
          <w:bCs w:val="0"/>
          <w:szCs w:val="21"/>
        </w:rPr>
        <w:t>《</w:t>
      </w:r>
      <w:r>
        <w:rPr>
          <w:rFonts w:hint="eastAsia" w:hAnsi="宋体"/>
          <w:b w:val="0"/>
          <w:bCs w:val="0"/>
          <w:szCs w:val="21"/>
        </w:rPr>
        <w:t>松装密度漏斗法测定仪</w:t>
      </w:r>
      <w:r>
        <w:rPr>
          <w:rFonts w:hint="eastAsia" w:asciiTheme="minorEastAsia" w:hAnsiTheme="minorEastAsia" w:eastAsiaTheme="minorEastAsia" w:cstheme="minorEastAsia"/>
          <w:b w:val="0"/>
          <w:bCs w:val="0"/>
          <w:szCs w:val="21"/>
        </w:rPr>
        <w:t>校准规范</w:t>
      </w:r>
      <w:r>
        <w:rPr>
          <w:rFonts w:hint="eastAsia" w:asciiTheme="minorEastAsia" w:hAnsiTheme="minorEastAsia" w:eastAsiaTheme="minorEastAsia" w:cstheme="minorEastAsia"/>
          <w:b w:val="0"/>
          <w:bCs w:val="0"/>
          <w:szCs w:val="21"/>
          <w:lang w:val="en-US" w:eastAsia="zh-CN"/>
        </w:rPr>
        <w:t>编制说明</w:t>
      </w:r>
      <w:r>
        <w:rPr>
          <w:rFonts w:hint="eastAsia" w:asciiTheme="minorEastAsia" w:hAnsiTheme="minorEastAsia" w:eastAsiaTheme="minorEastAsia" w:cstheme="minorEastAsia"/>
          <w:b w:val="0"/>
          <w:bCs w:val="0"/>
          <w:szCs w:val="21"/>
        </w:rPr>
        <w:t>-</w:t>
      </w:r>
      <w:r>
        <w:rPr>
          <w:rFonts w:hint="eastAsia" w:asciiTheme="minorEastAsia" w:hAnsiTheme="minorEastAsia" w:eastAsiaTheme="minorEastAsia" w:cstheme="minorEastAsia"/>
          <w:b w:val="0"/>
          <w:bCs w:val="0"/>
          <w:szCs w:val="21"/>
          <w:lang w:val="en-US" w:eastAsia="zh-CN"/>
        </w:rPr>
        <w:t>预审</w:t>
      </w:r>
      <w:r>
        <w:rPr>
          <w:rFonts w:hint="eastAsia" w:asciiTheme="minorEastAsia" w:hAnsiTheme="minorEastAsia" w:eastAsiaTheme="minorEastAsia" w:cstheme="minorEastAsia"/>
          <w:b w:val="0"/>
          <w:bCs w:val="0"/>
          <w:szCs w:val="21"/>
        </w:rPr>
        <w:t>稿》进行了讨论，会上有来自不同单位的计量委员会委员、专家、代表</w:t>
      </w:r>
      <w:r>
        <w:rPr>
          <w:rFonts w:hint="eastAsia" w:asciiTheme="minorEastAsia" w:hAnsiTheme="minorEastAsia" w:eastAsiaTheme="minorEastAsia" w:cstheme="minorEastAsia"/>
          <w:b w:val="0"/>
          <w:bCs w:val="0"/>
          <w:szCs w:val="21"/>
          <w:lang w:val="en-US" w:eastAsia="zh-CN"/>
        </w:rPr>
        <w:t>就预审稿中的计量特性、校准项目、校准方法等内容</w:t>
      </w:r>
      <w:r>
        <w:rPr>
          <w:rFonts w:hint="eastAsia" w:asciiTheme="minorEastAsia" w:hAnsiTheme="minorEastAsia" w:eastAsiaTheme="minorEastAsia" w:cstheme="minorEastAsia"/>
          <w:b w:val="0"/>
          <w:bCs w:val="0"/>
          <w:szCs w:val="21"/>
        </w:rPr>
        <w:t>提出了修改建议和意见</w:t>
      </w:r>
      <w:r>
        <w:rPr>
          <w:rFonts w:hint="eastAsia" w:asciiTheme="minorEastAsia" w:hAnsiTheme="minorEastAsia" w:eastAsiaTheme="minorEastAsia" w:cstheme="minorEastAsia"/>
          <w:b w:val="0"/>
          <w:bCs w:val="0"/>
          <w:szCs w:val="21"/>
          <w:lang w:eastAsia="zh-CN"/>
        </w:rPr>
        <w:t>。</w:t>
      </w:r>
    </w:p>
    <w:p w14:paraId="49710CDF">
      <w:pPr>
        <w:spacing w:line="360" w:lineRule="auto"/>
        <w:ind w:firstLine="210" w:firstLineChars="100"/>
        <w:jc w:val="center"/>
        <w:rPr>
          <w:rFonts w:hint="eastAsia" w:eastAsia="宋体"/>
          <w:b w:val="0"/>
          <w:bCs w:val="0"/>
          <w:lang w:eastAsia="zh-CN"/>
        </w:rPr>
      </w:pPr>
      <w:r>
        <w:rPr>
          <w:rFonts w:asciiTheme="minorEastAsia" w:hAnsiTheme="minorEastAsia" w:eastAsiaTheme="minorEastAsia"/>
          <w:b w:val="0"/>
          <w:bCs w:val="0"/>
        </w:rPr>
        <w:tab/>
      </w:r>
      <w:r>
        <w:rPr>
          <w:rFonts w:asciiTheme="minorEastAsia" w:hAnsiTheme="minorEastAsia" w:eastAsiaTheme="minorEastAsia"/>
          <w:b w:val="0"/>
          <w:bCs w:val="0"/>
        </w:rPr>
        <w:tab/>
      </w:r>
      <w:r>
        <w:rPr>
          <w:rFonts w:hint="eastAsia"/>
          <w:b w:val="0"/>
          <w:bCs w:val="0"/>
        </w:rPr>
        <w:t>有色金属计量技术规范研讨会会议纪要</w:t>
      </w:r>
      <w:r>
        <w:rPr>
          <w:rFonts w:hint="eastAsia"/>
          <w:b w:val="0"/>
          <w:bCs w:val="0"/>
          <w:lang w:eastAsia="zh-CN"/>
        </w:rPr>
        <w:t>（</w:t>
      </w:r>
      <w:r>
        <w:rPr>
          <w:rFonts w:hint="eastAsia"/>
          <w:b w:val="0"/>
          <w:bCs w:val="0"/>
          <w:lang w:val="en-US" w:eastAsia="zh-CN"/>
        </w:rPr>
        <w:t>预审稿</w:t>
      </w:r>
      <w:r>
        <w:rPr>
          <w:rFonts w:hint="eastAsia"/>
          <w:b w:val="0"/>
          <w:bCs w:val="0"/>
          <w:lang w:eastAsia="zh-CN"/>
        </w:rPr>
        <w:t>）</w:t>
      </w:r>
    </w:p>
    <w:tbl>
      <w:tblPr>
        <w:tblStyle w:val="41"/>
        <w:tblW w:w="476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25"/>
        <w:gridCol w:w="4531"/>
        <w:gridCol w:w="1306"/>
        <w:gridCol w:w="1420"/>
      </w:tblGrid>
      <w:tr w14:paraId="3F61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pct"/>
            <w:tcBorders>
              <w:tl2br w:val="nil"/>
              <w:tr2bl w:val="nil"/>
            </w:tcBorders>
            <w:shd w:val="clear" w:color="auto" w:fill="auto"/>
            <w:noWrap/>
            <w:vAlign w:val="center"/>
          </w:tcPr>
          <w:p w14:paraId="095256DE">
            <w:pPr>
              <w:widowControl/>
              <w:jc w:val="center"/>
              <w:rPr>
                <w:b w:val="0"/>
                <w:bCs w:val="0"/>
                <w:color w:val="000000"/>
                <w:kern w:val="0"/>
                <w:szCs w:val="21"/>
              </w:rPr>
            </w:pPr>
            <w:r>
              <w:rPr>
                <w:b w:val="0"/>
                <w:bCs w:val="0"/>
                <w:color w:val="000000"/>
                <w:kern w:val="0"/>
                <w:szCs w:val="21"/>
              </w:rPr>
              <w:t>序号</w:t>
            </w:r>
          </w:p>
        </w:tc>
        <w:tc>
          <w:tcPr>
            <w:tcW w:w="561" w:type="pct"/>
            <w:tcBorders>
              <w:tl2br w:val="nil"/>
              <w:tr2bl w:val="nil"/>
            </w:tcBorders>
            <w:shd w:val="clear" w:color="auto" w:fill="auto"/>
            <w:vAlign w:val="center"/>
          </w:tcPr>
          <w:p w14:paraId="14EFFD8F">
            <w:pPr>
              <w:widowControl/>
              <w:jc w:val="center"/>
              <w:rPr>
                <w:b w:val="0"/>
                <w:bCs w:val="0"/>
                <w:color w:val="000000"/>
                <w:kern w:val="0"/>
                <w:szCs w:val="21"/>
              </w:rPr>
            </w:pPr>
            <w:r>
              <w:rPr>
                <w:rFonts w:hint="eastAsia"/>
                <w:b w:val="0"/>
                <w:bCs w:val="0"/>
                <w:color w:val="000000"/>
                <w:kern w:val="0"/>
                <w:szCs w:val="21"/>
                <w:lang w:val="en-US" w:eastAsia="zh-CN"/>
              </w:rPr>
              <w:t>规范</w:t>
            </w:r>
            <w:r>
              <w:rPr>
                <w:b w:val="0"/>
                <w:bCs w:val="0"/>
                <w:color w:val="000000"/>
                <w:kern w:val="0"/>
                <w:szCs w:val="21"/>
              </w:rPr>
              <w:t>章条编号</w:t>
            </w:r>
          </w:p>
        </w:tc>
        <w:tc>
          <w:tcPr>
            <w:tcW w:w="2483" w:type="pct"/>
            <w:tcBorders>
              <w:tl2br w:val="nil"/>
              <w:tr2bl w:val="nil"/>
            </w:tcBorders>
            <w:shd w:val="clear" w:color="auto" w:fill="auto"/>
            <w:noWrap/>
            <w:vAlign w:val="center"/>
          </w:tcPr>
          <w:p w14:paraId="2E2BFFD8">
            <w:pPr>
              <w:widowControl/>
              <w:jc w:val="center"/>
              <w:rPr>
                <w:b w:val="0"/>
                <w:bCs w:val="0"/>
                <w:color w:val="000000"/>
                <w:kern w:val="0"/>
                <w:szCs w:val="21"/>
              </w:rPr>
            </w:pPr>
            <w:r>
              <w:rPr>
                <w:b w:val="0"/>
                <w:bCs w:val="0"/>
                <w:color w:val="000000"/>
                <w:kern w:val="0"/>
                <w:szCs w:val="21"/>
              </w:rPr>
              <w:t>意见内容</w:t>
            </w:r>
          </w:p>
        </w:tc>
        <w:tc>
          <w:tcPr>
            <w:tcW w:w="715" w:type="pct"/>
            <w:tcBorders>
              <w:tl2br w:val="nil"/>
              <w:tr2bl w:val="nil"/>
            </w:tcBorders>
            <w:shd w:val="clear" w:color="auto" w:fill="auto"/>
            <w:noWrap/>
            <w:vAlign w:val="center"/>
          </w:tcPr>
          <w:p w14:paraId="33B4AE45">
            <w:pPr>
              <w:widowControl/>
              <w:jc w:val="center"/>
              <w:rPr>
                <w:b w:val="0"/>
                <w:bCs w:val="0"/>
                <w:color w:val="000000"/>
                <w:kern w:val="0"/>
                <w:szCs w:val="21"/>
              </w:rPr>
            </w:pPr>
            <w:r>
              <w:rPr>
                <w:b w:val="0"/>
                <w:bCs w:val="0"/>
                <w:color w:val="000000"/>
                <w:kern w:val="0"/>
                <w:szCs w:val="21"/>
              </w:rPr>
              <w:t>提出单位</w:t>
            </w:r>
          </w:p>
        </w:tc>
        <w:tc>
          <w:tcPr>
            <w:tcW w:w="778" w:type="pct"/>
            <w:tcBorders>
              <w:tl2br w:val="nil"/>
              <w:tr2bl w:val="nil"/>
            </w:tcBorders>
            <w:shd w:val="clear" w:color="auto" w:fill="auto"/>
            <w:noWrap/>
            <w:vAlign w:val="center"/>
          </w:tcPr>
          <w:p w14:paraId="07BFF437">
            <w:pPr>
              <w:widowControl/>
              <w:jc w:val="center"/>
              <w:rPr>
                <w:b w:val="0"/>
                <w:bCs w:val="0"/>
                <w:color w:val="000000"/>
                <w:kern w:val="0"/>
                <w:szCs w:val="21"/>
              </w:rPr>
            </w:pPr>
            <w:r>
              <w:rPr>
                <w:b w:val="0"/>
                <w:bCs w:val="0"/>
                <w:color w:val="000000"/>
                <w:kern w:val="0"/>
                <w:szCs w:val="21"/>
              </w:rPr>
              <w:t>处理意见</w:t>
            </w:r>
          </w:p>
        </w:tc>
      </w:tr>
      <w:tr w14:paraId="05BC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pct"/>
            <w:tcBorders>
              <w:tl2br w:val="nil"/>
              <w:tr2bl w:val="nil"/>
            </w:tcBorders>
            <w:shd w:val="clear" w:color="auto" w:fill="auto"/>
            <w:noWrap/>
            <w:vAlign w:val="center"/>
          </w:tcPr>
          <w:p w14:paraId="7B9E8744">
            <w:pPr>
              <w:pStyle w:val="302"/>
              <w:widowControl/>
              <w:numPr>
                <w:ilvl w:val="0"/>
                <w:numId w:val="0"/>
              </w:numPr>
              <w:ind w:leftChars="0"/>
              <w:jc w:val="center"/>
              <w:rPr>
                <w:rFonts w:hint="eastAsia" w:eastAsia="宋体"/>
                <w:b w:val="0"/>
                <w:bCs w:val="0"/>
                <w:color w:val="000000"/>
                <w:kern w:val="0"/>
                <w:szCs w:val="21"/>
                <w:lang w:val="en-US" w:eastAsia="zh-CN"/>
              </w:rPr>
            </w:pPr>
            <w:r>
              <w:rPr>
                <w:rFonts w:hint="eastAsia"/>
                <w:b w:val="0"/>
                <w:bCs w:val="0"/>
                <w:color w:val="000000"/>
                <w:kern w:val="0"/>
                <w:szCs w:val="21"/>
                <w:lang w:val="en-US" w:eastAsia="zh-CN"/>
              </w:rPr>
              <w:t>1</w:t>
            </w:r>
          </w:p>
        </w:tc>
        <w:tc>
          <w:tcPr>
            <w:tcW w:w="561" w:type="pct"/>
            <w:tcBorders>
              <w:tl2br w:val="nil"/>
              <w:tr2bl w:val="nil"/>
            </w:tcBorders>
            <w:shd w:val="clear" w:color="auto" w:fill="auto"/>
            <w:noWrap/>
            <w:vAlign w:val="center"/>
          </w:tcPr>
          <w:p w14:paraId="18D0AA92">
            <w:pPr>
              <w:widowControl/>
              <w:jc w:val="center"/>
              <w:rPr>
                <w:rFonts w:hint="eastAsia" w:eastAsia="宋体"/>
                <w:b w:val="0"/>
                <w:bCs w:val="0"/>
                <w:color w:val="000000"/>
                <w:kern w:val="0"/>
                <w:szCs w:val="21"/>
                <w:lang w:val="en-US" w:eastAsia="zh-CN"/>
              </w:rPr>
            </w:pPr>
            <w:r>
              <w:rPr>
                <w:rFonts w:hint="eastAsia"/>
                <w:b w:val="0"/>
                <w:bCs w:val="0"/>
                <w:color w:val="000000"/>
                <w:kern w:val="0"/>
                <w:szCs w:val="21"/>
                <w:lang w:val="en-US" w:eastAsia="zh-CN"/>
              </w:rPr>
              <w:t>4</w:t>
            </w:r>
          </w:p>
        </w:tc>
        <w:tc>
          <w:tcPr>
            <w:tcW w:w="2483" w:type="pct"/>
            <w:tcBorders>
              <w:tl2br w:val="nil"/>
              <w:tr2bl w:val="nil"/>
            </w:tcBorders>
            <w:shd w:val="clear" w:color="auto" w:fill="auto"/>
            <w:noWrap/>
            <w:vAlign w:val="center"/>
          </w:tcPr>
          <w:p w14:paraId="5E1B45AE">
            <w:pPr>
              <w:widowControl/>
              <w:jc w:val="center"/>
              <w:rPr>
                <w:rFonts w:hint="default" w:eastAsia="宋体"/>
                <w:b w:val="0"/>
                <w:bCs w:val="0"/>
                <w:color w:val="000000"/>
                <w:kern w:val="0"/>
                <w:szCs w:val="21"/>
                <w:lang w:val="en-US" w:eastAsia="zh-CN"/>
              </w:rPr>
            </w:pPr>
            <w:r>
              <w:rPr>
                <w:rFonts w:hint="eastAsia"/>
                <w:b w:val="0"/>
                <w:bCs w:val="0"/>
                <w:color w:val="000000"/>
                <w:kern w:val="0"/>
                <w:szCs w:val="21"/>
                <w:lang w:val="en-US" w:eastAsia="zh-CN"/>
              </w:rPr>
              <w:t>计量特性删除“漏斗内锥面粗糙度”</w:t>
            </w:r>
          </w:p>
        </w:tc>
        <w:tc>
          <w:tcPr>
            <w:tcW w:w="715" w:type="pct"/>
            <w:tcBorders>
              <w:tl2br w:val="nil"/>
              <w:tr2bl w:val="nil"/>
            </w:tcBorders>
            <w:shd w:val="clear" w:color="auto" w:fill="auto"/>
            <w:noWrap/>
            <w:vAlign w:val="center"/>
          </w:tcPr>
          <w:p w14:paraId="3DF2F146">
            <w:pPr>
              <w:widowControl/>
              <w:jc w:val="center"/>
              <w:rPr>
                <w:b w:val="0"/>
                <w:bCs w:val="0"/>
                <w:color w:val="000000"/>
                <w:kern w:val="0"/>
                <w:szCs w:val="21"/>
              </w:rPr>
            </w:pPr>
            <w:r>
              <w:rPr>
                <w:rFonts w:hint="eastAsia" w:ascii="宋体" w:hAnsi="宋体" w:cs="宋体"/>
                <w:b w:val="0"/>
                <w:bCs w:val="0"/>
                <w:color w:val="auto"/>
                <w:kern w:val="2"/>
                <w:sz w:val="21"/>
                <w:szCs w:val="21"/>
                <w:highlight w:val="none"/>
                <w:lang w:val="en-US" w:eastAsia="zh-CN"/>
              </w:rPr>
              <w:t>东北轻工业有</w:t>
            </w:r>
            <w:r>
              <w:rPr>
                <w:rFonts w:hint="eastAsia" w:ascii="宋体" w:hAnsi="宋体" w:eastAsia="宋体" w:cs="宋体"/>
                <w:b w:val="0"/>
                <w:bCs w:val="0"/>
                <w:color w:val="auto"/>
                <w:kern w:val="2"/>
                <w:sz w:val="21"/>
                <w:szCs w:val="21"/>
                <w:highlight w:val="none"/>
                <w:lang w:val="en-US" w:eastAsia="zh-CN"/>
              </w:rPr>
              <w:t>限公司</w:t>
            </w:r>
          </w:p>
        </w:tc>
        <w:tc>
          <w:tcPr>
            <w:tcW w:w="778" w:type="pct"/>
            <w:tcBorders>
              <w:tl2br w:val="nil"/>
              <w:tr2bl w:val="nil"/>
            </w:tcBorders>
            <w:shd w:val="clear" w:color="auto" w:fill="auto"/>
            <w:noWrap/>
            <w:vAlign w:val="center"/>
          </w:tcPr>
          <w:p w14:paraId="0DFF48E8">
            <w:pPr>
              <w:widowControl/>
              <w:jc w:val="center"/>
              <w:rPr>
                <w:rFonts w:hint="eastAsia" w:eastAsia="宋体"/>
                <w:b w:val="0"/>
                <w:bCs w:val="0"/>
                <w:color w:val="000000"/>
                <w:kern w:val="0"/>
                <w:szCs w:val="21"/>
                <w:lang w:val="en-US" w:eastAsia="zh-CN"/>
              </w:rPr>
            </w:pPr>
            <w:r>
              <w:rPr>
                <w:rFonts w:hint="eastAsia"/>
                <w:b w:val="0"/>
                <w:bCs w:val="0"/>
                <w:color w:val="000000"/>
                <w:kern w:val="0"/>
                <w:szCs w:val="21"/>
                <w:lang w:val="en-US" w:eastAsia="zh-CN"/>
              </w:rPr>
              <w:t>采纳</w:t>
            </w:r>
          </w:p>
        </w:tc>
      </w:tr>
      <w:tr w14:paraId="02EE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pct"/>
            <w:tcBorders>
              <w:tl2br w:val="nil"/>
              <w:tr2bl w:val="nil"/>
            </w:tcBorders>
            <w:shd w:val="clear" w:color="auto" w:fill="auto"/>
            <w:noWrap/>
            <w:vAlign w:val="center"/>
          </w:tcPr>
          <w:p w14:paraId="7372AAB3">
            <w:pPr>
              <w:pStyle w:val="302"/>
              <w:widowControl/>
              <w:numPr>
                <w:ilvl w:val="0"/>
                <w:numId w:val="0"/>
              </w:numPr>
              <w:ind w:lef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2</w:t>
            </w:r>
          </w:p>
        </w:tc>
        <w:tc>
          <w:tcPr>
            <w:tcW w:w="561" w:type="pct"/>
            <w:tcBorders>
              <w:tl2br w:val="nil"/>
              <w:tr2bl w:val="nil"/>
            </w:tcBorders>
            <w:shd w:val="clear" w:color="auto" w:fill="auto"/>
            <w:noWrap/>
            <w:vAlign w:val="center"/>
          </w:tcPr>
          <w:p w14:paraId="64C5A0B6">
            <w:pPr>
              <w:pStyle w:val="302"/>
              <w:widowControl/>
              <w:numPr>
                <w:ilvl w:val="0"/>
                <w:numId w:val="0"/>
              </w:numPr>
              <w:ind w:lef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6</w:t>
            </w:r>
          </w:p>
        </w:tc>
        <w:tc>
          <w:tcPr>
            <w:tcW w:w="2483" w:type="pct"/>
            <w:tcBorders>
              <w:tl2br w:val="nil"/>
              <w:tr2bl w:val="nil"/>
            </w:tcBorders>
            <w:shd w:val="clear" w:color="auto" w:fill="auto"/>
            <w:noWrap/>
            <w:vAlign w:val="center"/>
          </w:tcPr>
          <w:p w14:paraId="2EA1DA1F">
            <w:pPr>
              <w:pStyle w:val="302"/>
              <w:widowControl/>
              <w:numPr>
                <w:ilvl w:val="0"/>
                <w:numId w:val="0"/>
              </w:numPr>
              <w:ind w:leftChars="0"/>
              <w:jc w:val="center"/>
              <w:rPr>
                <w:rFonts w:hint="default"/>
                <w:b w:val="0"/>
                <w:bCs w:val="0"/>
                <w:color w:val="000000"/>
                <w:kern w:val="0"/>
                <w:szCs w:val="21"/>
                <w:lang w:val="en-US" w:eastAsia="zh-CN"/>
              </w:rPr>
            </w:pPr>
            <w:r>
              <w:rPr>
                <w:rFonts w:hint="eastAsia"/>
                <w:b w:val="0"/>
                <w:bCs w:val="0"/>
                <w:color w:val="000000"/>
                <w:kern w:val="0"/>
                <w:szCs w:val="21"/>
                <w:lang w:val="en-US" w:eastAsia="zh-CN"/>
              </w:rPr>
              <w:t>校准项目及校准方法删除“漏斗内锥面粗糙度”</w:t>
            </w:r>
          </w:p>
        </w:tc>
        <w:tc>
          <w:tcPr>
            <w:tcW w:w="715" w:type="pct"/>
            <w:tcBorders>
              <w:tl2br w:val="nil"/>
              <w:tr2bl w:val="nil"/>
            </w:tcBorders>
            <w:shd w:val="clear" w:color="auto" w:fill="auto"/>
            <w:noWrap/>
            <w:vAlign w:val="center"/>
          </w:tcPr>
          <w:p w14:paraId="757AFD9F">
            <w:pPr>
              <w:pStyle w:val="302"/>
              <w:widowControl/>
              <w:numPr>
                <w:ilvl w:val="0"/>
                <w:numId w:val="0"/>
              </w:numPr>
              <w:ind w:leftChars="0"/>
              <w:jc w:val="center"/>
              <w:rPr>
                <w:rFonts w:hint="eastAsia"/>
                <w:b w:val="0"/>
                <w:bCs w:val="0"/>
                <w:color w:val="000000"/>
                <w:kern w:val="0"/>
                <w:szCs w:val="21"/>
                <w:lang w:val="en-US" w:eastAsia="zh-CN"/>
              </w:rPr>
            </w:pPr>
            <w:r>
              <w:rPr>
                <w:rFonts w:hint="eastAsia" w:ascii="宋体" w:hAnsi="宋体" w:cs="宋体"/>
                <w:b w:val="0"/>
                <w:bCs w:val="0"/>
                <w:color w:val="auto"/>
                <w:kern w:val="2"/>
                <w:sz w:val="21"/>
                <w:szCs w:val="21"/>
                <w:highlight w:val="none"/>
                <w:lang w:val="en-US" w:eastAsia="zh-CN"/>
              </w:rPr>
              <w:t>东北轻工业有</w:t>
            </w:r>
            <w:r>
              <w:rPr>
                <w:rFonts w:hint="eastAsia" w:ascii="宋体" w:hAnsi="宋体" w:eastAsia="宋体" w:cs="宋体"/>
                <w:b w:val="0"/>
                <w:bCs w:val="0"/>
                <w:color w:val="auto"/>
                <w:kern w:val="2"/>
                <w:sz w:val="21"/>
                <w:szCs w:val="21"/>
                <w:highlight w:val="none"/>
                <w:lang w:val="en-US" w:eastAsia="zh-CN"/>
              </w:rPr>
              <w:t>限公司</w:t>
            </w:r>
          </w:p>
        </w:tc>
        <w:tc>
          <w:tcPr>
            <w:tcW w:w="778" w:type="pct"/>
            <w:tcBorders>
              <w:tl2br w:val="nil"/>
              <w:tr2bl w:val="nil"/>
            </w:tcBorders>
            <w:shd w:val="clear" w:color="auto" w:fill="auto"/>
            <w:noWrap/>
            <w:vAlign w:val="center"/>
          </w:tcPr>
          <w:p w14:paraId="79FBD513">
            <w:pPr>
              <w:pStyle w:val="302"/>
              <w:widowControl/>
              <w:numPr>
                <w:ilvl w:val="0"/>
                <w:numId w:val="0"/>
              </w:numPr>
              <w:ind w:lef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采纳</w:t>
            </w:r>
          </w:p>
        </w:tc>
      </w:tr>
      <w:tr w14:paraId="36BB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pct"/>
            <w:tcBorders>
              <w:tl2br w:val="nil"/>
              <w:tr2bl w:val="nil"/>
            </w:tcBorders>
            <w:shd w:val="clear" w:color="auto" w:fill="auto"/>
            <w:noWrap/>
            <w:vAlign w:val="center"/>
          </w:tcPr>
          <w:p w14:paraId="70E89AFB">
            <w:pPr>
              <w:pStyle w:val="302"/>
              <w:widowControl/>
              <w:numPr>
                <w:ilvl w:val="0"/>
                <w:numId w:val="0"/>
              </w:numPr>
              <w:ind w:lef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3</w:t>
            </w:r>
          </w:p>
        </w:tc>
        <w:tc>
          <w:tcPr>
            <w:tcW w:w="561" w:type="pct"/>
            <w:tcBorders>
              <w:tl2br w:val="nil"/>
              <w:tr2bl w:val="nil"/>
            </w:tcBorders>
            <w:shd w:val="clear" w:color="auto" w:fill="auto"/>
            <w:noWrap/>
            <w:vAlign w:val="center"/>
          </w:tcPr>
          <w:p w14:paraId="5CF1F2D1">
            <w:pPr>
              <w:pStyle w:val="302"/>
              <w:widowControl/>
              <w:numPr>
                <w:ilvl w:val="0"/>
                <w:numId w:val="0"/>
              </w:numPr>
              <w:ind w:leftChars="0"/>
              <w:jc w:val="center"/>
              <w:rPr>
                <w:rFonts w:hint="default"/>
                <w:b w:val="0"/>
                <w:bCs w:val="0"/>
                <w:color w:val="000000"/>
                <w:kern w:val="0"/>
                <w:szCs w:val="21"/>
                <w:lang w:val="en-US" w:eastAsia="zh-CN"/>
              </w:rPr>
            </w:pPr>
            <w:r>
              <w:rPr>
                <w:rFonts w:hint="eastAsia"/>
                <w:b w:val="0"/>
                <w:bCs w:val="0"/>
                <w:color w:val="000000"/>
                <w:kern w:val="0"/>
                <w:szCs w:val="21"/>
                <w:lang w:val="en-US" w:eastAsia="zh-CN"/>
              </w:rPr>
              <w:t>6</w:t>
            </w:r>
          </w:p>
        </w:tc>
        <w:tc>
          <w:tcPr>
            <w:tcW w:w="2483" w:type="pct"/>
            <w:tcBorders>
              <w:tl2br w:val="nil"/>
              <w:tr2bl w:val="nil"/>
            </w:tcBorders>
            <w:shd w:val="clear" w:color="auto" w:fill="auto"/>
            <w:noWrap/>
            <w:vAlign w:val="center"/>
          </w:tcPr>
          <w:p w14:paraId="35E67C3A">
            <w:pPr>
              <w:pStyle w:val="302"/>
              <w:widowControl/>
              <w:numPr>
                <w:ilvl w:val="0"/>
                <w:numId w:val="0"/>
              </w:numPr>
              <w:ind w:leftChars="0"/>
              <w:jc w:val="center"/>
              <w:rPr>
                <w:rFonts w:hint="default"/>
                <w:b w:val="0"/>
                <w:bCs w:val="0"/>
                <w:color w:val="000000"/>
                <w:kern w:val="0"/>
                <w:szCs w:val="21"/>
                <w:lang w:val="en-US" w:eastAsia="zh-CN"/>
              </w:rPr>
            </w:pPr>
            <w:r>
              <w:rPr>
                <w:rFonts w:hint="eastAsia"/>
                <w:b w:val="0"/>
                <w:bCs w:val="0"/>
                <w:color w:val="000000"/>
                <w:kern w:val="0"/>
                <w:szCs w:val="21"/>
                <w:lang w:val="en-US" w:eastAsia="zh-CN"/>
              </w:rPr>
              <w:t>细化各校准方法的操作步骤，使其更具有操作性</w:t>
            </w:r>
          </w:p>
        </w:tc>
        <w:tc>
          <w:tcPr>
            <w:tcW w:w="715" w:type="pct"/>
            <w:tcBorders>
              <w:tl2br w:val="nil"/>
              <w:tr2bl w:val="nil"/>
            </w:tcBorders>
            <w:shd w:val="clear" w:color="auto" w:fill="auto"/>
            <w:noWrap/>
            <w:vAlign w:val="center"/>
          </w:tcPr>
          <w:p w14:paraId="3C7B7C36">
            <w:pPr>
              <w:pStyle w:val="302"/>
              <w:widowControl/>
              <w:numPr>
                <w:ilvl w:val="0"/>
                <w:numId w:val="0"/>
              </w:numPr>
              <w:ind w:leftChars="0"/>
              <w:jc w:val="center"/>
              <w:rPr>
                <w:rFonts w:hint="eastAsia"/>
                <w:b w:val="0"/>
                <w:bCs w:val="0"/>
                <w:color w:val="000000"/>
                <w:kern w:val="0"/>
                <w:szCs w:val="21"/>
                <w:lang w:val="en-US" w:eastAsia="zh-CN"/>
              </w:rPr>
            </w:pPr>
            <w:r>
              <w:rPr>
                <w:rFonts w:hint="eastAsia" w:ascii="宋体" w:hAnsi="宋体" w:cs="宋体"/>
                <w:b w:val="0"/>
                <w:bCs w:val="0"/>
                <w:color w:val="auto"/>
                <w:kern w:val="2"/>
                <w:sz w:val="21"/>
                <w:szCs w:val="21"/>
                <w:highlight w:val="none"/>
                <w:lang w:val="en-US" w:eastAsia="zh-CN"/>
              </w:rPr>
              <w:t>中铝材料应用研究院有限公司</w:t>
            </w:r>
          </w:p>
        </w:tc>
        <w:tc>
          <w:tcPr>
            <w:tcW w:w="778" w:type="pct"/>
            <w:tcBorders>
              <w:tl2br w:val="nil"/>
              <w:tr2bl w:val="nil"/>
            </w:tcBorders>
            <w:shd w:val="clear" w:color="auto" w:fill="auto"/>
            <w:noWrap/>
            <w:vAlign w:val="center"/>
          </w:tcPr>
          <w:p w14:paraId="79D327F2">
            <w:pPr>
              <w:pStyle w:val="302"/>
              <w:widowControl/>
              <w:numPr>
                <w:ilvl w:val="0"/>
                <w:numId w:val="0"/>
              </w:numPr>
              <w:ind w:lef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采纳</w:t>
            </w:r>
          </w:p>
        </w:tc>
      </w:tr>
      <w:tr w14:paraId="52C4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pct"/>
            <w:tcBorders>
              <w:tl2br w:val="nil"/>
              <w:tr2bl w:val="nil"/>
            </w:tcBorders>
            <w:shd w:val="clear" w:color="auto" w:fill="auto"/>
            <w:noWrap/>
            <w:vAlign w:val="center"/>
          </w:tcPr>
          <w:p w14:paraId="502A94A1">
            <w:pPr>
              <w:pStyle w:val="302"/>
              <w:widowControl/>
              <w:numPr>
                <w:ilvl w:val="0"/>
                <w:numId w:val="0"/>
              </w:numPr>
              <w:ind w:leftChars="0"/>
              <w:jc w:val="center"/>
              <w:rPr>
                <w:rFonts w:hint="default"/>
                <w:b w:val="0"/>
                <w:bCs w:val="0"/>
                <w:color w:val="000000"/>
                <w:kern w:val="0"/>
                <w:szCs w:val="21"/>
                <w:lang w:val="en-US" w:eastAsia="zh-CN"/>
              </w:rPr>
            </w:pPr>
            <w:r>
              <w:rPr>
                <w:rFonts w:hint="eastAsia"/>
                <w:b w:val="0"/>
                <w:bCs w:val="0"/>
                <w:color w:val="000000"/>
                <w:kern w:val="0"/>
                <w:szCs w:val="21"/>
                <w:lang w:val="en-US" w:eastAsia="zh-CN"/>
              </w:rPr>
              <w:t>4</w:t>
            </w:r>
          </w:p>
        </w:tc>
        <w:tc>
          <w:tcPr>
            <w:tcW w:w="561" w:type="pct"/>
            <w:tcBorders>
              <w:tl2br w:val="nil"/>
              <w:tr2bl w:val="nil"/>
            </w:tcBorders>
            <w:shd w:val="clear" w:color="auto" w:fill="auto"/>
            <w:noWrap/>
            <w:vAlign w:val="center"/>
          </w:tcPr>
          <w:p w14:paraId="725B84EC">
            <w:pPr>
              <w:pStyle w:val="302"/>
              <w:widowControl/>
              <w:numPr>
                <w:ilvl w:val="0"/>
                <w:numId w:val="0"/>
              </w:numPr>
              <w:ind w:leftChars="0"/>
              <w:jc w:val="center"/>
              <w:rPr>
                <w:rFonts w:hint="default"/>
                <w:b w:val="0"/>
                <w:bCs w:val="0"/>
                <w:color w:val="000000"/>
                <w:kern w:val="0"/>
                <w:szCs w:val="21"/>
                <w:lang w:val="en-US" w:eastAsia="zh-CN"/>
              </w:rPr>
            </w:pPr>
            <w:r>
              <w:rPr>
                <w:rFonts w:hint="eastAsia"/>
                <w:b w:val="0"/>
                <w:bCs w:val="0"/>
                <w:color w:val="000000"/>
                <w:kern w:val="0"/>
                <w:szCs w:val="21"/>
                <w:lang w:val="en-US" w:eastAsia="zh-CN"/>
              </w:rPr>
              <w:t>附录A</w:t>
            </w:r>
          </w:p>
        </w:tc>
        <w:tc>
          <w:tcPr>
            <w:tcW w:w="2483" w:type="pct"/>
            <w:tcBorders>
              <w:tl2br w:val="nil"/>
              <w:tr2bl w:val="nil"/>
            </w:tcBorders>
            <w:shd w:val="clear" w:color="auto" w:fill="auto"/>
            <w:noWrap/>
            <w:vAlign w:val="center"/>
          </w:tcPr>
          <w:p w14:paraId="4CC72D94">
            <w:pPr>
              <w:pStyle w:val="302"/>
              <w:widowControl/>
              <w:numPr>
                <w:ilvl w:val="0"/>
                <w:numId w:val="0"/>
              </w:numPr>
              <w:ind w:leftChars="0"/>
              <w:jc w:val="center"/>
              <w:rPr>
                <w:rFonts w:hint="default"/>
                <w:b w:val="0"/>
                <w:bCs w:val="0"/>
                <w:color w:val="000000"/>
                <w:kern w:val="0"/>
                <w:szCs w:val="21"/>
                <w:lang w:val="en-US" w:eastAsia="zh-CN"/>
              </w:rPr>
            </w:pPr>
            <w:r>
              <w:rPr>
                <w:rFonts w:hint="eastAsia"/>
                <w:b w:val="0"/>
                <w:bCs w:val="0"/>
                <w:color w:val="000000"/>
                <w:kern w:val="0"/>
                <w:szCs w:val="21"/>
                <w:lang w:val="en-US" w:eastAsia="zh-CN"/>
              </w:rPr>
              <w:t>原始记录表格中量杯内径应有两种规格</w:t>
            </w:r>
          </w:p>
        </w:tc>
        <w:tc>
          <w:tcPr>
            <w:tcW w:w="715" w:type="pct"/>
            <w:tcBorders>
              <w:tl2br w:val="nil"/>
              <w:tr2bl w:val="nil"/>
            </w:tcBorders>
            <w:shd w:val="clear" w:color="auto" w:fill="auto"/>
            <w:noWrap/>
            <w:vAlign w:val="center"/>
          </w:tcPr>
          <w:p w14:paraId="0DDFA34C">
            <w:pPr>
              <w:pStyle w:val="302"/>
              <w:widowControl/>
              <w:numPr>
                <w:ilvl w:val="0"/>
                <w:numId w:val="0"/>
              </w:numPr>
              <w:ind w:leftChars="0"/>
              <w:jc w:val="center"/>
              <w:rPr>
                <w:rFonts w:hint="eastAsia"/>
                <w:b w:val="0"/>
                <w:bCs w:val="0"/>
                <w:color w:val="000000"/>
                <w:kern w:val="0"/>
                <w:szCs w:val="21"/>
                <w:lang w:val="en-US" w:eastAsia="zh-CN"/>
              </w:rPr>
            </w:pPr>
            <w:r>
              <w:rPr>
                <w:rFonts w:hint="eastAsia" w:ascii="宋体" w:hAnsi="宋体" w:cs="宋体"/>
                <w:b w:val="0"/>
                <w:bCs w:val="0"/>
                <w:color w:val="auto"/>
                <w:kern w:val="2"/>
                <w:sz w:val="21"/>
                <w:szCs w:val="21"/>
                <w:highlight w:val="none"/>
                <w:lang w:val="en-US" w:eastAsia="zh-CN"/>
              </w:rPr>
              <w:t>中铝材料应用研究院有限公司</w:t>
            </w:r>
          </w:p>
        </w:tc>
        <w:tc>
          <w:tcPr>
            <w:tcW w:w="778" w:type="pct"/>
            <w:tcBorders>
              <w:tl2br w:val="nil"/>
              <w:tr2bl w:val="nil"/>
            </w:tcBorders>
            <w:shd w:val="clear" w:color="auto" w:fill="auto"/>
            <w:noWrap/>
            <w:vAlign w:val="center"/>
          </w:tcPr>
          <w:p w14:paraId="751A2AAF">
            <w:pPr>
              <w:pStyle w:val="302"/>
              <w:widowControl/>
              <w:numPr>
                <w:ilvl w:val="0"/>
                <w:numId w:val="0"/>
              </w:numPr>
              <w:ind w:lef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采纳</w:t>
            </w:r>
          </w:p>
        </w:tc>
      </w:tr>
      <w:tr w14:paraId="37AD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pct"/>
            <w:tcBorders>
              <w:tl2br w:val="nil"/>
              <w:tr2bl w:val="nil"/>
            </w:tcBorders>
            <w:shd w:val="clear" w:color="auto" w:fill="auto"/>
            <w:noWrap/>
            <w:vAlign w:val="center"/>
          </w:tcPr>
          <w:p w14:paraId="4F1107F6">
            <w:pPr>
              <w:pStyle w:val="302"/>
              <w:widowControl/>
              <w:numPr>
                <w:ilvl w:val="0"/>
                <w:numId w:val="0"/>
              </w:numPr>
              <w:ind w:leftChars="0"/>
              <w:jc w:val="center"/>
              <w:rPr>
                <w:rFonts w:hint="default"/>
                <w:b w:val="0"/>
                <w:bCs w:val="0"/>
                <w:color w:val="000000"/>
                <w:kern w:val="0"/>
                <w:szCs w:val="21"/>
                <w:lang w:val="en-US" w:eastAsia="zh-CN"/>
              </w:rPr>
            </w:pPr>
            <w:r>
              <w:rPr>
                <w:rFonts w:hint="eastAsia"/>
                <w:b w:val="0"/>
                <w:bCs w:val="0"/>
                <w:color w:val="000000"/>
                <w:kern w:val="0"/>
                <w:szCs w:val="21"/>
                <w:lang w:val="en-US" w:eastAsia="zh-CN"/>
              </w:rPr>
              <w:t>5</w:t>
            </w:r>
          </w:p>
        </w:tc>
        <w:tc>
          <w:tcPr>
            <w:tcW w:w="561" w:type="pct"/>
            <w:tcBorders>
              <w:tl2br w:val="nil"/>
              <w:tr2bl w:val="nil"/>
            </w:tcBorders>
            <w:shd w:val="clear" w:color="auto" w:fill="auto"/>
            <w:noWrap/>
            <w:vAlign w:val="center"/>
          </w:tcPr>
          <w:p w14:paraId="30FB4788">
            <w:pPr>
              <w:pStyle w:val="302"/>
              <w:widowControl/>
              <w:numPr>
                <w:ilvl w:val="0"/>
                <w:numId w:val="0"/>
              </w:numPr>
              <w:ind w:lef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附录A</w:t>
            </w:r>
          </w:p>
        </w:tc>
        <w:tc>
          <w:tcPr>
            <w:tcW w:w="2483" w:type="pct"/>
            <w:tcBorders>
              <w:tl2br w:val="nil"/>
              <w:tr2bl w:val="nil"/>
            </w:tcBorders>
            <w:shd w:val="clear" w:color="auto" w:fill="auto"/>
            <w:noWrap/>
            <w:vAlign w:val="center"/>
          </w:tcPr>
          <w:p w14:paraId="56226F2C">
            <w:pPr>
              <w:pStyle w:val="302"/>
              <w:widowControl/>
              <w:numPr>
                <w:ilvl w:val="0"/>
                <w:numId w:val="0"/>
              </w:numPr>
              <w:ind w:leftChars="0"/>
              <w:jc w:val="center"/>
              <w:rPr>
                <w:rFonts w:hint="default"/>
                <w:b w:val="0"/>
                <w:bCs w:val="0"/>
                <w:color w:val="000000"/>
                <w:kern w:val="0"/>
                <w:szCs w:val="21"/>
                <w:lang w:val="en-US" w:eastAsia="zh-CN"/>
              </w:rPr>
            </w:pPr>
            <w:r>
              <w:rPr>
                <w:rFonts w:hint="eastAsia"/>
                <w:b w:val="0"/>
                <w:bCs w:val="0"/>
                <w:color w:val="000000"/>
                <w:kern w:val="0"/>
                <w:szCs w:val="21"/>
                <w:lang w:val="en-US" w:eastAsia="zh-CN"/>
              </w:rPr>
              <w:t>原始记录表格中增加量杯深度记录栏</w:t>
            </w:r>
          </w:p>
        </w:tc>
        <w:tc>
          <w:tcPr>
            <w:tcW w:w="715" w:type="pct"/>
            <w:tcBorders>
              <w:tl2br w:val="nil"/>
              <w:tr2bl w:val="nil"/>
            </w:tcBorders>
            <w:shd w:val="clear" w:color="auto" w:fill="auto"/>
            <w:noWrap/>
            <w:vAlign w:val="center"/>
          </w:tcPr>
          <w:p w14:paraId="520595A5">
            <w:pPr>
              <w:pStyle w:val="302"/>
              <w:widowControl/>
              <w:numPr>
                <w:ilvl w:val="0"/>
                <w:numId w:val="0"/>
              </w:numPr>
              <w:ind w:leftChars="0"/>
              <w:jc w:val="center"/>
              <w:rPr>
                <w:rFonts w:hint="eastAsia"/>
                <w:b w:val="0"/>
                <w:bCs w:val="0"/>
                <w:color w:val="000000"/>
                <w:kern w:val="0"/>
                <w:szCs w:val="21"/>
                <w:lang w:val="en-US" w:eastAsia="zh-CN"/>
              </w:rPr>
            </w:pPr>
            <w:r>
              <w:rPr>
                <w:rFonts w:hint="eastAsia"/>
                <w:b w:val="0"/>
                <w:bCs w:val="0"/>
                <w:szCs w:val="21"/>
                <w:lang w:val="en-US" w:eastAsia="zh-CN"/>
              </w:rPr>
              <w:t>西北铝业有限责任有限公司</w:t>
            </w:r>
          </w:p>
        </w:tc>
        <w:tc>
          <w:tcPr>
            <w:tcW w:w="778" w:type="pct"/>
            <w:tcBorders>
              <w:tl2br w:val="nil"/>
              <w:tr2bl w:val="nil"/>
            </w:tcBorders>
            <w:shd w:val="clear" w:color="auto" w:fill="auto"/>
            <w:noWrap/>
            <w:vAlign w:val="center"/>
          </w:tcPr>
          <w:p w14:paraId="595E7E3B">
            <w:pPr>
              <w:pStyle w:val="302"/>
              <w:widowControl/>
              <w:numPr>
                <w:ilvl w:val="0"/>
                <w:numId w:val="0"/>
              </w:numPr>
              <w:ind w:lef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采纳</w:t>
            </w:r>
          </w:p>
        </w:tc>
      </w:tr>
    </w:tbl>
    <w:p w14:paraId="77EDD771">
      <w:pPr>
        <w:numPr>
          <w:ilvl w:val="0"/>
          <w:numId w:val="16"/>
        </w:numPr>
        <w:spacing w:line="360" w:lineRule="auto"/>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2024年10月，规范编制组根据预审会上各专家提出的意见，对规范预审稿进行修改并形成了《松装密度漏斗法测定仪校准规范-送审稿》。</w:t>
      </w:r>
    </w:p>
    <w:p w14:paraId="35C3C864">
      <w:pPr>
        <w:pStyle w:val="2"/>
        <w:spacing w:before="156" w:after="156"/>
        <w:rPr>
          <w:b w:val="0"/>
          <w:bCs w:val="0"/>
        </w:rPr>
      </w:pPr>
      <w:r>
        <w:rPr>
          <w:rFonts w:hint="eastAsia"/>
          <w:b w:val="0"/>
          <w:bCs w:val="0"/>
        </w:rPr>
        <w:t>二、编制原则和依据</w:t>
      </w:r>
    </w:p>
    <w:p w14:paraId="3F1A852F">
      <w:pPr>
        <w:pStyle w:val="3"/>
        <w:spacing w:before="156" w:after="156"/>
        <w:rPr>
          <w:b w:val="0"/>
          <w:bCs w:val="0"/>
        </w:rPr>
      </w:pPr>
      <w:bookmarkStart w:id="13" w:name="_Toc464728925"/>
      <w:r>
        <w:rPr>
          <w:rFonts w:hint="eastAsia"/>
          <w:b w:val="0"/>
          <w:bCs w:val="0"/>
        </w:rPr>
        <w:t>（一）编制原则</w:t>
      </w:r>
      <w:bookmarkEnd w:id="13"/>
    </w:p>
    <w:p w14:paraId="0AD6C02E">
      <w:pPr>
        <w:spacing w:line="360" w:lineRule="auto"/>
        <w:ind w:firstLine="420" w:firstLineChars="200"/>
        <w:rPr>
          <w:rFonts w:hint="eastAsia" w:asciiTheme="minorEastAsia" w:hAnsiTheme="minorEastAsia" w:eastAsiaTheme="minorEastAsia" w:cstheme="minorEastAsia"/>
          <w:b w:val="0"/>
          <w:bCs w:val="0"/>
          <w:szCs w:val="21"/>
        </w:rPr>
      </w:pPr>
      <w:bookmarkStart w:id="14" w:name="_Toc464728926"/>
      <w:r>
        <w:rPr>
          <w:rFonts w:hint="eastAsia" w:asciiTheme="minorEastAsia" w:hAnsiTheme="minorEastAsia" w:eastAsiaTheme="minorEastAsia" w:cstheme="minorEastAsia"/>
          <w:b w:val="0"/>
          <w:bCs w:val="0"/>
          <w:szCs w:val="21"/>
        </w:rPr>
        <w:t>本规范是以JJF 1071-2010《国家计量校准规范编写规则》、JJF 1001-2011《通用计量术语及定义》和JJF 1059.1-2012《测量不确定度评定与表示》为基础性系列规范进行编写。</w:t>
      </w:r>
    </w:p>
    <w:p w14:paraId="10B86985">
      <w:pPr>
        <w:spacing w:line="360" w:lineRule="auto"/>
        <w:ind w:firstLine="420" w:firstLineChars="200"/>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本规范引用了GB/T</w:t>
      </w:r>
      <w:r>
        <w:rPr>
          <w:rFonts w:hint="eastAsia" w:asciiTheme="minorEastAsia" w:hAnsiTheme="minorEastAsia" w:eastAsiaTheme="minorEastAsia" w:cstheme="minorEastAsia"/>
          <w:b w:val="0"/>
          <w:bCs w:val="0"/>
          <w:szCs w:val="21"/>
          <w:lang w:val="en-US" w:eastAsia="zh-CN"/>
        </w:rPr>
        <w:t xml:space="preserve"> 1479.1</w:t>
      </w:r>
      <w:r>
        <w:rPr>
          <w:rFonts w:hint="eastAsia" w:asciiTheme="minorEastAsia" w:hAnsiTheme="minorEastAsia" w:eastAsiaTheme="minorEastAsia" w:cstheme="minorEastAsia"/>
          <w:b w:val="0"/>
          <w:bCs w:val="0"/>
          <w:szCs w:val="21"/>
        </w:rPr>
        <w:t>《</w:t>
      </w:r>
      <w:bookmarkStart w:id="15" w:name="OLE_LINK3"/>
      <w:r>
        <w:rPr>
          <w:rFonts w:hint="eastAsia" w:asciiTheme="minorEastAsia" w:hAnsiTheme="minorEastAsia" w:eastAsiaTheme="minorEastAsia" w:cstheme="minorEastAsia"/>
          <w:b w:val="0"/>
          <w:bCs w:val="0"/>
          <w:szCs w:val="21"/>
          <w:lang w:val="en-US" w:eastAsia="zh-CN"/>
        </w:rPr>
        <w:t>金属粉末 松装密度的测定 第1部分：漏斗法</w:t>
      </w:r>
      <w:bookmarkEnd w:id="15"/>
      <w:r>
        <w:rPr>
          <w:rFonts w:hint="eastAsia" w:asciiTheme="minorEastAsia" w:hAnsiTheme="minorEastAsia" w:eastAsiaTheme="minorEastAsia" w:cstheme="minorEastAsia"/>
          <w:b w:val="0"/>
          <w:bCs w:val="0"/>
          <w:szCs w:val="21"/>
        </w:rPr>
        <w:t>》等相关内容。提出了对</w:t>
      </w:r>
      <w:r>
        <w:rPr>
          <w:rFonts w:hint="eastAsia" w:hAnsi="宋体"/>
          <w:b w:val="0"/>
          <w:bCs w:val="0"/>
          <w:szCs w:val="21"/>
        </w:rPr>
        <w:t>松装密度漏斗法测定仪</w:t>
      </w:r>
      <w:r>
        <w:rPr>
          <w:rFonts w:hint="eastAsia" w:asciiTheme="minorEastAsia" w:hAnsiTheme="minorEastAsia" w:eastAsiaTheme="minorEastAsia" w:cstheme="minorEastAsia"/>
          <w:b w:val="0"/>
          <w:bCs w:val="0"/>
          <w:szCs w:val="21"/>
        </w:rPr>
        <w:t>计量特性的要求，制定了基本原则和编制依据，可对</w:t>
      </w:r>
      <w:r>
        <w:rPr>
          <w:rFonts w:hint="eastAsia" w:hAnsi="宋体"/>
          <w:b w:val="0"/>
          <w:bCs w:val="0"/>
          <w:szCs w:val="21"/>
        </w:rPr>
        <w:t>松装密度漏斗法测定仪</w:t>
      </w:r>
      <w:r>
        <w:rPr>
          <w:rFonts w:hint="eastAsia" w:asciiTheme="minorEastAsia" w:hAnsiTheme="minorEastAsia" w:eastAsiaTheme="minorEastAsia" w:cstheme="minorEastAsia"/>
          <w:b w:val="0"/>
          <w:bCs w:val="0"/>
          <w:szCs w:val="21"/>
        </w:rPr>
        <w:t>进行校准，解决了目前没有</w:t>
      </w:r>
      <w:r>
        <w:rPr>
          <w:rFonts w:hint="eastAsia" w:hAnsi="宋体"/>
          <w:b w:val="0"/>
          <w:bCs w:val="0"/>
          <w:szCs w:val="21"/>
        </w:rPr>
        <w:t>松装密度漏斗法测定仪</w:t>
      </w:r>
      <w:r>
        <w:rPr>
          <w:rFonts w:hint="eastAsia" w:asciiTheme="minorEastAsia" w:hAnsiTheme="minorEastAsia" w:eastAsiaTheme="minorEastAsia" w:cstheme="minorEastAsia"/>
          <w:b w:val="0"/>
          <w:bCs w:val="0"/>
          <w:szCs w:val="21"/>
        </w:rPr>
        <w:t>校准方法的难题。</w:t>
      </w:r>
    </w:p>
    <w:p w14:paraId="30DE95D9">
      <w:pPr>
        <w:pStyle w:val="3"/>
        <w:spacing w:before="156" w:after="156"/>
        <w:rPr>
          <w:rFonts w:ascii="宋体" w:hAnsi="宋体"/>
          <w:b w:val="0"/>
          <w:bCs w:val="0"/>
        </w:rPr>
      </w:pPr>
      <w:r>
        <w:rPr>
          <w:rFonts w:hint="eastAsia"/>
          <w:b w:val="0"/>
          <w:bCs w:val="0"/>
        </w:rPr>
        <w:t>（二）确定主要内</w:t>
      </w:r>
      <w:bookmarkEnd w:id="14"/>
      <w:r>
        <w:rPr>
          <w:rFonts w:hint="eastAsia"/>
          <w:b w:val="0"/>
          <w:bCs w:val="0"/>
        </w:rPr>
        <w:t>容</w:t>
      </w:r>
    </w:p>
    <w:p w14:paraId="3099D9D4">
      <w:pPr>
        <w:pStyle w:val="4"/>
        <w:spacing w:before="156" w:after="156"/>
        <w:rPr>
          <w:b w:val="0"/>
          <w:bCs w:val="0"/>
        </w:rPr>
      </w:pPr>
      <w:bookmarkStart w:id="16" w:name="_Toc193860208"/>
      <w:bookmarkStart w:id="17" w:name="_Toc193860027"/>
      <w:bookmarkStart w:id="18" w:name="_Toc500258929"/>
      <w:bookmarkStart w:id="19" w:name="_Toc193860177"/>
      <w:bookmarkStart w:id="20" w:name="_Toc23837_WPSOffice_Level1"/>
      <w:bookmarkStart w:id="21" w:name="_Toc464728964"/>
      <w:r>
        <w:rPr>
          <w:rFonts w:hint="eastAsia"/>
          <w:b w:val="0"/>
          <w:bCs w:val="0"/>
        </w:rPr>
        <w:t>1</w:t>
      </w:r>
      <w:r>
        <w:rPr>
          <w:rFonts w:hint="eastAsia"/>
          <w:b w:val="0"/>
          <w:bCs w:val="0"/>
          <w:lang w:val="en-US" w:eastAsia="zh-CN"/>
        </w:rPr>
        <w:t xml:space="preserve"> </w:t>
      </w:r>
      <w:r>
        <w:rPr>
          <w:rFonts w:hint="eastAsia"/>
          <w:b w:val="0"/>
          <w:bCs w:val="0"/>
        </w:rPr>
        <w:t>范围</w:t>
      </w:r>
      <w:bookmarkEnd w:id="16"/>
      <w:bookmarkEnd w:id="17"/>
      <w:bookmarkEnd w:id="18"/>
      <w:bookmarkEnd w:id="19"/>
      <w:bookmarkEnd w:id="20"/>
    </w:p>
    <w:p w14:paraId="5B75772E">
      <w:pPr>
        <w:spacing w:line="360" w:lineRule="auto"/>
        <w:ind w:firstLine="420" w:firstLineChars="200"/>
        <w:rPr>
          <w:rFonts w:hint="eastAsia" w:asciiTheme="minorEastAsia" w:hAnsiTheme="minorEastAsia" w:eastAsiaTheme="minorEastAsia" w:cstheme="minorEastAsia"/>
          <w:kern w:val="0"/>
          <w:szCs w:val="21"/>
        </w:rPr>
      </w:pPr>
      <w:bookmarkStart w:id="22" w:name="OLE_LINK5"/>
      <w:bookmarkStart w:id="23" w:name="_Toc193860178"/>
      <w:bookmarkStart w:id="24" w:name="_Toc193860028"/>
      <w:bookmarkStart w:id="25" w:name="_Toc193860209"/>
      <w:bookmarkStart w:id="26" w:name="_Toc7848_WPSOffice_Level1"/>
      <w:bookmarkStart w:id="27" w:name="_Toc500258930"/>
      <w:r>
        <w:rPr>
          <w:rFonts w:hint="eastAsia" w:asciiTheme="minorEastAsia" w:hAnsiTheme="minorEastAsia" w:eastAsiaTheme="minorEastAsia" w:cstheme="minorEastAsia"/>
          <w:kern w:val="0"/>
          <w:szCs w:val="21"/>
          <w:lang w:val="en-US" w:eastAsia="zh-CN"/>
        </w:rPr>
        <w:t>本</w:t>
      </w:r>
      <w:r>
        <w:rPr>
          <w:rFonts w:hint="eastAsia" w:asciiTheme="minorEastAsia" w:hAnsiTheme="minorEastAsia" w:eastAsiaTheme="minorEastAsia" w:cstheme="minorEastAsia"/>
          <w:kern w:val="0"/>
          <w:szCs w:val="21"/>
        </w:rPr>
        <w:t>规范适用于利用</w:t>
      </w:r>
      <w:r>
        <w:rPr>
          <w:rFonts w:hint="eastAsia" w:asciiTheme="minorEastAsia" w:hAnsiTheme="minorEastAsia" w:eastAsiaTheme="minorEastAsia" w:cstheme="minorEastAsia"/>
          <w:kern w:val="0"/>
          <w:szCs w:val="21"/>
          <w:lang w:val="en-US" w:eastAsia="zh-CN"/>
        </w:rPr>
        <w:t>漏斗法</w:t>
      </w:r>
      <w:r>
        <w:rPr>
          <w:rFonts w:hint="eastAsia" w:asciiTheme="minorEastAsia" w:hAnsiTheme="minorEastAsia" w:eastAsiaTheme="minorEastAsia" w:cstheme="minorEastAsia"/>
          <w:kern w:val="0"/>
          <w:szCs w:val="21"/>
        </w:rPr>
        <w:t>原理</w:t>
      </w:r>
      <w:r>
        <w:rPr>
          <w:rFonts w:hint="eastAsia" w:asciiTheme="minorEastAsia" w:hAnsiTheme="minorEastAsia" w:eastAsiaTheme="minorEastAsia" w:cstheme="minorEastAsia"/>
          <w:kern w:val="0"/>
          <w:szCs w:val="21"/>
          <w:lang w:val="en-US" w:eastAsia="zh-CN"/>
        </w:rPr>
        <w:t>测定</w:t>
      </w:r>
      <w:r>
        <w:rPr>
          <w:rFonts w:hint="eastAsia" w:asciiTheme="minorEastAsia" w:hAnsiTheme="minorEastAsia" w:eastAsiaTheme="minorEastAsia" w:cstheme="minorEastAsia"/>
          <w:kern w:val="0"/>
          <w:szCs w:val="21"/>
        </w:rPr>
        <w:t>粉末颗粒</w:t>
      </w:r>
      <w:r>
        <w:rPr>
          <w:rFonts w:hint="eastAsia" w:asciiTheme="minorEastAsia" w:hAnsiTheme="minorEastAsia" w:eastAsiaTheme="minorEastAsia" w:cstheme="minorEastAsia"/>
          <w:kern w:val="0"/>
          <w:szCs w:val="21"/>
          <w:lang w:val="en-US" w:eastAsia="zh-CN"/>
        </w:rPr>
        <w:t>松装密度的松装密度漏斗法测定仪</w:t>
      </w:r>
      <w:r>
        <w:rPr>
          <w:rFonts w:hint="eastAsia" w:asciiTheme="minorEastAsia" w:hAnsiTheme="minorEastAsia" w:eastAsiaTheme="minorEastAsia" w:cstheme="minorEastAsia"/>
          <w:kern w:val="0"/>
          <w:szCs w:val="21"/>
        </w:rPr>
        <w:t>的校准。</w:t>
      </w:r>
      <w:bookmarkEnd w:id="22"/>
    </w:p>
    <w:p w14:paraId="5B2BFAF7">
      <w:pPr>
        <w:pStyle w:val="58"/>
        <w:spacing w:line="360" w:lineRule="auto"/>
        <w:ind w:firstLine="316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本规范规定了</w:t>
      </w:r>
      <w:r>
        <w:rPr>
          <w:rFonts w:hint="eastAsia" w:asciiTheme="minorEastAsia" w:hAnsiTheme="minorEastAsia" w:eastAsiaTheme="minorEastAsia" w:cstheme="minorEastAsia"/>
          <w:kern w:val="0"/>
          <w:szCs w:val="21"/>
          <w:lang w:val="en-US" w:eastAsia="zh-CN"/>
        </w:rPr>
        <w:t>松装密度漏斗法测定仪</w:t>
      </w:r>
      <w:r>
        <w:rPr>
          <w:rFonts w:hint="eastAsia" w:asciiTheme="minorEastAsia" w:hAnsiTheme="minorEastAsia" w:eastAsiaTheme="minorEastAsia" w:cstheme="minorEastAsia"/>
          <w:szCs w:val="21"/>
        </w:rPr>
        <w:t>的校准步骤及参数。</w:t>
      </w:r>
    </w:p>
    <w:p w14:paraId="152DB701">
      <w:pPr>
        <w:pStyle w:val="4"/>
        <w:spacing w:before="156" w:after="156"/>
        <w:rPr>
          <w:b w:val="0"/>
          <w:bCs w:val="0"/>
        </w:rPr>
      </w:pPr>
      <w:r>
        <w:rPr>
          <w:rFonts w:hint="eastAsia"/>
          <w:b w:val="0"/>
          <w:bCs w:val="0"/>
        </w:rPr>
        <w:t>2 引用文</w:t>
      </w:r>
      <w:bookmarkEnd w:id="23"/>
      <w:bookmarkEnd w:id="24"/>
      <w:bookmarkEnd w:id="25"/>
      <w:r>
        <w:rPr>
          <w:rFonts w:hint="eastAsia"/>
          <w:b w:val="0"/>
          <w:bCs w:val="0"/>
        </w:rPr>
        <w:t>件</w:t>
      </w:r>
      <w:bookmarkEnd w:id="26"/>
      <w:bookmarkEnd w:id="27"/>
    </w:p>
    <w:p w14:paraId="47B8525C">
      <w:pPr>
        <w:spacing w:line="360" w:lineRule="auto"/>
        <w:ind w:firstLine="420" w:firstLineChars="200"/>
        <w:rPr>
          <w:rFonts w:hint="eastAsia" w:asciiTheme="minorEastAsia" w:hAnsiTheme="minorEastAsia" w:eastAsiaTheme="minorEastAsia" w:cstheme="minorEastAsia"/>
          <w:szCs w:val="21"/>
        </w:rPr>
      </w:pPr>
      <w:bookmarkStart w:id="28" w:name="_Toc500258937"/>
      <w:bookmarkStart w:id="29" w:name="_Toc13054_WPSOffice_Level1"/>
      <w:bookmarkStart w:id="30" w:name="_Toc193619097"/>
      <w:bookmarkStart w:id="31" w:name="_Toc193860180"/>
      <w:bookmarkStart w:id="32" w:name="_Toc193860211"/>
      <w:bookmarkStart w:id="33" w:name="_Toc193618952"/>
      <w:bookmarkStart w:id="34" w:name="_Toc193860030"/>
      <w:bookmarkStart w:id="35" w:name="_Toc193619055"/>
      <w:r>
        <w:rPr>
          <w:rFonts w:hint="eastAsia" w:asciiTheme="minorEastAsia" w:hAnsiTheme="minorEastAsia" w:eastAsiaTheme="minorEastAsia" w:cstheme="minorEastAsia"/>
          <w:szCs w:val="21"/>
        </w:rPr>
        <w:t>本规范规定了</w:t>
      </w:r>
      <w:r>
        <w:rPr>
          <w:rFonts w:hint="eastAsia" w:asciiTheme="minorEastAsia" w:hAnsiTheme="minorEastAsia" w:eastAsiaTheme="minorEastAsia" w:cstheme="minorEastAsia"/>
          <w:kern w:val="0"/>
          <w:szCs w:val="21"/>
          <w:lang w:val="en-US" w:eastAsia="zh-CN"/>
        </w:rPr>
        <w:t>松装密度漏斗法测定仪</w:t>
      </w:r>
      <w:r>
        <w:rPr>
          <w:rFonts w:hint="eastAsia" w:asciiTheme="minorEastAsia" w:hAnsiTheme="minorEastAsia" w:eastAsiaTheme="minorEastAsia" w:cstheme="minorEastAsia"/>
          <w:szCs w:val="21"/>
        </w:rPr>
        <w:t>的校准要求，此仪器主要用于测试</w:t>
      </w:r>
      <w:r>
        <w:rPr>
          <w:rFonts w:hint="eastAsia" w:asciiTheme="minorEastAsia" w:hAnsiTheme="minorEastAsia" w:eastAsiaTheme="minorEastAsia" w:cstheme="minorEastAsia"/>
          <w:kern w:val="0"/>
          <w:szCs w:val="21"/>
        </w:rPr>
        <w:t>粉末颗粒</w:t>
      </w:r>
      <w:r>
        <w:rPr>
          <w:rFonts w:hint="eastAsia" w:asciiTheme="minorEastAsia" w:hAnsiTheme="minorEastAsia" w:eastAsiaTheme="minorEastAsia" w:cstheme="minorEastAsia"/>
          <w:kern w:val="0"/>
          <w:szCs w:val="21"/>
          <w:lang w:val="en-US" w:eastAsia="zh-CN"/>
        </w:rPr>
        <w:t>松装密度</w:t>
      </w:r>
      <w:r>
        <w:rPr>
          <w:rFonts w:hint="eastAsia" w:asciiTheme="minorEastAsia" w:hAnsiTheme="minorEastAsia" w:eastAsiaTheme="minorEastAsia" w:cstheme="minorEastAsia"/>
          <w:szCs w:val="21"/>
        </w:rPr>
        <w:t>，因此引用了GB/T</w:t>
      </w:r>
      <w:r>
        <w:rPr>
          <w:rFonts w:hint="eastAsia" w:asciiTheme="minorEastAsia" w:hAnsiTheme="minorEastAsia" w:eastAsiaTheme="minorEastAsia" w:cstheme="minorEastAsia"/>
          <w:szCs w:val="21"/>
          <w:lang w:val="en-US" w:eastAsia="zh-CN"/>
        </w:rPr>
        <w:t xml:space="preserve"> 1479.1-2011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金属粉末 松装密度的测定 第1部分：漏斗法</w:t>
      </w:r>
      <w:r>
        <w:rPr>
          <w:rFonts w:hint="eastAsia" w:asciiTheme="minorEastAsia" w:hAnsiTheme="minorEastAsia" w:eastAsiaTheme="minorEastAsia" w:cstheme="minorEastAsia"/>
          <w:szCs w:val="21"/>
        </w:rPr>
        <w:t>》。</w:t>
      </w:r>
    </w:p>
    <w:p w14:paraId="6EB93489">
      <w:pPr>
        <w:pStyle w:val="4"/>
        <w:spacing w:before="156" w:after="156"/>
        <w:rPr>
          <w:b w:val="0"/>
          <w:bCs w:val="0"/>
        </w:rPr>
      </w:pPr>
      <w:r>
        <w:rPr>
          <w:rFonts w:hint="eastAsia"/>
          <w:b w:val="0"/>
          <w:bCs w:val="0"/>
        </w:rPr>
        <w:t>3 概述</w:t>
      </w:r>
      <w:bookmarkEnd w:id="28"/>
      <w:bookmarkEnd w:id="29"/>
      <w:bookmarkEnd w:id="30"/>
      <w:bookmarkEnd w:id="31"/>
      <w:bookmarkEnd w:id="32"/>
      <w:bookmarkEnd w:id="33"/>
      <w:bookmarkEnd w:id="34"/>
      <w:bookmarkEnd w:id="35"/>
    </w:p>
    <w:p w14:paraId="2F0B7928">
      <w:pPr>
        <w:spacing w:line="360" w:lineRule="auto"/>
        <w:ind w:firstLine="420"/>
        <w:rPr>
          <w:rFonts w:hint="eastAsia" w:asciiTheme="minorEastAsia" w:hAnsiTheme="minorEastAsia" w:eastAsiaTheme="minorEastAsia" w:cstheme="minorEastAsia"/>
          <w:szCs w:val="21"/>
          <w:lang w:val="en-US" w:eastAsia="zh-CN"/>
        </w:rPr>
      </w:pPr>
      <w:bookmarkStart w:id="36" w:name="_Toc193619098"/>
      <w:bookmarkStart w:id="37" w:name="_Toc193618953"/>
      <w:bookmarkStart w:id="38" w:name="_Toc19851_WPSOffice_Level1"/>
      <w:bookmarkStart w:id="39" w:name="_Toc193860212"/>
      <w:bookmarkStart w:id="40" w:name="_Toc500258938"/>
      <w:bookmarkStart w:id="41" w:name="_Toc193860181"/>
      <w:bookmarkStart w:id="42" w:name="_Toc193619056"/>
      <w:bookmarkStart w:id="43" w:name="_Toc193860031"/>
      <w:r>
        <w:rPr>
          <w:rFonts w:hint="eastAsia" w:asciiTheme="minorEastAsia" w:hAnsiTheme="minorEastAsia" w:eastAsiaTheme="minorEastAsia" w:cstheme="minorEastAsia"/>
          <w:kern w:val="0"/>
          <w:szCs w:val="21"/>
          <w:lang w:val="en-US" w:eastAsia="zh-CN"/>
        </w:rPr>
        <w:t>松装密度漏斗法测定仪</w:t>
      </w:r>
      <w:r>
        <w:rPr>
          <w:rFonts w:hint="eastAsia" w:asciiTheme="minorEastAsia" w:hAnsiTheme="minorEastAsia" w:eastAsiaTheme="minorEastAsia" w:cstheme="minorEastAsia"/>
          <w:szCs w:val="21"/>
        </w:rPr>
        <w:t>主要用于</w:t>
      </w:r>
      <w:r>
        <w:rPr>
          <w:rFonts w:hint="eastAsia" w:asciiTheme="minorEastAsia" w:hAnsiTheme="minorEastAsia" w:eastAsiaTheme="minorEastAsia" w:cstheme="minorEastAsia"/>
          <w:kern w:val="0"/>
          <w:szCs w:val="21"/>
        </w:rPr>
        <w:t>粉末颗粒</w:t>
      </w:r>
      <w:r>
        <w:rPr>
          <w:rFonts w:hint="eastAsia" w:asciiTheme="minorEastAsia" w:hAnsiTheme="minorEastAsia" w:eastAsiaTheme="minorEastAsia" w:cstheme="minorEastAsia"/>
          <w:kern w:val="0"/>
          <w:szCs w:val="21"/>
          <w:lang w:val="en-US" w:eastAsia="zh-CN"/>
        </w:rPr>
        <w:t>松装密度</w:t>
      </w:r>
      <w:r>
        <w:rPr>
          <w:rFonts w:hint="eastAsia" w:asciiTheme="minorEastAsia" w:hAnsiTheme="minorEastAsia" w:eastAsiaTheme="minorEastAsia" w:cstheme="minorEastAsia"/>
          <w:szCs w:val="21"/>
        </w:rPr>
        <w:t>的测定。</w:t>
      </w:r>
      <w:r>
        <w:rPr>
          <w:rFonts w:hint="eastAsia" w:asciiTheme="minorEastAsia" w:hAnsiTheme="minorEastAsia" w:eastAsiaTheme="minorEastAsia" w:cstheme="minorEastAsia"/>
          <w:szCs w:val="21"/>
          <w:lang w:val="en-US" w:eastAsia="zh-CN"/>
        </w:rPr>
        <w:t>其原理</w:t>
      </w:r>
      <w:r>
        <w:rPr>
          <w:rFonts w:hint="eastAsia" w:asciiTheme="minorEastAsia" w:hAnsiTheme="minorEastAsia" w:eastAsiaTheme="minorEastAsia" w:cstheme="minorEastAsia"/>
          <w:szCs w:val="21"/>
        </w:rPr>
        <w:t>是使粉末</w:t>
      </w:r>
      <w:r>
        <w:rPr>
          <w:rFonts w:hint="eastAsia" w:asciiTheme="minorEastAsia" w:hAnsiTheme="minorEastAsia" w:eastAsiaTheme="minorEastAsia" w:cstheme="minorEastAsia"/>
          <w:szCs w:val="21"/>
          <w:lang w:val="en-US" w:eastAsia="zh-CN"/>
        </w:rPr>
        <w:t>颗粒</w:t>
      </w:r>
      <w:r>
        <w:rPr>
          <w:rFonts w:hint="eastAsia" w:asciiTheme="minorEastAsia" w:hAnsiTheme="minorEastAsia" w:eastAsiaTheme="minorEastAsia" w:cstheme="minorEastAsia"/>
          <w:szCs w:val="21"/>
        </w:rPr>
        <w:t>在自然状态下从漏斗孔按一定高度自由落体充满量杯</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从而算得粉末颗粒的松装密度。</w:t>
      </w:r>
    </w:p>
    <w:p w14:paraId="2850EF70">
      <w:pPr>
        <w:spacing w:line="360" w:lineRule="auto"/>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本规范明确了</w:t>
      </w:r>
      <w:r>
        <w:rPr>
          <w:rFonts w:hint="eastAsia" w:asciiTheme="minorEastAsia" w:hAnsiTheme="minorEastAsia" w:eastAsiaTheme="minorEastAsia" w:cstheme="minorEastAsia"/>
          <w:kern w:val="0"/>
          <w:szCs w:val="21"/>
          <w:lang w:val="en-US" w:eastAsia="zh-CN"/>
        </w:rPr>
        <w:t>松装密度漏斗法测定仪</w:t>
      </w:r>
      <w:r>
        <w:rPr>
          <w:rFonts w:hint="eastAsia" w:asciiTheme="minorEastAsia" w:hAnsiTheme="minorEastAsia" w:eastAsiaTheme="minorEastAsia" w:cstheme="minorEastAsia"/>
          <w:szCs w:val="21"/>
          <w:lang w:val="en-US" w:eastAsia="zh-CN"/>
        </w:rPr>
        <w:t>测定</w:t>
      </w:r>
      <w:r>
        <w:rPr>
          <w:rFonts w:hint="eastAsia" w:asciiTheme="minorEastAsia" w:hAnsiTheme="minorEastAsia" w:eastAsiaTheme="minorEastAsia" w:cstheme="minorEastAsia"/>
          <w:kern w:val="0"/>
          <w:szCs w:val="21"/>
        </w:rPr>
        <w:t>粉末颗粒</w:t>
      </w:r>
      <w:r>
        <w:rPr>
          <w:rFonts w:hint="eastAsia" w:asciiTheme="minorEastAsia" w:hAnsiTheme="minorEastAsia" w:eastAsiaTheme="minorEastAsia" w:cstheme="minorEastAsia"/>
          <w:kern w:val="0"/>
          <w:szCs w:val="21"/>
          <w:lang w:val="en-US" w:eastAsia="zh-CN"/>
        </w:rPr>
        <w:t>松装密度</w:t>
      </w:r>
      <w:r>
        <w:rPr>
          <w:rFonts w:hint="eastAsia" w:asciiTheme="minorEastAsia" w:hAnsiTheme="minorEastAsia" w:eastAsiaTheme="minorEastAsia" w:cstheme="minorEastAsia"/>
          <w:szCs w:val="21"/>
        </w:rPr>
        <w:t>的原理，展示了</w:t>
      </w:r>
      <w:r>
        <w:rPr>
          <w:rFonts w:hint="eastAsia" w:asciiTheme="minorEastAsia" w:hAnsiTheme="minorEastAsia" w:eastAsiaTheme="minorEastAsia" w:cstheme="minorEastAsia"/>
          <w:szCs w:val="21"/>
          <w:lang w:val="en-US" w:eastAsia="zh-CN"/>
        </w:rPr>
        <w:t>仪器</w:t>
      </w:r>
      <w:r>
        <w:rPr>
          <w:rFonts w:hint="eastAsia" w:asciiTheme="minorEastAsia" w:hAnsiTheme="minorEastAsia" w:eastAsiaTheme="minorEastAsia" w:cstheme="minorEastAsia"/>
          <w:szCs w:val="21"/>
        </w:rPr>
        <w:t>校准主要部件的示意图。</w:t>
      </w:r>
    </w:p>
    <w:p w14:paraId="3F711BA5">
      <w:pPr>
        <w:pStyle w:val="4"/>
        <w:spacing w:before="156" w:after="156"/>
        <w:rPr>
          <w:b w:val="0"/>
          <w:bCs w:val="0"/>
        </w:rPr>
      </w:pPr>
      <w:r>
        <w:rPr>
          <w:rFonts w:hint="eastAsia"/>
          <w:b w:val="0"/>
          <w:bCs w:val="0"/>
        </w:rPr>
        <w:t>4</w:t>
      </w:r>
      <w:r>
        <w:rPr>
          <w:rFonts w:hint="eastAsia"/>
          <w:b w:val="0"/>
          <w:bCs w:val="0"/>
          <w:lang w:val="en-US" w:eastAsia="zh-CN"/>
        </w:rPr>
        <w:t xml:space="preserve"> </w:t>
      </w:r>
      <w:r>
        <w:rPr>
          <w:rFonts w:hint="eastAsia"/>
          <w:b w:val="0"/>
          <w:bCs w:val="0"/>
        </w:rPr>
        <w:t>计量特性</w:t>
      </w:r>
      <w:bookmarkEnd w:id="36"/>
      <w:bookmarkEnd w:id="37"/>
      <w:bookmarkEnd w:id="38"/>
      <w:bookmarkEnd w:id="39"/>
      <w:bookmarkEnd w:id="40"/>
      <w:bookmarkEnd w:id="41"/>
      <w:bookmarkEnd w:id="42"/>
      <w:bookmarkEnd w:id="43"/>
      <w:bookmarkStart w:id="44" w:name="_Toc25829_WPSOffice_Level1"/>
    </w:p>
    <w:p w14:paraId="43719C73">
      <w:pPr>
        <w:spacing w:line="360" w:lineRule="auto"/>
        <w:ind w:firstLine="420"/>
        <w:rPr>
          <w:rFonts w:ascii="宋体"/>
          <w:szCs w:val="21"/>
        </w:rPr>
      </w:pPr>
      <w:r>
        <w:rPr>
          <w:rFonts w:hint="eastAsia" w:ascii="宋体" w:hAnsi="宋体"/>
          <w:szCs w:val="21"/>
          <w:lang w:val="en-US" w:eastAsia="zh-CN"/>
        </w:rPr>
        <w:t>量杯</w:t>
      </w:r>
      <w:r>
        <w:rPr>
          <w:rFonts w:hint="eastAsia" w:ascii="宋体" w:hAnsi="宋体"/>
          <w:szCs w:val="21"/>
        </w:rPr>
        <w:t>和</w:t>
      </w:r>
      <w:r>
        <w:rPr>
          <w:rFonts w:hint="eastAsia" w:ascii="宋体" w:hAnsi="宋体"/>
          <w:szCs w:val="21"/>
          <w:lang w:val="en-US" w:eastAsia="zh-CN"/>
        </w:rPr>
        <w:t>漏斗</w:t>
      </w:r>
      <w:r>
        <w:rPr>
          <w:rFonts w:hint="eastAsia" w:ascii="宋体" w:hAnsi="宋体"/>
          <w:szCs w:val="21"/>
        </w:rPr>
        <w:t>是影响</w:t>
      </w:r>
      <w:r>
        <w:rPr>
          <w:rFonts w:hint="eastAsia" w:ascii="宋体" w:hAnsi="宋体"/>
          <w:szCs w:val="21"/>
          <w:lang w:val="en-US" w:eastAsia="zh-CN"/>
        </w:rPr>
        <w:t>试仪器</w:t>
      </w:r>
      <w:r>
        <w:rPr>
          <w:rFonts w:hint="eastAsia" w:ascii="宋体" w:hAnsi="宋体"/>
          <w:szCs w:val="21"/>
        </w:rPr>
        <w:t>性能的主要</w:t>
      </w:r>
      <w:r>
        <w:rPr>
          <w:rFonts w:hint="eastAsia" w:ascii="宋体" w:hAnsi="宋体"/>
          <w:szCs w:val="21"/>
          <w:lang w:val="en-US" w:eastAsia="zh-CN"/>
        </w:rPr>
        <w:t>部件</w:t>
      </w:r>
      <w:r>
        <w:rPr>
          <w:rFonts w:hint="eastAsia" w:ascii="宋体" w:hAnsi="宋体"/>
          <w:szCs w:val="21"/>
        </w:rPr>
        <w:t>，主要</w:t>
      </w:r>
      <w:r>
        <w:rPr>
          <w:rFonts w:hint="eastAsia" w:ascii="宋体" w:hAnsi="宋体"/>
          <w:szCs w:val="21"/>
          <w:lang w:val="en-US" w:eastAsia="zh-CN"/>
        </w:rPr>
        <w:t>计量特性</w:t>
      </w:r>
      <w:r>
        <w:rPr>
          <w:rFonts w:hint="eastAsia" w:ascii="宋体" w:hAnsi="宋体"/>
          <w:szCs w:val="21"/>
        </w:rPr>
        <w:t>有：</w:t>
      </w:r>
      <w:r>
        <w:rPr>
          <w:rFonts w:hint="eastAsia" w:ascii="宋体" w:hAnsi="宋体"/>
          <w:szCs w:val="21"/>
          <w:lang w:val="en-US" w:eastAsia="zh-CN"/>
        </w:rPr>
        <w:t>量杯内径、量杯容积、漏斗孔径、漏斗孔下表面与量杯上表面的间距。</w:t>
      </w:r>
      <w:r>
        <w:rPr>
          <w:rFonts w:hint="eastAsia" w:ascii="宋体" w:hAnsi="宋体"/>
          <w:szCs w:val="21"/>
        </w:rPr>
        <w:t>除此之外，还有一些其它因素可能会影响</w:t>
      </w:r>
      <w:r>
        <w:rPr>
          <w:rFonts w:hint="eastAsia" w:ascii="宋体" w:hAnsi="宋体"/>
          <w:szCs w:val="21"/>
          <w:lang w:val="en-US" w:eastAsia="zh-CN"/>
        </w:rPr>
        <w:t>仪器</w:t>
      </w:r>
      <w:r>
        <w:rPr>
          <w:rFonts w:hint="eastAsia" w:ascii="宋体" w:hAnsi="宋体"/>
          <w:szCs w:val="21"/>
        </w:rPr>
        <w:t>的</w:t>
      </w:r>
      <w:r>
        <w:rPr>
          <w:rFonts w:hint="eastAsia" w:ascii="宋体" w:hAnsi="宋体"/>
          <w:szCs w:val="21"/>
          <w:lang w:val="en-US" w:eastAsia="zh-CN"/>
        </w:rPr>
        <w:t>结果</w:t>
      </w:r>
      <w:r>
        <w:rPr>
          <w:rFonts w:hint="eastAsia" w:ascii="宋体" w:hAnsi="宋体"/>
          <w:szCs w:val="21"/>
        </w:rPr>
        <w:t>准确度，但与主要指标相比，影响因素较小，故考虑到计量的可操作性及其他因素，对</w:t>
      </w:r>
      <w:r>
        <w:rPr>
          <w:rFonts w:hint="eastAsia" w:ascii="宋体" w:hAnsi="宋体"/>
          <w:szCs w:val="21"/>
          <w:lang w:val="en-US" w:eastAsia="zh-CN"/>
        </w:rPr>
        <w:t>量杯</w:t>
      </w:r>
      <w:r>
        <w:rPr>
          <w:rFonts w:hint="eastAsia" w:ascii="宋体" w:hAnsi="宋体"/>
          <w:szCs w:val="21"/>
        </w:rPr>
        <w:t>和</w:t>
      </w:r>
      <w:r>
        <w:rPr>
          <w:rFonts w:hint="eastAsia" w:ascii="宋体" w:hAnsi="宋体"/>
          <w:szCs w:val="21"/>
          <w:lang w:val="en-US" w:eastAsia="zh-CN"/>
        </w:rPr>
        <w:t>漏斗的</w:t>
      </w:r>
      <w:r>
        <w:rPr>
          <w:rFonts w:hint="eastAsia" w:ascii="宋体" w:hAnsi="宋体"/>
          <w:szCs w:val="21"/>
        </w:rPr>
        <w:t>这些</w:t>
      </w:r>
      <w:r>
        <w:rPr>
          <w:rFonts w:hint="eastAsia" w:ascii="宋体" w:hAnsi="宋体"/>
          <w:szCs w:val="21"/>
          <w:lang w:val="en-US" w:eastAsia="zh-CN"/>
        </w:rPr>
        <w:t>计量特性</w:t>
      </w:r>
      <w:r>
        <w:rPr>
          <w:rFonts w:hint="eastAsia" w:ascii="宋体" w:hAnsi="宋体"/>
          <w:szCs w:val="21"/>
        </w:rPr>
        <w:t>进行了规定。</w:t>
      </w:r>
    </w:p>
    <w:p w14:paraId="160736D5">
      <w:pPr>
        <w:pStyle w:val="4"/>
        <w:spacing w:before="156" w:after="156"/>
        <w:rPr>
          <w:b w:val="0"/>
          <w:bCs w:val="0"/>
        </w:rPr>
      </w:pPr>
      <w:r>
        <w:rPr>
          <w:rFonts w:hint="eastAsia"/>
          <w:b w:val="0"/>
          <w:bCs w:val="0"/>
        </w:rPr>
        <w:t>5 校准条件</w:t>
      </w:r>
      <w:bookmarkEnd w:id="44"/>
      <w:bookmarkStart w:id="45" w:name="_Toc193860033"/>
      <w:bookmarkStart w:id="46" w:name="_Toc193860214"/>
      <w:bookmarkStart w:id="47" w:name="_Toc193860183"/>
      <w:bookmarkStart w:id="48" w:name="_Toc500258942"/>
    </w:p>
    <w:bookmarkEnd w:id="45"/>
    <w:bookmarkEnd w:id="46"/>
    <w:bookmarkEnd w:id="47"/>
    <w:bookmarkEnd w:id="48"/>
    <w:p w14:paraId="43057A2C">
      <w:pPr>
        <w:spacing w:line="360" w:lineRule="auto"/>
        <w:ind w:firstLine="420"/>
        <w:rPr>
          <w:rFonts w:ascii="宋体"/>
          <w:szCs w:val="21"/>
        </w:rPr>
      </w:pPr>
      <w:bookmarkStart w:id="49" w:name="_Toc500258944"/>
      <w:bookmarkStart w:id="50" w:name="_Toc193860216"/>
      <w:bookmarkStart w:id="51" w:name="_Toc193619100"/>
      <w:bookmarkStart w:id="52" w:name="_Toc2741_WPSOffice_Level1"/>
      <w:bookmarkStart w:id="53" w:name="_Toc193860035"/>
      <w:bookmarkStart w:id="54" w:name="_Toc193860185"/>
      <w:bookmarkStart w:id="55" w:name="_Toc193618955"/>
      <w:bookmarkStart w:id="56" w:name="_Toc193619058"/>
      <w:r>
        <w:rPr>
          <w:rFonts w:hint="eastAsia" w:ascii="宋体" w:hAnsi="宋体"/>
          <w:szCs w:val="21"/>
          <w:lang w:val="en-US" w:eastAsia="zh-CN"/>
        </w:rPr>
        <w:t>参考常用金属仪器计量条件要求，</w:t>
      </w:r>
      <w:r>
        <w:rPr>
          <w:rFonts w:hint="eastAsia" w:ascii="宋体" w:hAnsi="宋体"/>
          <w:szCs w:val="21"/>
        </w:rPr>
        <w:t>对</w:t>
      </w:r>
      <w:r>
        <w:rPr>
          <w:rFonts w:hint="eastAsia" w:ascii="宋体" w:hAnsi="宋体"/>
          <w:szCs w:val="21"/>
          <w:lang w:val="en-US" w:eastAsia="zh-CN"/>
        </w:rPr>
        <w:t>仪器</w:t>
      </w:r>
      <w:r>
        <w:rPr>
          <w:rFonts w:hint="eastAsia" w:ascii="宋体" w:hAnsi="宋体"/>
          <w:szCs w:val="21"/>
        </w:rPr>
        <w:t>校准的试验环境条件、校准标准物质及相关测量</w:t>
      </w:r>
      <w:r>
        <w:rPr>
          <w:rFonts w:hint="eastAsia" w:ascii="宋体" w:hAnsi="宋体"/>
          <w:szCs w:val="21"/>
          <w:lang w:val="en-US" w:eastAsia="zh-CN"/>
        </w:rPr>
        <w:t>标准</w:t>
      </w:r>
      <w:r>
        <w:rPr>
          <w:rFonts w:hint="eastAsia" w:ascii="宋体" w:hAnsi="宋体"/>
          <w:szCs w:val="21"/>
        </w:rPr>
        <w:t>进行了规定。</w:t>
      </w:r>
    </w:p>
    <w:p w14:paraId="1DA18AC2">
      <w:pPr>
        <w:pStyle w:val="4"/>
        <w:spacing w:before="156" w:after="156"/>
        <w:rPr>
          <w:rFonts w:hint="eastAsia"/>
          <w:b w:val="0"/>
          <w:bCs w:val="0"/>
        </w:rPr>
      </w:pPr>
      <w:r>
        <w:rPr>
          <w:rFonts w:hint="eastAsia"/>
          <w:b w:val="0"/>
          <w:bCs w:val="0"/>
        </w:rPr>
        <w:t>6 校准项目和校准方法</w:t>
      </w:r>
      <w:bookmarkEnd w:id="49"/>
      <w:bookmarkEnd w:id="50"/>
      <w:bookmarkEnd w:id="51"/>
      <w:bookmarkEnd w:id="52"/>
      <w:bookmarkEnd w:id="53"/>
      <w:bookmarkEnd w:id="54"/>
      <w:bookmarkEnd w:id="55"/>
      <w:bookmarkEnd w:id="56"/>
    </w:p>
    <w:p w14:paraId="2FCB4ACF">
      <w:pPr>
        <w:spacing w:line="360" w:lineRule="auto"/>
        <w:ind w:firstLine="420"/>
        <w:rPr>
          <w:rFonts w:hint="eastAsia" w:ascii="宋体" w:hAnsi="宋体"/>
          <w:szCs w:val="21"/>
        </w:rPr>
      </w:pPr>
      <w:bookmarkStart w:id="57" w:name="_Toc193619101"/>
      <w:bookmarkStart w:id="58" w:name="_Toc193619059"/>
      <w:bookmarkStart w:id="59" w:name="_Toc193618956"/>
      <w:bookmarkStart w:id="60" w:name="_Toc193860188"/>
      <w:bookmarkStart w:id="61" w:name="_Toc193860038"/>
      <w:bookmarkStart w:id="62" w:name="_Toc193860219"/>
      <w:bookmarkStart w:id="63" w:name="_Toc25466_WPSOffice_Level1"/>
      <w:bookmarkStart w:id="64" w:name="_Toc500258947"/>
      <w:r>
        <w:rPr>
          <w:rFonts w:hint="eastAsia" w:ascii="宋体" w:hAnsi="宋体"/>
          <w:szCs w:val="21"/>
        </w:rPr>
        <w:t>根据</w:t>
      </w:r>
      <w:r>
        <w:rPr>
          <w:rFonts w:hint="eastAsia" w:ascii="宋体" w:hAnsi="宋体"/>
          <w:szCs w:val="21"/>
          <w:lang w:val="en-US" w:eastAsia="zh-CN"/>
        </w:rPr>
        <w:t>仪器</w:t>
      </w:r>
      <w:r>
        <w:rPr>
          <w:rFonts w:hint="eastAsia" w:ascii="宋体" w:hAnsi="宋体"/>
          <w:szCs w:val="21"/>
        </w:rPr>
        <w:t>的技术构成以及</w:t>
      </w:r>
      <w:r>
        <w:rPr>
          <w:rFonts w:hint="eastAsia" w:ascii="宋体" w:hAnsi="宋体"/>
          <w:szCs w:val="21"/>
          <w:lang w:val="en-US" w:eastAsia="zh-CN"/>
        </w:rPr>
        <w:t>计量特性</w:t>
      </w:r>
      <w:r>
        <w:rPr>
          <w:rFonts w:hint="eastAsia" w:ascii="宋体" w:hAnsi="宋体"/>
          <w:szCs w:val="21"/>
        </w:rPr>
        <w:t>，确定出</w:t>
      </w:r>
      <w:r>
        <w:rPr>
          <w:rFonts w:hint="eastAsia" w:ascii="宋体" w:hAnsi="宋体"/>
          <w:szCs w:val="21"/>
          <w:lang w:val="en-US" w:eastAsia="zh-CN"/>
        </w:rPr>
        <w:t>仪器</w:t>
      </w:r>
      <w:r>
        <w:rPr>
          <w:rFonts w:hint="eastAsia" w:ascii="宋体" w:hAnsi="宋体"/>
          <w:szCs w:val="21"/>
        </w:rPr>
        <w:t>的校准项目。</w:t>
      </w:r>
      <w:r>
        <w:rPr>
          <w:rFonts w:hint="eastAsia" w:ascii="宋体" w:hAnsi="宋体"/>
          <w:szCs w:val="21"/>
          <w:lang w:val="en-US" w:eastAsia="zh-CN"/>
        </w:rPr>
        <w:t>仪器</w:t>
      </w:r>
      <w:r>
        <w:rPr>
          <w:rFonts w:hint="eastAsia" w:ascii="宋体" w:hAnsi="宋体"/>
          <w:szCs w:val="21"/>
        </w:rPr>
        <w:t>校准项目有</w:t>
      </w:r>
      <w:r>
        <w:rPr>
          <w:rFonts w:hint="eastAsia" w:ascii="宋体" w:hAnsi="宋体"/>
          <w:szCs w:val="21"/>
          <w:lang w:val="en-US" w:eastAsia="zh-CN"/>
        </w:rPr>
        <w:t>量杯内径、量杯容积、漏斗孔径、漏斗孔下表面与量杯上表面的间距</w:t>
      </w:r>
      <w:r>
        <w:rPr>
          <w:rFonts w:hint="eastAsia"/>
          <w:szCs w:val="21"/>
          <w:lang w:eastAsia="zh-CN"/>
        </w:rPr>
        <w:t>。</w:t>
      </w:r>
      <w:r>
        <w:rPr>
          <w:rFonts w:hint="eastAsia" w:ascii="宋体" w:hAnsi="宋体"/>
          <w:szCs w:val="21"/>
        </w:rPr>
        <w:t>依据校准项目，选择满足精度要求的测量</w:t>
      </w:r>
      <w:r>
        <w:rPr>
          <w:rFonts w:hint="eastAsia" w:ascii="宋体" w:hAnsi="宋体"/>
          <w:szCs w:val="21"/>
          <w:lang w:val="en-US" w:eastAsia="zh-CN"/>
        </w:rPr>
        <w:t>标准</w:t>
      </w:r>
      <w:r>
        <w:rPr>
          <w:rFonts w:hint="eastAsia" w:ascii="宋体" w:hAnsi="宋体"/>
          <w:szCs w:val="21"/>
        </w:rPr>
        <w:t>进行测量。</w:t>
      </w:r>
    </w:p>
    <w:p w14:paraId="186CC63F">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量杯内径：用游标卡尺上量爪对量杯内径进行5次测量，测量位置在量杯口圆周上均匀分布，取5次测量值的平均值作为校准结果。</w:t>
      </w:r>
    </w:p>
    <w:p w14:paraId="4B87D6D0">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量杯容积：用游标卡尺对量杯深度进行5次测量，测量位置均匀分布，取5次测量值的平均值，再由内径和深度测量结果计算得到量杯容积。</w:t>
      </w:r>
    </w:p>
    <w:p w14:paraId="3537D837">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漏斗孔径：将漏斗倒置在视频影像测量仪的工作台上，选择合适的放大倍数并调整焦距，直至看到清晰的漏斗孔轮廓，采用三点圆模式对漏斗孔径进行测量，选点位置在圆周上均匀分布，取5次测量值的平均值作为校准结果。</w:t>
      </w:r>
    </w:p>
    <w:p w14:paraId="5E7152C1">
      <w:pPr>
        <w:spacing w:line="360" w:lineRule="auto"/>
        <w:ind w:firstLine="420" w:firstLineChars="200"/>
        <w:rPr>
          <w:rFonts w:hint="eastAsia" w:ascii="宋体" w:hAnsi="宋体"/>
          <w:szCs w:val="21"/>
        </w:rPr>
      </w:pPr>
      <w:r>
        <w:rPr>
          <w:rFonts w:hint="eastAsia" w:ascii="宋体" w:hAnsi="宋体"/>
          <w:szCs w:val="21"/>
          <w:lang w:val="en-US" w:eastAsia="zh-CN"/>
        </w:rPr>
        <w:t>漏斗孔下表面与量杯上表面的间距：用游标卡尺上量爪对漏斗孔下表面与量杯上表面的间距进行5次测量，测量位置在360°方向上均匀分布，测量时不得使漏斗或量杯发生移动，取5次测量值的平均值作为校准结果。</w:t>
      </w:r>
    </w:p>
    <w:p w14:paraId="20CB6028">
      <w:pPr>
        <w:pStyle w:val="4"/>
        <w:spacing w:before="156" w:after="156"/>
        <w:rPr>
          <w:b w:val="0"/>
          <w:bCs w:val="0"/>
        </w:rPr>
      </w:pPr>
      <w:r>
        <w:rPr>
          <w:rFonts w:hint="eastAsia"/>
          <w:b w:val="0"/>
          <w:bCs w:val="0"/>
        </w:rPr>
        <w:t>7 校准结果</w:t>
      </w:r>
      <w:bookmarkEnd w:id="57"/>
      <w:bookmarkEnd w:id="58"/>
      <w:bookmarkEnd w:id="59"/>
      <w:bookmarkEnd w:id="60"/>
      <w:bookmarkEnd w:id="61"/>
      <w:bookmarkEnd w:id="62"/>
      <w:r>
        <w:rPr>
          <w:rFonts w:hint="eastAsia"/>
          <w:b w:val="0"/>
          <w:bCs w:val="0"/>
        </w:rPr>
        <w:t>表达</w:t>
      </w:r>
      <w:bookmarkEnd w:id="63"/>
      <w:bookmarkEnd w:id="64"/>
    </w:p>
    <w:p w14:paraId="51CF54D2">
      <w:pPr>
        <w:pStyle w:val="58"/>
        <w:spacing w:line="360" w:lineRule="auto"/>
        <w:ind w:firstLine="420"/>
        <w:rPr>
          <w:rFonts w:hint="eastAsia" w:asciiTheme="minorEastAsia" w:hAnsiTheme="minorEastAsia" w:eastAsiaTheme="minorEastAsia" w:cstheme="minorEastAsia"/>
          <w:b w:val="0"/>
          <w:bCs w:val="0"/>
          <w:kern w:val="2"/>
          <w:szCs w:val="21"/>
        </w:rPr>
      </w:pPr>
      <w:r>
        <w:rPr>
          <w:rFonts w:hint="eastAsia" w:asciiTheme="minorEastAsia" w:hAnsiTheme="minorEastAsia" w:eastAsiaTheme="minorEastAsia" w:cstheme="minorEastAsia"/>
          <w:b w:val="0"/>
          <w:bCs w:val="0"/>
          <w:kern w:val="2"/>
          <w:szCs w:val="21"/>
        </w:rPr>
        <w:t>根据实验室环境要求、校准项目校准结果、测量不确定度评定结果等，按照</w:t>
      </w:r>
      <w:r>
        <w:rPr>
          <w:rFonts w:hint="eastAsia" w:asciiTheme="minorEastAsia" w:hAnsiTheme="minorEastAsia" w:eastAsiaTheme="minorEastAsia" w:cstheme="minorEastAsia"/>
          <w:b w:val="0"/>
          <w:bCs w:val="0"/>
          <w:kern w:val="2"/>
          <w:szCs w:val="21"/>
          <w:lang w:val="en-US" w:eastAsia="zh-CN"/>
        </w:rPr>
        <w:t>JJF 1071-2010</w:t>
      </w:r>
      <w:r>
        <w:rPr>
          <w:rFonts w:hint="eastAsia" w:asciiTheme="minorEastAsia" w:hAnsiTheme="minorEastAsia" w:eastAsiaTheme="minorEastAsia" w:cstheme="minorEastAsia"/>
          <w:b w:val="0"/>
          <w:bCs w:val="0"/>
          <w:kern w:val="2"/>
          <w:szCs w:val="21"/>
        </w:rPr>
        <w:t>推荐的校准报告格式，出具校准证书。</w:t>
      </w:r>
    </w:p>
    <w:p w14:paraId="0813B1C4">
      <w:pPr>
        <w:pStyle w:val="4"/>
        <w:spacing w:before="156" w:after="156"/>
        <w:rPr>
          <w:b w:val="0"/>
          <w:bCs w:val="0"/>
        </w:rPr>
      </w:pPr>
      <w:bookmarkStart w:id="65" w:name="_Toc5529"/>
      <w:bookmarkStart w:id="66" w:name="_Toc193860220"/>
      <w:bookmarkStart w:id="67" w:name="_Toc14803_WPSOffice_Level1"/>
      <w:bookmarkStart w:id="68" w:name="_Toc193860189"/>
      <w:bookmarkStart w:id="69" w:name="_Toc193860040"/>
      <w:bookmarkStart w:id="70" w:name="_Toc193860041"/>
      <w:r>
        <w:rPr>
          <w:rFonts w:hint="eastAsia"/>
          <w:b w:val="0"/>
          <w:bCs w:val="0"/>
        </w:rPr>
        <w:t>8 复校</w:t>
      </w:r>
      <w:bookmarkEnd w:id="65"/>
      <w:bookmarkEnd w:id="66"/>
      <w:bookmarkEnd w:id="67"/>
      <w:bookmarkEnd w:id="68"/>
      <w:bookmarkEnd w:id="69"/>
      <w:r>
        <w:rPr>
          <w:rFonts w:hint="eastAsia"/>
          <w:b w:val="0"/>
          <w:bCs w:val="0"/>
        </w:rPr>
        <w:t>时间间隔</w:t>
      </w:r>
    </w:p>
    <w:bookmarkEnd w:id="70"/>
    <w:p w14:paraId="24C4FED6">
      <w:pPr>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复校时间间隔的长短取决于其使用情况，使用单位可根据实际使用情况自主决定复校的时间，建议复校时间间隔为1年。</w:t>
      </w:r>
    </w:p>
    <w:p w14:paraId="07668B45">
      <w:pPr>
        <w:pStyle w:val="4"/>
        <w:spacing w:before="156" w:after="156"/>
        <w:rPr>
          <w:b w:val="0"/>
          <w:bCs w:val="0"/>
        </w:rPr>
      </w:pPr>
      <w:r>
        <w:rPr>
          <w:rFonts w:hint="eastAsia"/>
          <w:b w:val="0"/>
          <w:bCs w:val="0"/>
        </w:rPr>
        <w:t>9</w:t>
      </w:r>
      <w:r>
        <w:rPr>
          <w:rFonts w:hint="eastAsia"/>
          <w:b w:val="0"/>
          <w:bCs w:val="0"/>
          <w:lang w:val="en-US" w:eastAsia="zh-CN"/>
        </w:rPr>
        <w:t xml:space="preserve"> </w:t>
      </w:r>
      <w:r>
        <w:rPr>
          <w:rFonts w:hint="eastAsia"/>
          <w:b w:val="0"/>
          <w:bCs w:val="0"/>
        </w:rPr>
        <w:t>附录</w:t>
      </w:r>
    </w:p>
    <w:p w14:paraId="2E83D7CB">
      <w:pPr>
        <w:pStyle w:val="58"/>
        <w:spacing w:line="360" w:lineRule="auto"/>
        <w:ind w:firstLine="420"/>
        <w:rPr>
          <w:rFonts w:hint="eastAsia" w:asciiTheme="minorEastAsia" w:hAnsiTheme="minorEastAsia" w:eastAsiaTheme="minorEastAsia" w:cstheme="minorEastAsia"/>
          <w:b w:val="0"/>
          <w:bCs w:val="0"/>
          <w:kern w:val="2"/>
          <w:szCs w:val="21"/>
        </w:rPr>
      </w:pPr>
      <w:r>
        <w:rPr>
          <w:rFonts w:hint="eastAsia" w:asciiTheme="minorEastAsia" w:hAnsiTheme="minorEastAsia" w:eastAsiaTheme="minorEastAsia" w:cstheme="minorEastAsia"/>
          <w:b w:val="0"/>
          <w:bCs w:val="0"/>
          <w:kern w:val="2"/>
          <w:szCs w:val="21"/>
        </w:rPr>
        <w:t>附录主要包含校准原始记录参考格式、校准证书内页参考格式、</w:t>
      </w:r>
      <w:r>
        <w:rPr>
          <w:rFonts w:hint="eastAsia" w:asciiTheme="minorEastAsia" w:hAnsiTheme="minorEastAsia" w:eastAsiaTheme="minorEastAsia" w:cstheme="minorEastAsia"/>
          <w:b w:val="0"/>
          <w:bCs w:val="0"/>
          <w:kern w:val="2"/>
          <w:szCs w:val="21"/>
          <w:lang w:val="en-US" w:eastAsia="zh-CN"/>
        </w:rPr>
        <w:t>量杯内径校准结果</w:t>
      </w:r>
      <w:r>
        <w:rPr>
          <w:rFonts w:hint="eastAsia" w:asciiTheme="minorEastAsia" w:hAnsiTheme="minorEastAsia" w:eastAsiaTheme="minorEastAsia" w:cstheme="minorEastAsia"/>
          <w:b w:val="0"/>
          <w:bCs w:val="0"/>
          <w:kern w:val="2"/>
          <w:szCs w:val="21"/>
        </w:rPr>
        <w:t>测量不确定度评定示例。</w:t>
      </w:r>
    </w:p>
    <w:p w14:paraId="23184B3A">
      <w:pPr>
        <w:adjustRightInd w:val="0"/>
        <w:snapToGrid w:val="0"/>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val="en-US" w:eastAsia="zh-CN"/>
        </w:rPr>
        <w:t>本规范</w:t>
      </w:r>
      <w:r>
        <w:rPr>
          <w:rFonts w:hint="eastAsia" w:asciiTheme="minorEastAsia" w:hAnsiTheme="minorEastAsia" w:eastAsiaTheme="minorEastAsia" w:cstheme="minorEastAsia"/>
          <w:b w:val="0"/>
          <w:bCs w:val="0"/>
        </w:rPr>
        <w:t>设置了3个附录，便于校准时参考和规范化。</w:t>
      </w:r>
    </w:p>
    <w:p w14:paraId="4A83E3E7">
      <w:pPr>
        <w:adjustRightInd w:val="0"/>
        <w:snapToGrid w:val="0"/>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附录A </w:t>
      </w:r>
      <w:r>
        <w:rPr>
          <w:rFonts w:hint="eastAsia" w:asciiTheme="minorEastAsia" w:hAnsiTheme="minorEastAsia" w:eastAsiaTheme="minorEastAsia" w:cstheme="minorEastAsia"/>
          <w:b w:val="0"/>
          <w:bCs w:val="0"/>
          <w:caps/>
        </w:rPr>
        <w:t>校准原始记录参考格式</w:t>
      </w:r>
    </w:p>
    <w:p w14:paraId="0A8963F5">
      <w:pPr>
        <w:adjustRightInd w:val="0"/>
        <w:snapToGrid w:val="0"/>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附录B </w:t>
      </w:r>
      <w:r>
        <w:rPr>
          <w:rFonts w:hint="eastAsia" w:asciiTheme="minorEastAsia" w:hAnsiTheme="minorEastAsia" w:eastAsiaTheme="minorEastAsia" w:cstheme="minorEastAsia"/>
          <w:b w:val="0"/>
          <w:bCs w:val="0"/>
          <w:caps/>
        </w:rPr>
        <w:t>校准证书内页参考格式</w:t>
      </w:r>
    </w:p>
    <w:p w14:paraId="3C5E1556">
      <w:pPr>
        <w:adjustRightInd w:val="0"/>
        <w:snapToGrid w:val="0"/>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附录C </w:t>
      </w:r>
      <w:bookmarkStart w:id="71" w:name="OLE_LINK21"/>
      <w:r>
        <w:rPr>
          <w:rFonts w:hint="eastAsia" w:asciiTheme="minorEastAsia" w:hAnsiTheme="minorEastAsia" w:eastAsiaTheme="minorEastAsia" w:cstheme="minorEastAsia"/>
          <w:b w:val="0"/>
          <w:bCs w:val="0"/>
        </w:rPr>
        <w:t>松装密度漏斗法测定仪</w:t>
      </w:r>
      <w:bookmarkEnd w:id="71"/>
      <w:r>
        <w:rPr>
          <w:rFonts w:hint="eastAsia" w:asciiTheme="minorEastAsia" w:hAnsiTheme="minorEastAsia" w:eastAsiaTheme="minorEastAsia" w:cstheme="minorEastAsia"/>
          <w:b w:val="0"/>
          <w:bCs w:val="0"/>
          <w:lang w:val="en-US" w:eastAsia="zh-CN"/>
        </w:rPr>
        <w:t>量杯内径</w:t>
      </w:r>
      <w:r>
        <w:rPr>
          <w:rFonts w:hint="eastAsia" w:asciiTheme="minorEastAsia" w:hAnsiTheme="minorEastAsia" w:eastAsiaTheme="minorEastAsia" w:cstheme="minorEastAsia"/>
          <w:b w:val="0"/>
          <w:bCs w:val="0"/>
          <w:caps/>
        </w:rPr>
        <w:t>校准结果测量不确定度评定示例</w:t>
      </w:r>
    </w:p>
    <w:bookmarkEnd w:id="1"/>
    <w:bookmarkEnd w:id="21"/>
    <w:p w14:paraId="162FAECD">
      <w:pPr>
        <w:pStyle w:val="2"/>
        <w:spacing w:before="156" w:after="156"/>
        <w:rPr>
          <w:rFonts w:hint="eastAsia"/>
          <w:b w:val="0"/>
          <w:bCs w:val="0"/>
        </w:rPr>
      </w:pPr>
      <w:bookmarkStart w:id="72" w:name="_Toc464728965"/>
      <w:r>
        <w:rPr>
          <w:rFonts w:hint="eastAsia"/>
          <w:b w:val="0"/>
          <w:bCs w:val="0"/>
        </w:rPr>
        <w:t>三、实践检测情况</w:t>
      </w:r>
    </w:p>
    <w:p w14:paraId="16136252">
      <w:pPr>
        <w:adjustRightInd w:val="0"/>
        <w:spacing w:line="360" w:lineRule="auto"/>
        <w:ind w:firstLine="420" w:firstLineChars="200"/>
        <w:rPr>
          <w:rFonts w:hint="eastAsia" w:asciiTheme="minorEastAsia" w:hAnsiTheme="minorEastAsia" w:eastAsiaTheme="minorEastAsia" w:cstheme="minorEastAsia"/>
          <w:b w:val="0"/>
          <w:bCs w:val="0"/>
          <w:sz w:val="21"/>
          <w:szCs w:val="24"/>
        </w:rPr>
      </w:pPr>
      <w:r>
        <w:rPr>
          <w:rFonts w:hint="eastAsia" w:asciiTheme="minorEastAsia" w:hAnsiTheme="minorEastAsia" w:eastAsiaTheme="minorEastAsia" w:cstheme="minorEastAsia"/>
          <w:b w:val="0"/>
          <w:bCs w:val="0"/>
          <w:sz w:val="21"/>
          <w:szCs w:val="24"/>
          <w:lang w:val="en-US" w:eastAsia="zh-CN"/>
        </w:rPr>
        <w:t>广东省科学院工业分析检测中心</w:t>
      </w:r>
      <w:r>
        <w:rPr>
          <w:rFonts w:hint="eastAsia" w:asciiTheme="minorEastAsia" w:hAnsiTheme="minorEastAsia" w:eastAsiaTheme="minorEastAsia" w:cstheme="minorEastAsia"/>
          <w:b w:val="0"/>
          <w:bCs w:val="0"/>
          <w:sz w:val="21"/>
          <w:szCs w:val="24"/>
          <w:lang w:eastAsia="zh-CN"/>
        </w:rPr>
        <w:t>、</w:t>
      </w:r>
      <w:r>
        <w:rPr>
          <w:rFonts w:hint="eastAsia" w:asciiTheme="minorEastAsia" w:hAnsiTheme="minorEastAsia" w:eastAsiaTheme="minorEastAsia" w:cstheme="minorEastAsia"/>
          <w:b w:val="0"/>
          <w:bCs w:val="0"/>
          <w:sz w:val="21"/>
          <w:szCs w:val="24"/>
          <w:lang w:val="en-US" w:eastAsia="zh-CN"/>
        </w:rPr>
        <w:t>西南铝业（集团）有限责任公司、西安汉唐分析检测有限公司</w:t>
      </w:r>
      <w:r>
        <w:rPr>
          <w:rFonts w:hint="eastAsia" w:asciiTheme="minorEastAsia" w:hAnsiTheme="minorEastAsia" w:eastAsiaTheme="minorEastAsia" w:cstheme="minorEastAsia"/>
          <w:b w:val="0"/>
          <w:bCs w:val="0"/>
          <w:sz w:val="21"/>
          <w:szCs w:val="24"/>
        </w:rPr>
        <w:t>根据本</w:t>
      </w:r>
      <w:r>
        <w:rPr>
          <w:rFonts w:hint="eastAsia" w:asciiTheme="minorEastAsia" w:hAnsiTheme="minorEastAsia" w:eastAsiaTheme="minorEastAsia" w:cstheme="minorEastAsia"/>
          <w:b w:val="0"/>
          <w:bCs w:val="0"/>
          <w:sz w:val="21"/>
          <w:szCs w:val="24"/>
          <w:lang w:val="en-US" w:eastAsia="zh-CN"/>
        </w:rPr>
        <w:t>规范的校准项目</w:t>
      </w:r>
      <w:r>
        <w:rPr>
          <w:rFonts w:hint="eastAsia" w:asciiTheme="minorEastAsia" w:hAnsiTheme="minorEastAsia" w:eastAsiaTheme="minorEastAsia" w:cstheme="minorEastAsia"/>
          <w:b w:val="0"/>
          <w:bCs w:val="0"/>
          <w:sz w:val="21"/>
          <w:szCs w:val="24"/>
        </w:rPr>
        <w:t>对</w:t>
      </w:r>
      <w:r>
        <w:rPr>
          <w:rFonts w:hint="eastAsia" w:asciiTheme="minorEastAsia" w:hAnsiTheme="minorEastAsia" w:eastAsiaTheme="minorEastAsia" w:cstheme="minorEastAsia"/>
          <w:b w:val="0"/>
          <w:bCs w:val="0"/>
        </w:rPr>
        <w:t>松装密度漏斗法测定仪</w:t>
      </w:r>
      <w:r>
        <w:rPr>
          <w:rFonts w:hint="eastAsia" w:asciiTheme="minorEastAsia" w:hAnsiTheme="minorEastAsia" w:eastAsiaTheme="minorEastAsia" w:cstheme="minorEastAsia"/>
          <w:b w:val="0"/>
          <w:bCs w:val="0"/>
          <w:sz w:val="21"/>
          <w:szCs w:val="24"/>
        </w:rPr>
        <w:t>进行了全计量特性的校准，内容详见校准报告。</w:t>
      </w:r>
    </w:p>
    <w:p w14:paraId="7AA329CC">
      <w:pPr>
        <w:pStyle w:val="2"/>
        <w:spacing w:before="156" w:after="156"/>
        <w:rPr>
          <w:b w:val="0"/>
          <w:bCs w:val="0"/>
        </w:rPr>
      </w:pPr>
      <w:r>
        <w:rPr>
          <w:rFonts w:hint="eastAsia"/>
          <w:b w:val="0"/>
          <w:bCs w:val="0"/>
          <w:lang w:val="en-US" w:eastAsia="zh-CN"/>
        </w:rPr>
        <w:t>四</w:t>
      </w:r>
      <w:r>
        <w:rPr>
          <w:rFonts w:hint="eastAsia"/>
          <w:b w:val="0"/>
          <w:bCs w:val="0"/>
        </w:rPr>
        <w:t>、规范水平分析</w:t>
      </w:r>
      <w:bookmarkEnd w:id="72"/>
    </w:p>
    <w:p w14:paraId="47AD13F6">
      <w:pPr>
        <w:adjustRightInd w:val="0"/>
        <w:spacing w:line="360" w:lineRule="auto"/>
        <w:ind w:firstLine="420" w:firstLineChars="200"/>
        <w:rPr>
          <w:rFonts w:hint="eastAsia" w:ascii="宋体" w:hAnsi="宋体"/>
          <w:b w:val="0"/>
          <w:bCs w:val="0"/>
          <w:sz w:val="21"/>
          <w:szCs w:val="21"/>
        </w:rPr>
      </w:pPr>
      <w:r>
        <w:rPr>
          <w:rFonts w:hint="eastAsia" w:ascii="宋体" w:hAnsi="宋体"/>
          <w:szCs w:val="21"/>
        </w:rPr>
        <w:t>目前国内外</w:t>
      </w:r>
      <w:r>
        <w:rPr>
          <w:rFonts w:hint="eastAsia" w:ascii="宋体" w:hAnsi="宋体"/>
          <w:szCs w:val="21"/>
          <w:lang w:val="en-US" w:eastAsia="zh-CN"/>
        </w:rPr>
        <w:t>均</w:t>
      </w:r>
      <w:r>
        <w:rPr>
          <w:rFonts w:hint="eastAsia" w:ascii="宋体" w:hAnsi="宋体"/>
          <w:szCs w:val="21"/>
        </w:rPr>
        <w:t>没有针对</w:t>
      </w:r>
      <w:r>
        <w:rPr>
          <w:rFonts w:hint="eastAsia" w:asciiTheme="minorEastAsia" w:hAnsiTheme="minorEastAsia" w:eastAsiaTheme="minorEastAsia" w:cstheme="minorEastAsia"/>
          <w:b w:val="0"/>
          <w:bCs w:val="0"/>
        </w:rPr>
        <w:t>松装密度漏斗法测定仪</w:t>
      </w:r>
      <w:r>
        <w:rPr>
          <w:rFonts w:hint="eastAsia" w:ascii="宋体" w:hAnsi="宋体"/>
          <w:szCs w:val="21"/>
        </w:rPr>
        <w:t>的</w:t>
      </w:r>
      <w:r>
        <w:rPr>
          <w:rFonts w:hint="eastAsia" w:ascii="宋体" w:hAnsi="宋体"/>
          <w:szCs w:val="21"/>
          <w:lang w:val="en-US" w:eastAsia="zh-CN"/>
        </w:rPr>
        <w:t>相关计量技术</w:t>
      </w:r>
      <w:r>
        <w:rPr>
          <w:rFonts w:hint="eastAsia" w:ascii="宋体" w:hAnsi="宋体"/>
          <w:szCs w:val="21"/>
        </w:rPr>
        <w:t>规范。</w:t>
      </w:r>
      <w:r>
        <w:rPr>
          <w:rFonts w:hint="eastAsia"/>
          <w:b w:val="0"/>
          <w:bCs w:val="0"/>
          <w:sz w:val="21"/>
          <w:szCs w:val="21"/>
        </w:rPr>
        <w:t>本</w:t>
      </w:r>
      <w:r>
        <w:rPr>
          <w:rFonts w:hint="eastAsia"/>
          <w:b w:val="0"/>
          <w:bCs w:val="0"/>
          <w:sz w:val="21"/>
          <w:szCs w:val="21"/>
          <w:lang w:eastAsia="zh-CN"/>
        </w:rPr>
        <w:t>规范</w:t>
      </w:r>
      <w:r>
        <w:rPr>
          <w:rFonts w:hint="eastAsia"/>
          <w:b w:val="0"/>
          <w:bCs w:val="0"/>
          <w:sz w:val="21"/>
          <w:szCs w:val="21"/>
        </w:rPr>
        <w:t>的制定填补了有色金属行业</w:t>
      </w:r>
      <w:r>
        <w:rPr>
          <w:rFonts w:hint="eastAsia" w:asciiTheme="minorEastAsia" w:hAnsiTheme="minorEastAsia" w:eastAsiaTheme="minorEastAsia" w:cstheme="minorEastAsia"/>
          <w:b w:val="0"/>
          <w:bCs w:val="0"/>
        </w:rPr>
        <w:t>松装密度漏斗法测定仪</w:t>
      </w:r>
      <w:r>
        <w:rPr>
          <w:rFonts w:hint="eastAsia" w:ascii="宋体" w:hAnsi="宋体"/>
          <w:szCs w:val="21"/>
          <w:lang w:val="en-US" w:eastAsia="zh-CN"/>
        </w:rPr>
        <w:t>计量技术规范</w:t>
      </w:r>
      <w:r>
        <w:rPr>
          <w:rFonts w:hint="eastAsia"/>
          <w:b w:val="0"/>
          <w:bCs w:val="0"/>
          <w:sz w:val="21"/>
          <w:szCs w:val="21"/>
        </w:rPr>
        <w:t>的空白，属于国内首创，水平达到国内领先。</w:t>
      </w:r>
    </w:p>
    <w:p w14:paraId="25294A3D">
      <w:pPr>
        <w:pStyle w:val="2"/>
        <w:spacing w:before="156" w:after="156"/>
        <w:rPr>
          <w:b w:val="0"/>
          <w:bCs w:val="0"/>
        </w:rPr>
      </w:pPr>
      <w:r>
        <w:rPr>
          <w:rFonts w:hint="eastAsia"/>
          <w:b w:val="0"/>
          <w:bCs w:val="0"/>
        </w:rPr>
        <w:t>五、与有关的现行法律、法规和强制性国家标准的关系</w:t>
      </w:r>
    </w:p>
    <w:p w14:paraId="4BF94920">
      <w:pPr>
        <w:pStyle w:val="58"/>
        <w:spacing w:line="300" w:lineRule="auto"/>
        <w:ind w:firstLine="0"/>
        <w:rPr>
          <w:b w:val="0"/>
          <w:bCs w:val="0"/>
        </w:rPr>
      </w:pPr>
      <w:r>
        <w:rPr>
          <w:rFonts w:hint="eastAsia"/>
          <w:b w:val="0"/>
          <w:bCs w:val="0"/>
        </w:rPr>
        <w:t>本规范所引用的规程</w:t>
      </w:r>
      <w:r>
        <w:rPr>
          <w:rFonts w:hint="eastAsia"/>
          <w:b w:val="0"/>
          <w:bCs w:val="0"/>
          <w:lang w:eastAsia="zh-CN"/>
        </w:rPr>
        <w:t>、</w:t>
      </w:r>
      <w:r>
        <w:rPr>
          <w:rFonts w:hint="eastAsia"/>
          <w:b w:val="0"/>
          <w:bCs w:val="0"/>
        </w:rPr>
        <w:t>规范</w:t>
      </w:r>
      <w:r>
        <w:rPr>
          <w:rFonts w:hint="eastAsia"/>
          <w:b w:val="0"/>
          <w:bCs w:val="0"/>
          <w:lang w:val="en-US" w:eastAsia="zh-CN"/>
        </w:rPr>
        <w:t>及标准</w:t>
      </w:r>
      <w:r>
        <w:rPr>
          <w:rFonts w:hint="eastAsia"/>
          <w:b w:val="0"/>
          <w:bCs w:val="0"/>
        </w:rPr>
        <w:t>均为我国现行有效的计量规程及规范，是本规范的一部分，引用这些</w:t>
      </w:r>
      <w:r>
        <w:rPr>
          <w:rFonts w:hint="eastAsia"/>
          <w:b w:val="0"/>
          <w:bCs w:val="0"/>
          <w:lang w:val="en-US" w:eastAsia="zh-CN"/>
        </w:rPr>
        <w:t>文件</w:t>
      </w:r>
      <w:r>
        <w:rPr>
          <w:rFonts w:hint="eastAsia"/>
          <w:b w:val="0"/>
          <w:bCs w:val="0"/>
        </w:rPr>
        <w:t>后，使本规范的要求与现行的相关法律、法规、规章及相关规程规范的关系不矛盾、不冲突，相互关系协调。</w:t>
      </w:r>
    </w:p>
    <w:p w14:paraId="167DC1A0">
      <w:pPr>
        <w:pStyle w:val="2"/>
        <w:spacing w:before="156" w:after="156"/>
        <w:rPr>
          <w:b w:val="0"/>
          <w:bCs w:val="0"/>
        </w:rPr>
      </w:pPr>
      <w:bookmarkStart w:id="73" w:name="_Toc464728973"/>
      <w:r>
        <w:rPr>
          <w:rFonts w:hint="eastAsia"/>
          <w:b w:val="0"/>
          <w:bCs w:val="0"/>
        </w:rPr>
        <w:t>六、规范中涉及的专利或知识产权说明</w:t>
      </w:r>
      <w:bookmarkEnd w:id="73"/>
    </w:p>
    <w:p w14:paraId="54E002EC">
      <w:pPr>
        <w:pStyle w:val="58"/>
        <w:spacing w:line="300" w:lineRule="auto"/>
        <w:ind w:firstLineChars="0"/>
        <w:contextualSpacing/>
        <w:rPr>
          <w:rFonts w:hint="eastAsia" w:eastAsia="宋体"/>
          <w:b w:val="0"/>
          <w:bCs w:val="0"/>
          <w:szCs w:val="21"/>
          <w:lang w:eastAsia="zh-CN"/>
        </w:rPr>
      </w:pPr>
      <w:bookmarkStart w:id="74" w:name="_Toc464728974"/>
      <w:r>
        <w:rPr>
          <w:rFonts w:hint="eastAsia"/>
          <w:b w:val="0"/>
          <w:bCs w:val="0"/>
          <w:szCs w:val="21"/>
        </w:rPr>
        <w:t>无</w:t>
      </w:r>
      <w:r>
        <w:rPr>
          <w:rFonts w:hint="eastAsia"/>
          <w:b w:val="0"/>
          <w:bCs w:val="0"/>
          <w:szCs w:val="21"/>
          <w:lang w:eastAsia="zh-CN"/>
        </w:rPr>
        <w:t>。</w:t>
      </w:r>
    </w:p>
    <w:p w14:paraId="7D8DB3BE">
      <w:pPr>
        <w:pStyle w:val="2"/>
        <w:spacing w:before="156" w:after="156"/>
        <w:rPr>
          <w:b w:val="0"/>
          <w:bCs w:val="0"/>
        </w:rPr>
      </w:pPr>
      <w:r>
        <w:rPr>
          <w:rFonts w:hint="eastAsia"/>
          <w:b w:val="0"/>
          <w:bCs w:val="0"/>
        </w:rPr>
        <w:t>七、重大分歧意见的处理经过和依据</w:t>
      </w:r>
      <w:bookmarkEnd w:id="74"/>
    </w:p>
    <w:p w14:paraId="17CCC10A">
      <w:pPr>
        <w:pStyle w:val="58"/>
        <w:spacing w:line="300" w:lineRule="auto"/>
        <w:ind w:firstLine="420"/>
        <w:contextualSpacing/>
        <w:rPr>
          <w:rFonts w:hint="eastAsia" w:eastAsia="宋体"/>
          <w:b w:val="0"/>
          <w:bCs w:val="0"/>
          <w:szCs w:val="21"/>
          <w:lang w:eastAsia="zh-CN"/>
        </w:rPr>
      </w:pPr>
      <w:r>
        <w:rPr>
          <w:rFonts w:hint="eastAsia"/>
          <w:b w:val="0"/>
          <w:bCs w:val="0"/>
          <w:szCs w:val="21"/>
        </w:rPr>
        <w:t>无</w:t>
      </w:r>
      <w:r>
        <w:rPr>
          <w:rFonts w:hint="eastAsia"/>
          <w:b w:val="0"/>
          <w:bCs w:val="0"/>
          <w:szCs w:val="21"/>
          <w:lang w:eastAsia="zh-CN"/>
        </w:rPr>
        <w:t>。</w:t>
      </w:r>
    </w:p>
    <w:p w14:paraId="5CD0AA0C">
      <w:pPr>
        <w:pStyle w:val="2"/>
        <w:spacing w:before="156" w:after="156"/>
        <w:rPr>
          <w:b w:val="0"/>
          <w:bCs w:val="0"/>
        </w:rPr>
      </w:pPr>
      <w:r>
        <w:rPr>
          <w:rFonts w:hint="eastAsia"/>
          <w:b w:val="0"/>
          <w:bCs w:val="0"/>
        </w:rPr>
        <w:t>八、规范作为国家（或行业）</w:t>
      </w:r>
      <w:r>
        <w:rPr>
          <w:rFonts w:hint="eastAsia"/>
          <w:b w:val="0"/>
          <w:bCs w:val="0"/>
          <w:lang w:val="en-US" w:eastAsia="zh-CN"/>
        </w:rPr>
        <w:t>计量技术规范</w:t>
      </w:r>
      <w:r>
        <w:rPr>
          <w:rFonts w:hint="eastAsia"/>
          <w:b w:val="0"/>
          <w:bCs w:val="0"/>
        </w:rPr>
        <w:t>的建议</w:t>
      </w:r>
    </w:p>
    <w:p w14:paraId="5BC96BFC">
      <w:pPr>
        <w:adjustRightInd w:val="0"/>
        <w:spacing w:line="360" w:lineRule="auto"/>
        <w:ind w:firstLine="420" w:firstLineChars="200"/>
        <w:rPr>
          <w:rFonts w:hint="default" w:hAnsi="宋体"/>
          <w:b w:val="0"/>
          <w:bCs w:val="0"/>
          <w:szCs w:val="21"/>
        </w:rPr>
      </w:pPr>
      <w:r>
        <w:rPr>
          <w:rFonts w:hint="eastAsia" w:hAnsi="宋体"/>
          <w:b w:val="0"/>
          <w:bCs w:val="0"/>
          <w:szCs w:val="21"/>
        </w:rPr>
        <w:t>建议本规范作为行业计量技术规范，供行业</w:t>
      </w:r>
      <w:r>
        <w:rPr>
          <w:rFonts w:hint="eastAsia" w:hAnsi="宋体"/>
          <w:b w:val="0"/>
          <w:bCs w:val="0"/>
          <w:szCs w:val="21"/>
          <w:lang w:val="en-US" w:eastAsia="zh-CN"/>
        </w:rPr>
        <w:t>企业</w:t>
      </w:r>
      <w:r>
        <w:rPr>
          <w:rFonts w:hint="eastAsia" w:hAnsi="宋体"/>
          <w:b w:val="0"/>
          <w:bCs w:val="0"/>
          <w:szCs w:val="21"/>
        </w:rPr>
        <w:t>参考</w:t>
      </w:r>
      <w:r>
        <w:rPr>
          <w:rFonts w:hint="eastAsia" w:hAnsi="宋体"/>
          <w:b w:val="0"/>
          <w:bCs w:val="0"/>
          <w:szCs w:val="21"/>
          <w:lang w:val="en-US" w:eastAsia="zh-CN"/>
        </w:rPr>
        <w:t>使用</w:t>
      </w:r>
      <w:r>
        <w:rPr>
          <w:rFonts w:hint="eastAsia" w:hAnsi="宋体"/>
          <w:b w:val="0"/>
          <w:bCs w:val="0"/>
          <w:szCs w:val="21"/>
        </w:rPr>
        <w:t>。</w:t>
      </w:r>
      <w:r>
        <w:rPr>
          <w:rFonts w:hint="eastAsia" w:hAnsi="宋体"/>
          <w:b w:val="0"/>
          <w:bCs w:val="0"/>
          <w:szCs w:val="21"/>
          <w:lang w:val="en-US" w:eastAsia="zh-CN"/>
        </w:rPr>
        <w:t>必要时可根据实际需要，结合其他行业使用要求，申报国家计量技术规范，以满足校准需要。</w:t>
      </w:r>
    </w:p>
    <w:p w14:paraId="54A64974">
      <w:pPr>
        <w:pStyle w:val="2"/>
        <w:spacing w:before="156" w:after="156"/>
        <w:rPr>
          <w:b w:val="0"/>
          <w:bCs w:val="0"/>
        </w:rPr>
      </w:pPr>
      <w:bookmarkStart w:id="75" w:name="_Toc464728976"/>
      <w:r>
        <w:rPr>
          <w:rFonts w:hint="eastAsia"/>
          <w:b w:val="0"/>
          <w:bCs w:val="0"/>
        </w:rPr>
        <w:t>九、贯彻规范的要求和措施建议</w:t>
      </w:r>
      <w:bookmarkEnd w:id="75"/>
    </w:p>
    <w:p w14:paraId="1B58E1C8">
      <w:pPr>
        <w:pStyle w:val="58"/>
        <w:spacing w:line="360" w:lineRule="auto"/>
        <w:ind w:firstLine="420"/>
        <w:contextualSpacing/>
        <w:rPr>
          <w:b w:val="0"/>
          <w:bCs w:val="0"/>
          <w:szCs w:val="21"/>
        </w:rPr>
      </w:pPr>
      <w:r>
        <w:rPr>
          <w:rFonts w:hint="eastAsia"/>
          <w:b w:val="0"/>
          <w:bCs w:val="0"/>
          <w:szCs w:val="21"/>
        </w:rPr>
        <w:t>本规范发布后，中国有色金属行业协会和有色金属行业计量技术委员会应加强本规范的宣传力度，以促进我国企业的技术进步和产品质量上档次，提高我国产品在国际国内市场的竞争能力。</w:t>
      </w:r>
    </w:p>
    <w:p w14:paraId="30254EEA">
      <w:pPr>
        <w:pStyle w:val="2"/>
        <w:spacing w:before="156" w:after="156"/>
        <w:rPr>
          <w:b w:val="0"/>
          <w:bCs w:val="0"/>
        </w:rPr>
      </w:pPr>
      <w:bookmarkStart w:id="76" w:name="_Toc464728977"/>
      <w:r>
        <w:rPr>
          <w:rFonts w:hint="eastAsia"/>
          <w:b w:val="0"/>
          <w:bCs w:val="0"/>
        </w:rPr>
        <w:t>十、废止现行有关规范的建议</w:t>
      </w:r>
      <w:bookmarkEnd w:id="76"/>
    </w:p>
    <w:p w14:paraId="39E87E15">
      <w:pPr>
        <w:pStyle w:val="58"/>
        <w:spacing w:line="300" w:lineRule="auto"/>
        <w:ind w:firstLine="420"/>
        <w:contextualSpacing/>
        <w:rPr>
          <w:b w:val="0"/>
          <w:bCs w:val="0"/>
          <w:szCs w:val="21"/>
        </w:rPr>
      </w:pPr>
      <w:r>
        <w:rPr>
          <w:rFonts w:hint="eastAsia"/>
          <w:b w:val="0"/>
          <w:bCs w:val="0"/>
          <w:szCs w:val="21"/>
        </w:rPr>
        <w:t>无。</w:t>
      </w:r>
    </w:p>
    <w:p w14:paraId="348B930C">
      <w:pPr>
        <w:pStyle w:val="2"/>
        <w:spacing w:before="156" w:after="156"/>
        <w:rPr>
          <w:b w:val="0"/>
          <w:bCs w:val="0"/>
        </w:rPr>
      </w:pPr>
      <w:r>
        <w:rPr>
          <w:rFonts w:hint="eastAsia"/>
          <w:b w:val="0"/>
          <w:bCs w:val="0"/>
          <w:lang w:val="en-US" w:eastAsia="zh-CN"/>
        </w:rPr>
        <w:t>十一</w:t>
      </w:r>
      <w:r>
        <w:rPr>
          <w:rFonts w:hint="eastAsia"/>
          <w:b w:val="0"/>
          <w:bCs w:val="0"/>
        </w:rPr>
        <w:t>、预期效果</w:t>
      </w:r>
    </w:p>
    <w:p w14:paraId="6FBF4B3B">
      <w:pPr>
        <w:spacing w:line="360" w:lineRule="auto"/>
        <w:ind w:firstLine="420" w:firstLineChars="200"/>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lang w:val="en-US" w:eastAsia="zh-CN"/>
        </w:rPr>
        <w:t>本</w:t>
      </w:r>
      <w:r>
        <w:rPr>
          <w:rFonts w:hint="eastAsia" w:asciiTheme="minorEastAsia" w:hAnsiTheme="minorEastAsia" w:eastAsiaTheme="minorEastAsia" w:cstheme="minorEastAsia"/>
          <w:b w:val="0"/>
          <w:bCs w:val="0"/>
          <w:kern w:val="0"/>
          <w:szCs w:val="21"/>
        </w:rPr>
        <w:t>规范</w:t>
      </w:r>
      <w:r>
        <w:rPr>
          <w:rFonts w:hint="eastAsia" w:asciiTheme="minorEastAsia" w:hAnsiTheme="minorEastAsia" w:eastAsiaTheme="minorEastAsia" w:cstheme="minorEastAsia"/>
          <w:b w:val="0"/>
          <w:bCs w:val="0"/>
          <w:kern w:val="0"/>
          <w:szCs w:val="21"/>
          <w:lang w:val="en-US" w:eastAsia="zh-CN"/>
        </w:rPr>
        <w:t>发布后，能</w:t>
      </w:r>
      <w:r>
        <w:rPr>
          <w:rFonts w:hint="eastAsia" w:asciiTheme="minorEastAsia" w:hAnsiTheme="minorEastAsia" w:eastAsiaTheme="minorEastAsia" w:cstheme="minorEastAsia"/>
          <w:b w:val="0"/>
          <w:bCs w:val="0"/>
          <w:kern w:val="0"/>
          <w:szCs w:val="21"/>
        </w:rPr>
        <w:t>解决</w:t>
      </w:r>
      <w:r>
        <w:rPr>
          <w:rFonts w:hint="eastAsia" w:asciiTheme="minorEastAsia" w:hAnsiTheme="minorEastAsia" w:eastAsiaTheme="minorEastAsia" w:cstheme="minorEastAsia"/>
          <w:b w:val="0"/>
          <w:bCs w:val="0"/>
        </w:rPr>
        <w:t>松装密度漏斗法测定仪</w:t>
      </w:r>
      <w:r>
        <w:rPr>
          <w:rFonts w:hint="eastAsia" w:asciiTheme="minorEastAsia" w:hAnsiTheme="minorEastAsia" w:eastAsiaTheme="minorEastAsia" w:cstheme="minorEastAsia"/>
          <w:szCs w:val="21"/>
          <w:lang w:val="en-US" w:eastAsia="zh-CN"/>
        </w:rPr>
        <w:t>计量特性不明确、校准项目不齐全、</w:t>
      </w:r>
      <w:r>
        <w:rPr>
          <w:rFonts w:hint="eastAsia" w:asciiTheme="minorEastAsia" w:hAnsiTheme="minorEastAsia" w:eastAsiaTheme="minorEastAsia" w:cstheme="minorEastAsia"/>
          <w:b w:val="0"/>
          <w:bCs w:val="0"/>
          <w:kern w:val="0"/>
          <w:szCs w:val="21"/>
        </w:rPr>
        <w:t>校准方法不统一等问题，弥补</w:t>
      </w:r>
      <w:r>
        <w:rPr>
          <w:rFonts w:hint="eastAsia" w:asciiTheme="minorEastAsia" w:hAnsiTheme="minorEastAsia" w:eastAsiaTheme="minorEastAsia" w:cstheme="minorEastAsia"/>
          <w:b w:val="0"/>
          <w:bCs w:val="0"/>
        </w:rPr>
        <w:t>松装密度漏斗法测定仪</w:t>
      </w:r>
      <w:r>
        <w:rPr>
          <w:rFonts w:hint="eastAsia" w:asciiTheme="minorEastAsia" w:hAnsiTheme="minorEastAsia" w:eastAsiaTheme="minorEastAsia" w:cstheme="minorEastAsia"/>
          <w:b w:val="0"/>
          <w:bCs w:val="0"/>
          <w:kern w:val="0"/>
          <w:szCs w:val="21"/>
        </w:rPr>
        <w:t>校准</w:t>
      </w:r>
      <w:r>
        <w:rPr>
          <w:rFonts w:hint="eastAsia" w:asciiTheme="minorEastAsia" w:hAnsiTheme="minorEastAsia" w:eastAsiaTheme="minorEastAsia" w:cstheme="minorEastAsia"/>
          <w:b w:val="0"/>
          <w:bCs w:val="0"/>
          <w:kern w:val="0"/>
          <w:szCs w:val="21"/>
          <w:lang w:val="en-US" w:eastAsia="zh-CN"/>
        </w:rPr>
        <w:t>规范</w:t>
      </w:r>
      <w:r>
        <w:rPr>
          <w:rFonts w:hint="eastAsia" w:asciiTheme="minorEastAsia" w:hAnsiTheme="minorEastAsia" w:eastAsiaTheme="minorEastAsia" w:cstheme="minorEastAsia"/>
          <w:b w:val="0"/>
          <w:bCs w:val="0"/>
          <w:kern w:val="0"/>
          <w:szCs w:val="21"/>
        </w:rPr>
        <w:t>的空白，</w:t>
      </w:r>
      <w:r>
        <w:rPr>
          <w:rFonts w:hint="eastAsia" w:asciiTheme="minorEastAsia" w:hAnsiTheme="minorEastAsia" w:eastAsiaTheme="minorEastAsia" w:cstheme="minorEastAsia"/>
          <w:b w:val="0"/>
          <w:bCs w:val="0"/>
          <w:kern w:val="0"/>
          <w:szCs w:val="21"/>
          <w:lang w:val="en-US" w:eastAsia="zh-CN"/>
        </w:rPr>
        <w:t>确保粉末颗粒松装密度测试结果</w:t>
      </w:r>
      <w:r>
        <w:rPr>
          <w:rFonts w:hint="eastAsia" w:asciiTheme="minorEastAsia" w:hAnsiTheme="minorEastAsia" w:eastAsiaTheme="minorEastAsia" w:cstheme="minorEastAsia"/>
          <w:b w:val="0"/>
          <w:bCs w:val="0"/>
          <w:kern w:val="0"/>
          <w:szCs w:val="21"/>
        </w:rPr>
        <w:t>的准确性。</w:t>
      </w:r>
    </w:p>
    <w:p w14:paraId="56F595F0">
      <w:pPr>
        <w:pStyle w:val="2"/>
        <w:spacing w:before="156" w:after="156"/>
        <w:rPr>
          <w:b w:val="0"/>
          <w:bCs w:val="0"/>
        </w:rPr>
      </w:pPr>
      <w:r>
        <w:rPr>
          <w:rFonts w:hint="eastAsia"/>
          <w:b w:val="0"/>
          <w:bCs w:val="0"/>
        </w:rPr>
        <w:t>十一、其他应予说明的事项</w:t>
      </w:r>
    </w:p>
    <w:p w14:paraId="32741746">
      <w:pPr>
        <w:pStyle w:val="58"/>
        <w:spacing w:line="300" w:lineRule="auto"/>
        <w:ind w:firstLineChars="0"/>
        <w:contextualSpacing/>
        <w:rPr>
          <w:rFonts w:hint="eastAsia" w:asciiTheme="minorEastAsia" w:hAnsiTheme="minorEastAsia" w:eastAsiaTheme="minorEastAsia" w:cstheme="minorEastAsia"/>
          <w:b w:val="0"/>
          <w:bCs w:val="0"/>
        </w:rPr>
      </w:pPr>
      <w:r>
        <w:rPr>
          <w:rFonts w:hint="eastAsia"/>
          <w:b w:val="0"/>
          <w:bCs w:val="0"/>
          <w:szCs w:val="21"/>
        </w:rPr>
        <w:t>无。</w:t>
      </w:r>
      <w:r>
        <w:rPr>
          <w:rFonts w:ascii="Times New Roman" w:hAnsi="Times New Roman" w:eastAsia="黑体"/>
          <w:b w:val="0"/>
          <w:bCs w:val="0"/>
        </w:rPr>
        <w:t xml:space="preserve"> </w:t>
      </w:r>
    </w:p>
    <w:p w14:paraId="3C8F591D">
      <w:pPr>
        <w:pStyle w:val="58"/>
        <w:spacing w:line="360" w:lineRule="auto"/>
        <w:ind w:left="0" w:leftChars="0" w:firstLine="0" w:firstLineChars="0"/>
        <w:contextualSpacing/>
        <w:jc w:val="both"/>
        <w:rPr>
          <w:rFonts w:hint="eastAsia" w:asciiTheme="minorEastAsia" w:hAnsiTheme="minorEastAsia" w:eastAsiaTheme="minorEastAsia" w:cstheme="minorEastAsia"/>
          <w:b w:val="0"/>
          <w:bCs w:val="0"/>
          <w:szCs w:val="21"/>
        </w:rPr>
      </w:pPr>
    </w:p>
    <w:p w14:paraId="617FCDFA">
      <w:pPr>
        <w:pStyle w:val="58"/>
        <w:spacing w:line="360" w:lineRule="auto"/>
        <w:ind w:firstLineChars="0"/>
        <w:contextualSpacing/>
        <w:jc w:val="right"/>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w:t>
      </w:r>
      <w:r>
        <w:rPr>
          <w:rFonts w:hint="eastAsia" w:asciiTheme="minorEastAsia" w:hAnsiTheme="minorEastAsia" w:eastAsiaTheme="minorEastAsia" w:cstheme="minorEastAsia"/>
          <w:b w:val="0"/>
          <w:bCs w:val="0"/>
        </w:rPr>
        <w:t>松装密度漏斗法测定仪</w:t>
      </w:r>
      <w:r>
        <w:rPr>
          <w:rFonts w:hint="eastAsia" w:asciiTheme="minorEastAsia" w:hAnsiTheme="minorEastAsia" w:eastAsiaTheme="minorEastAsia" w:cstheme="minorEastAsia"/>
          <w:b w:val="0"/>
          <w:bCs w:val="0"/>
          <w:szCs w:val="21"/>
        </w:rPr>
        <w:t xml:space="preserve">校准规范》编制组  </w:t>
      </w:r>
    </w:p>
    <w:p w14:paraId="62FF3414">
      <w:pPr>
        <w:pStyle w:val="58"/>
        <w:spacing w:line="360" w:lineRule="auto"/>
        <w:ind w:firstLineChars="0"/>
        <w:contextualSpacing/>
        <w:jc w:val="center"/>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 xml:space="preserve">                                              </w:t>
      </w:r>
      <w:r>
        <w:rPr>
          <w:rFonts w:hint="eastAsia" w:asciiTheme="minorEastAsia" w:hAnsiTheme="minorEastAsia" w:eastAsiaTheme="minorEastAsia" w:cstheme="minorEastAsia"/>
          <w:b w:val="0"/>
          <w:bCs w:val="0"/>
          <w:szCs w:val="21"/>
        </w:rPr>
        <w:t>202</w:t>
      </w:r>
      <w:r>
        <w:rPr>
          <w:rFonts w:hint="eastAsia" w:asciiTheme="minorEastAsia" w:hAnsiTheme="minorEastAsia" w:eastAsiaTheme="minorEastAsia" w:cstheme="minorEastAsia"/>
          <w:b w:val="0"/>
          <w:bCs w:val="0"/>
          <w:szCs w:val="21"/>
          <w:lang w:val="en-US" w:eastAsia="zh-CN"/>
        </w:rPr>
        <w:t>4</w:t>
      </w:r>
      <w:r>
        <w:rPr>
          <w:rFonts w:hint="eastAsia" w:asciiTheme="minorEastAsia" w:hAnsiTheme="minorEastAsia" w:eastAsiaTheme="minorEastAsia" w:cstheme="minorEastAsia"/>
          <w:b w:val="0"/>
          <w:bCs w:val="0"/>
          <w:szCs w:val="21"/>
        </w:rPr>
        <w:t>年</w:t>
      </w:r>
      <w:r>
        <w:rPr>
          <w:rFonts w:hint="eastAsia" w:asciiTheme="minorEastAsia" w:hAnsiTheme="minorEastAsia" w:eastAsiaTheme="minorEastAsia" w:cstheme="minorEastAsia"/>
          <w:b w:val="0"/>
          <w:bCs w:val="0"/>
          <w:szCs w:val="21"/>
          <w:lang w:val="en-US" w:eastAsia="zh-CN"/>
        </w:rPr>
        <w:t>10</w:t>
      </w:r>
      <w:r>
        <w:rPr>
          <w:rFonts w:hint="eastAsia" w:asciiTheme="minorEastAsia" w:hAnsiTheme="minorEastAsia" w:eastAsiaTheme="minorEastAsia" w:cstheme="minorEastAsia"/>
          <w:b w:val="0"/>
          <w:bCs w:val="0"/>
          <w:szCs w:val="21"/>
        </w:rPr>
        <w:t>月</w:t>
      </w:r>
      <w:r>
        <w:rPr>
          <w:rFonts w:hint="eastAsia" w:asciiTheme="minorEastAsia" w:hAnsiTheme="minorEastAsia" w:eastAsiaTheme="minorEastAsia" w:cstheme="minorEastAsia"/>
          <w:b w:val="0"/>
          <w:bCs w:val="0"/>
          <w:szCs w:val="21"/>
          <w:lang w:val="en-US" w:eastAsia="zh-CN"/>
        </w:rPr>
        <w:t>31</w:t>
      </w:r>
      <w:r>
        <w:rPr>
          <w:rFonts w:hint="eastAsia" w:asciiTheme="minorEastAsia" w:hAnsiTheme="minorEastAsia" w:eastAsiaTheme="minorEastAsia" w:cstheme="minorEastAsia"/>
          <w:b w:val="0"/>
          <w:bCs w:val="0"/>
          <w:szCs w:val="21"/>
        </w:rPr>
        <w:t>日</w:t>
      </w:r>
      <w:r>
        <w:rPr>
          <w:rFonts w:hint="eastAsia" w:asciiTheme="minorEastAsia" w:hAnsiTheme="minorEastAsia" w:eastAsiaTheme="minorEastAsia" w:cstheme="minorEastAsia"/>
          <w:b w:val="0"/>
          <w:bCs w:val="0"/>
          <w:szCs w:val="21"/>
          <w:lang w:val="en-US" w:eastAsia="zh-CN"/>
        </w:rPr>
        <w:t xml:space="preserve"> </w:t>
      </w:r>
    </w:p>
    <w:sectPr>
      <w:footerReference r:id="rId5" w:type="first"/>
      <w:headerReference r:id="rId3" w:type="default"/>
      <w:footerReference r:id="rId4" w:type="default"/>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03B6">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C842">
    <w:pPr>
      <w:pStyle w:val="30"/>
      <w:jc w:val="both"/>
    </w:pPr>
  </w:p>
  <w:p w14:paraId="4A90730C">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B392">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0B08D"/>
    <w:multiLevelType w:val="singleLevel"/>
    <w:tmpl w:val="9D30B08D"/>
    <w:lvl w:ilvl="0" w:tentative="0">
      <w:start w:val="4"/>
      <w:numFmt w:val="decimal"/>
      <w:suff w:val="space"/>
      <w:lvlText w:val="%1）"/>
      <w:lvlJc w:val="left"/>
    </w:lvl>
  </w:abstractNum>
  <w:abstractNum w:abstractNumId="1">
    <w:nsid w:val="A584120C"/>
    <w:multiLevelType w:val="singleLevel"/>
    <w:tmpl w:val="A584120C"/>
    <w:lvl w:ilvl="0" w:tentative="0">
      <w:start w:val="6"/>
      <w:numFmt w:val="decimal"/>
      <w:suff w:val="space"/>
      <w:lvlText w:val="%1）"/>
      <w:lvlJc w:val="left"/>
    </w:lvl>
  </w:abstractNum>
  <w:abstractNum w:abstractNumId="2">
    <w:nsid w:val="B63186A5"/>
    <w:multiLevelType w:val="singleLevel"/>
    <w:tmpl w:val="B63186A5"/>
    <w:lvl w:ilvl="0" w:tentative="0">
      <w:start w:val="3"/>
      <w:numFmt w:val="decimal"/>
      <w:suff w:val="space"/>
      <w:lvlText w:val="%1）"/>
      <w:lvlJc w:val="left"/>
    </w:lvl>
  </w:abstractNum>
  <w:abstractNum w:abstractNumId="3">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10">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6201086"/>
    <w:multiLevelType w:val="singleLevel"/>
    <w:tmpl w:val="26201086"/>
    <w:lvl w:ilvl="0" w:tentative="0">
      <w:start w:val="1"/>
      <w:numFmt w:val="decimal"/>
      <w:suff w:val="space"/>
      <w:lvlText w:val="%1）"/>
      <w:lvlJc w:val="left"/>
    </w:lvl>
  </w:abstractNum>
  <w:abstractNum w:abstractNumId="14">
    <w:nsid w:val="2CBBF884"/>
    <w:multiLevelType w:val="singleLevel"/>
    <w:tmpl w:val="2CBBF884"/>
    <w:lvl w:ilvl="0" w:tentative="0">
      <w:start w:val="2"/>
      <w:numFmt w:val="decimal"/>
      <w:suff w:val="space"/>
      <w:lvlText w:val="%1）"/>
      <w:lvlJc w:val="left"/>
    </w:lvl>
  </w:abstractNum>
  <w:abstractNum w:abstractNumId="15">
    <w:nsid w:val="6597E13E"/>
    <w:multiLevelType w:val="singleLevel"/>
    <w:tmpl w:val="6597E13E"/>
    <w:lvl w:ilvl="0" w:tentative="0">
      <w:start w:val="5"/>
      <w:numFmt w:val="decimal"/>
      <w:suff w:val="space"/>
      <w:lvlText w:val="%1）"/>
      <w:lvlJc w:val="left"/>
    </w:lvl>
  </w:abstractNum>
  <w:num w:numId="1">
    <w:abstractNumId w:val="11"/>
  </w:num>
  <w:num w:numId="2">
    <w:abstractNumId w:val="8"/>
  </w:num>
  <w:num w:numId="3">
    <w:abstractNumId w:val="12"/>
  </w:num>
  <w:num w:numId="4">
    <w:abstractNumId w:val="3"/>
  </w:num>
  <w:num w:numId="5">
    <w:abstractNumId w:val="6"/>
  </w:num>
  <w:num w:numId="6">
    <w:abstractNumId w:val="10"/>
  </w:num>
  <w:num w:numId="7">
    <w:abstractNumId w:val="5"/>
  </w:num>
  <w:num w:numId="8">
    <w:abstractNumId w:val="9"/>
  </w:num>
  <w:num w:numId="9">
    <w:abstractNumId w:val="4"/>
  </w:num>
  <w:num w:numId="10">
    <w:abstractNumId w:val="7"/>
  </w:num>
  <w:num w:numId="11">
    <w:abstractNumId w:val="13"/>
  </w:num>
  <w:num w:numId="12">
    <w:abstractNumId w:val="14"/>
  </w:num>
  <w:num w:numId="13">
    <w:abstractNumId w:val="2"/>
  </w:num>
  <w:num w:numId="14">
    <w:abstractNumId w:val="0"/>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13C58A6"/>
    <w:rsid w:val="02F703B0"/>
    <w:rsid w:val="0324416E"/>
    <w:rsid w:val="04731467"/>
    <w:rsid w:val="05266D56"/>
    <w:rsid w:val="05A536B6"/>
    <w:rsid w:val="05F125DB"/>
    <w:rsid w:val="06716757"/>
    <w:rsid w:val="06A17B4E"/>
    <w:rsid w:val="07DC0ED5"/>
    <w:rsid w:val="08D4742C"/>
    <w:rsid w:val="0904785D"/>
    <w:rsid w:val="09573966"/>
    <w:rsid w:val="09904521"/>
    <w:rsid w:val="0A781AE7"/>
    <w:rsid w:val="0A7B473D"/>
    <w:rsid w:val="0C2E13AC"/>
    <w:rsid w:val="0C4B1293"/>
    <w:rsid w:val="0CB9457A"/>
    <w:rsid w:val="0CCA0314"/>
    <w:rsid w:val="0D8022CA"/>
    <w:rsid w:val="0D9A266D"/>
    <w:rsid w:val="0E41629B"/>
    <w:rsid w:val="0E6513CA"/>
    <w:rsid w:val="0F2E5071"/>
    <w:rsid w:val="0FCF7859"/>
    <w:rsid w:val="11471F43"/>
    <w:rsid w:val="13100F6A"/>
    <w:rsid w:val="1378739D"/>
    <w:rsid w:val="13877F6B"/>
    <w:rsid w:val="13B1031D"/>
    <w:rsid w:val="13E94614"/>
    <w:rsid w:val="14317D7D"/>
    <w:rsid w:val="14FE0CE9"/>
    <w:rsid w:val="156B69F5"/>
    <w:rsid w:val="158E7867"/>
    <w:rsid w:val="15AA26BA"/>
    <w:rsid w:val="16A67923"/>
    <w:rsid w:val="173E1D8C"/>
    <w:rsid w:val="174C2AB4"/>
    <w:rsid w:val="17E64F25"/>
    <w:rsid w:val="1AAB05C0"/>
    <w:rsid w:val="1C803B53"/>
    <w:rsid w:val="1E713A82"/>
    <w:rsid w:val="1ECA7405"/>
    <w:rsid w:val="1F5A1A25"/>
    <w:rsid w:val="1F714057"/>
    <w:rsid w:val="1F9B5C2D"/>
    <w:rsid w:val="1FAB00D4"/>
    <w:rsid w:val="208E75B3"/>
    <w:rsid w:val="218A16C9"/>
    <w:rsid w:val="21BE3478"/>
    <w:rsid w:val="21D04080"/>
    <w:rsid w:val="221F2A19"/>
    <w:rsid w:val="22423DCF"/>
    <w:rsid w:val="225C10E7"/>
    <w:rsid w:val="23A74BBD"/>
    <w:rsid w:val="23D43A72"/>
    <w:rsid w:val="25A63122"/>
    <w:rsid w:val="266C3F24"/>
    <w:rsid w:val="277C51D7"/>
    <w:rsid w:val="27BD3A55"/>
    <w:rsid w:val="28A00A66"/>
    <w:rsid w:val="294B31AA"/>
    <w:rsid w:val="29846CB3"/>
    <w:rsid w:val="29E46257"/>
    <w:rsid w:val="2A4110A1"/>
    <w:rsid w:val="2AB85E2C"/>
    <w:rsid w:val="2AE205B7"/>
    <w:rsid w:val="2BFA2A11"/>
    <w:rsid w:val="2C147130"/>
    <w:rsid w:val="2C281A12"/>
    <w:rsid w:val="2D525CFE"/>
    <w:rsid w:val="2DF67A69"/>
    <w:rsid w:val="2E772BB0"/>
    <w:rsid w:val="2F656952"/>
    <w:rsid w:val="2F74507C"/>
    <w:rsid w:val="2FBE527A"/>
    <w:rsid w:val="310C7C88"/>
    <w:rsid w:val="31B57A58"/>
    <w:rsid w:val="325F3B1A"/>
    <w:rsid w:val="34117602"/>
    <w:rsid w:val="34745E77"/>
    <w:rsid w:val="34CD5E22"/>
    <w:rsid w:val="35700877"/>
    <w:rsid w:val="36A20D4C"/>
    <w:rsid w:val="36AE69D8"/>
    <w:rsid w:val="385C2E16"/>
    <w:rsid w:val="38B6063A"/>
    <w:rsid w:val="38D330D8"/>
    <w:rsid w:val="39DA3C4B"/>
    <w:rsid w:val="39E63C45"/>
    <w:rsid w:val="39F218E4"/>
    <w:rsid w:val="3A0E134F"/>
    <w:rsid w:val="3A910669"/>
    <w:rsid w:val="3B900C03"/>
    <w:rsid w:val="3BF22422"/>
    <w:rsid w:val="3BFA1058"/>
    <w:rsid w:val="3CF76650"/>
    <w:rsid w:val="3EBA5BC3"/>
    <w:rsid w:val="3FE25D82"/>
    <w:rsid w:val="41065CB3"/>
    <w:rsid w:val="41B42CF0"/>
    <w:rsid w:val="420E5348"/>
    <w:rsid w:val="425F603B"/>
    <w:rsid w:val="4286740D"/>
    <w:rsid w:val="42D75573"/>
    <w:rsid w:val="43A67182"/>
    <w:rsid w:val="43AC3752"/>
    <w:rsid w:val="43B600E2"/>
    <w:rsid w:val="44100726"/>
    <w:rsid w:val="44347A9B"/>
    <w:rsid w:val="44CE02A0"/>
    <w:rsid w:val="450A2511"/>
    <w:rsid w:val="456D3D97"/>
    <w:rsid w:val="459973F1"/>
    <w:rsid w:val="45E87405"/>
    <w:rsid w:val="46474D73"/>
    <w:rsid w:val="465C4787"/>
    <w:rsid w:val="473A498E"/>
    <w:rsid w:val="47552183"/>
    <w:rsid w:val="47E265AC"/>
    <w:rsid w:val="48211129"/>
    <w:rsid w:val="486A5B15"/>
    <w:rsid w:val="48BE5C4B"/>
    <w:rsid w:val="49214E6F"/>
    <w:rsid w:val="4A4C4120"/>
    <w:rsid w:val="4A6450F5"/>
    <w:rsid w:val="4AE6291D"/>
    <w:rsid w:val="4AEA403C"/>
    <w:rsid w:val="4B8C5809"/>
    <w:rsid w:val="4B933E1A"/>
    <w:rsid w:val="4BD017A0"/>
    <w:rsid w:val="4D432356"/>
    <w:rsid w:val="4D672B5A"/>
    <w:rsid w:val="4DA846DC"/>
    <w:rsid w:val="4E3430C7"/>
    <w:rsid w:val="4FA7278A"/>
    <w:rsid w:val="50011CA3"/>
    <w:rsid w:val="51051BD9"/>
    <w:rsid w:val="51442F7B"/>
    <w:rsid w:val="52A97DDB"/>
    <w:rsid w:val="543C0C79"/>
    <w:rsid w:val="54866DF9"/>
    <w:rsid w:val="55152B55"/>
    <w:rsid w:val="551D4234"/>
    <w:rsid w:val="56154CA2"/>
    <w:rsid w:val="56A00E5A"/>
    <w:rsid w:val="57676F98"/>
    <w:rsid w:val="585B6D4E"/>
    <w:rsid w:val="58FC32ED"/>
    <w:rsid w:val="590A235B"/>
    <w:rsid w:val="595D44B2"/>
    <w:rsid w:val="59B61F2F"/>
    <w:rsid w:val="5A931503"/>
    <w:rsid w:val="5A971C98"/>
    <w:rsid w:val="5AC42DA1"/>
    <w:rsid w:val="5AD52815"/>
    <w:rsid w:val="5AFA5C95"/>
    <w:rsid w:val="5CDE078E"/>
    <w:rsid w:val="5CF02D89"/>
    <w:rsid w:val="5DC655CC"/>
    <w:rsid w:val="5F776EED"/>
    <w:rsid w:val="605176D9"/>
    <w:rsid w:val="61690122"/>
    <w:rsid w:val="628B01FA"/>
    <w:rsid w:val="629B528C"/>
    <w:rsid w:val="632C6005"/>
    <w:rsid w:val="6350185E"/>
    <w:rsid w:val="63F828E6"/>
    <w:rsid w:val="644A0FDB"/>
    <w:rsid w:val="644A650D"/>
    <w:rsid w:val="64746C6E"/>
    <w:rsid w:val="64FF4C69"/>
    <w:rsid w:val="654D6460"/>
    <w:rsid w:val="65B125DC"/>
    <w:rsid w:val="6727446C"/>
    <w:rsid w:val="6760797E"/>
    <w:rsid w:val="67D00D17"/>
    <w:rsid w:val="690E43C7"/>
    <w:rsid w:val="694F496D"/>
    <w:rsid w:val="69BC4907"/>
    <w:rsid w:val="6AB57C02"/>
    <w:rsid w:val="6AE574EF"/>
    <w:rsid w:val="6AF7022D"/>
    <w:rsid w:val="6B27051F"/>
    <w:rsid w:val="6B753BDA"/>
    <w:rsid w:val="6B770841"/>
    <w:rsid w:val="6C967B81"/>
    <w:rsid w:val="6D281A14"/>
    <w:rsid w:val="6DD2481D"/>
    <w:rsid w:val="6E8A0C2B"/>
    <w:rsid w:val="6E9A1846"/>
    <w:rsid w:val="6EF60757"/>
    <w:rsid w:val="70312CEA"/>
    <w:rsid w:val="704472C3"/>
    <w:rsid w:val="70757340"/>
    <w:rsid w:val="70A61265"/>
    <w:rsid w:val="70D65591"/>
    <w:rsid w:val="70FA146A"/>
    <w:rsid w:val="710228B1"/>
    <w:rsid w:val="71666934"/>
    <w:rsid w:val="719C3B26"/>
    <w:rsid w:val="72FD7CE3"/>
    <w:rsid w:val="730163D3"/>
    <w:rsid w:val="730C62FF"/>
    <w:rsid w:val="73A7009A"/>
    <w:rsid w:val="73B95B2E"/>
    <w:rsid w:val="74130018"/>
    <w:rsid w:val="74D35BFF"/>
    <w:rsid w:val="75E07BEB"/>
    <w:rsid w:val="772C7988"/>
    <w:rsid w:val="77CE2BEC"/>
    <w:rsid w:val="78931FA4"/>
    <w:rsid w:val="78C65C7E"/>
    <w:rsid w:val="78CE2872"/>
    <w:rsid w:val="78DB44BD"/>
    <w:rsid w:val="794A3F62"/>
    <w:rsid w:val="7955062C"/>
    <w:rsid w:val="795C2ECE"/>
    <w:rsid w:val="7AC757F1"/>
    <w:rsid w:val="7B207CB9"/>
    <w:rsid w:val="7D700DB4"/>
    <w:rsid w:val="7ECA0929"/>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56207-3DD0-4153-9C8F-0D63332378C2}">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10</Pages>
  <Words>103</Words>
  <Characters>104</Characters>
  <Lines>40</Lines>
  <Paragraphs>11</Paragraphs>
  <TotalTime>1</TotalTime>
  <ScaleCrop>false</ScaleCrop>
  <LinksUpToDate>false</LinksUpToDate>
  <CharactersWithSpaces>104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闫中南</cp:lastModifiedBy>
  <cp:lastPrinted>2016-10-20T04:13:00Z</cp:lastPrinted>
  <dcterms:modified xsi:type="dcterms:W3CDTF">2024-11-03T17:00:30Z</dcterms:modified>
  <dc:title>标准名称</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C04ED5E833464E41A523C644C3AFBAC8_13</vt:lpwstr>
  </property>
</Properties>
</file>