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4B6" w:rsidRDefault="00E234B6">
      <w:pPr>
        <w:pStyle w:val="affff9"/>
        <w:jc w:val="center"/>
        <w:rPr>
          <w:rFonts w:ascii="黑体" w:eastAsia="黑体" w:hAnsi="黑体"/>
          <w:sz w:val="24"/>
          <w:szCs w:val="24"/>
        </w:rPr>
      </w:pPr>
      <w:bookmarkStart w:id="0" w:name="_Toc464728891"/>
      <w:bookmarkStart w:id="1" w:name="SectionMark4"/>
    </w:p>
    <w:p w:rsidR="00E234B6" w:rsidRDefault="00E234B6">
      <w:pPr>
        <w:pStyle w:val="affff9"/>
        <w:jc w:val="center"/>
        <w:rPr>
          <w:rFonts w:ascii="黑体" w:eastAsia="黑体" w:hAnsi="黑体"/>
          <w:sz w:val="24"/>
          <w:szCs w:val="24"/>
        </w:rPr>
      </w:pPr>
    </w:p>
    <w:p w:rsidR="00E234B6" w:rsidRDefault="00E234B6">
      <w:pPr>
        <w:pStyle w:val="affff9"/>
        <w:jc w:val="center"/>
        <w:rPr>
          <w:rFonts w:ascii="黑体" w:eastAsia="黑体" w:hAnsi="黑体"/>
          <w:sz w:val="24"/>
          <w:szCs w:val="24"/>
        </w:rPr>
      </w:pPr>
    </w:p>
    <w:p w:rsidR="00E234B6" w:rsidRDefault="00E234B6">
      <w:pPr>
        <w:pStyle w:val="affff9"/>
        <w:jc w:val="center"/>
        <w:rPr>
          <w:rFonts w:ascii="黑体" w:eastAsia="黑体" w:hAnsi="黑体"/>
          <w:sz w:val="24"/>
          <w:szCs w:val="24"/>
        </w:rPr>
      </w:pPr>
    </w:p>
    <w:p w:rsidR="00E234B6" w:rsidRDefault="00E234B6">
      <w:pPr>
        <w:pStyle w:val="affff9"/>
        <w:jc w:val="center"/>
        <w:rPr>
          <w:rFonts w:ascii="黑体" w:eastAsia="黑体" w:hAnsi="黑体"/>
          <w:sz w:val="24"/>
          <w:szCs w:val="24"/>
        </w:rPr>
      </w:pPr>
    </w:p>
    <w:p w:rsidR="00E234B6" w:rsidRDefault="00E234B6">
      <w:pPr>
        <w:pStyle w:val="affff9"/>
        <w:jc w:val="center"/>
        <w:rPr>
          <w:rFonts w:ascii="黑体" w:eastAsia="黑体" w:hAnsi="黑体"/>
          <w:sz w:val="24"/>
          <w:szCs w:val="24"/>
        </w:rPr>
      </w:pPr>
    </w:p>
    <w:p w:rsidR="00E234B6" w:rsidRDefault="00684862">
      <w:pPr>
        <w:pStyle w:val="affff9"/>
        <w:jc w:val="center"/>
        <w:rPr>
          <w:rFonts w:ascii="黑体" w:eastAsia="黑体" w:hAnsi="黑体"/>
          <w:sz w:val="24"/>
          <w:szCs w:val="24"/>
        </w:rPr>
      </w:pPr>
      <w:r>
        <w:rPr>
          <w:noProof/>
        </w:rPr>
        <mc:AlternateContent>
          <mc:Choice Requires="wps">
            <w:drawing>
              <wp:anchor distT="0" distB="0" distL="114300" distR="114300" simplePos="0" relativeHeight="251659264" behindDoc="0" locked="1" layoutInCell="1" allowOverlap="1">
                <wp:simplePos x="0" y="0"/>
                <wp:positionH relativeFrom="margin">
                  <wp:posOffset>66675</wp:posOffset>
                </wp:positionH>
                <wp:positionV relativeFrom="margin">
                  <wp:posOffset>1544955</wp:posOffset>
                </wp:positionV>
                <wp:extent cx="6120130" cy="2383790"/>
                <wp:effectExtent l="0" t="0" r="0" b="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rsidR="00E234B6" w:rsidRDefault="00684862">
                            <w:pPr>
                              <w:pStyle w:val="afffb"/>
                              <w:rPr>
                                <w:rFonts w:hAnsi="黑体" w:cs="黑体"/>
                                <w:sz w:val="44"/>
                                <w:szCs w:val="44"/>
                              </w:rPr>
                            </w:pPr>
                            <w:bookmarkStart w:id="2" w:name="_Hlk23687263"/>
                            <w:r>
                              <w:rPr>
                                <w:rFonts w:hAnsi="黑体" w:cs="黑体" w:hint="eastAsia"/>
                                <w:sz w:val="44"/>
                                <w:szCs w:val="44"/>
                              </w:rPr>
                              <w:t>JJF（有色金属）019-2023</w:t>
                            </w:r>
                          </w:p>
                          <w:bookmarkEnd w:id="2"/>
                          <w:p w:rsidR="00E234B6" w:rsidRDefault="00684862">
                            <w:pPr>
                              <w:pStyle w:val="afffb"/>
                              <w:rPr>
                                <w:rFonts w:hAnsi="黑体" w:cs="黑体"/>
                                <w:szCs w:val="52"/>
                              </w:rPr>
                            </w:pPr>
                            <w:r>
                              <w:rPr>
                                <w:rFonts w:hAnsi="黑体" w:cs="黑体" w:hint="eastAsia"/>
                                <w:szCs w:val="52"/>
                              </w:rPr>
                              <w:t>烷基</w:t>
                            </w:r>
                            <w:proofErr w:type="gramStart"/>
                            <w:r>
                              <w:rPr>
                                <w:rFonts w:hAnsi="黑体" w:cs="黑体" w:hint="eastAsia"/>
                                <w:szCs w:val="52"/>
                              </w:rPr>
                              <w:t>汞分析</w:t>
                            </w:r>
                            <w:proofErr w:type="gramEnd"/>
                            <w:r>
                              <w:rPr>
                                <w:rFonts w:hAnsi="黑体" w:cs="黑体" w:hint="eastAsia"/>
                                <w:szCs w:val="52"/>
                              </w:rPr>
                              <w:t>仪校准规范</w:t>
                            </w:r>
                          </w:p>
                          <w:p w:rsidR="00E234B6" w:rsidRDefault="00684862">
                            <w:pPr>
                              <w:jc w:val="center"/>
                              <w:rPr>
                                <w:rFonts w:ascii="黑体" w:eastAsia="黑体" w:hAnsi="黑体" w:cs="黑体"/>
                                <w:sz w:val="44"/>
                                <w:szCs w:val="44"/>
                              </w:rPr>
                            </w:pPr>
                            <w:r>
                              <w:rPr>
                                <w:rFonts w:ascii="黑体" w:eastAsia="黑体" w:hAnsi="黑体" w:cs="黑体" w:hint="eastAsia"/>
                                <w:sz w:val="44"/>
                                <w:szCs w:val="44"/>
                              </w:rPr>
                              <w:t>(编制说明)</w:t>
                            </w:r>
                          </w:p>
                        </w:txbxContent>
                      </wps:txbx>
                      <wps:bodyPr lIns="0" tIns="0" rIns="0" bIns="0" upright="1"/>
                    </wps:wsp>
                  </a:graphicData>
                </a:graphic>
              </wp:anchor>
            </w:drawing>
          </mc:Choice>
          <mc:Fallback>
            <w:pict>
              <v:rect id="文本框 4" o:spid="_x0000_s1026" style="position:absolute;left:0;text-align:left;margin-left:5.25pt;margin-top:121.65pt;width:481.9pt;height:187.7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" stroked="f">
                <v:textbox inset="0,0,0,0">
                  <w:txbxContent>
                    <w:p w:rsidR="00E234B6" w:rsidRDefault="00684862">
                      <w:pPr>
                        <w:pStyle w:val="afffb"/>
                        <w:rPr>
                          <w:rFonts w:hAnsi="黑体" w:cs="黑体"/>
                          <w:sz w:val="44"/>
                          <w:szCs w:val="44"/>
                        </w:rPr>
                      </w:pPr>
                      <w:bookmarkStart w:id="3" w:name="_Hlk23687263"/>
                      <w:r>
                        <w:rPr>
                          <w:rFonts w:hAnsi="黑体" w:cs="黑体" w:hint="eastAsia"/>
                          <w:sz w:val="44"/>
                          <w:szCs w:val="44"/>
                        </w:rPr>
                        <w:t>JJF（有色金属）019-2023</w:t>
                      </w:r>
                    </w:p>
                    <w:bookmarkEnd w:id="3"/>
                    <w:p w:rsidR="00E234B6" w:rsidRDefault="00684862">
                      <w:pPr>
                        <w:pStyle w:val="afffb"/>
                        <w:rPr>
                          <w:rFonts w:hAnsi="黑体" w:cs="黑体"/>
                          <w:szCs w:val="52"/>
                        </w:rPr>
                      </w:pPr>
                      <w:r>
                        <w:rPr>
                          <w:rFonts w:hAnsi="黑体" w:cs="黑体" w:hint="eastAsia"/>
                          <w:szCs w:val="52"/>
                        </w:rPr>
                        <w:t>烷基</w:t>
                      </w:r>
                      <w:proofErr w:type="gramStart"/>
                      <w:r>
                        <w:rPr>
                          <w:rFonts w:hAnsi="黑体" w:cs="黑体" w:hint="eastAsia"/>
                          <w:szCs w:val="52"/>
                        </w:rPr>
                        <w:t>汞分析</w:t>
                      </w:r>
                      <w:proofErr w:type="gramEnd"/>
                      <w:r>
                        <w:rPr>
                          <w:rFonts w:hAnsi="黑体" w:cs="黑体" w:hint="eastAsia"/>
                          <w:szCs w:val="52"/>
                        </w:rPr>
                        <w:t>仪校准规范</w:t>
                      </w:r>
                    </w:p>
                    <w:p w:rsidR="00E234B6" w:rsidRDefault="00684862">
                      <w:pPr>
                        <w:jc w:val="center"/>
                        <w:rPr>
                          <w:rFonts w:ascii="黑体" w:eastAsia="黑体" w:hAnsi="黑体" w:cs="黑体"/>
                          <w:sz w:val="44"/>
                          <w:szCs w:val="44"/>
                        </w:rPr>
                      </w:pPr>
                      <w:r>
                        <w:rPr>
                          <w:rFonts w:ascii="黑体" w:eastAsia="黑体" w:hAnsi="黑体" w:cs="黑体" w:hint="eastAsia"/>
                          <w:sz w:val="44"/>
                          <w:szCs w:val="44"/>
                        </w:rPr>
                        <w:t>(编制说明)</w:t>
                      </w:r>
                    </w:p>
                  </w:txbxContent>
                </v:textbox>
                <w10:wrap anchorx="margin" anchory="margin"/>
                <w10:anchorlock/>
              </v:rect>
            </w:pict>
          </mc:Fallback>
        </mc:AlternateContent>
      </w:r>
    </w:p>
    <w:p w:rsidR="00E234B6" w:rsidRDefault="00E234B6">
      <w:pPr>
        <w:pStyle w:val="affff9"/>
        <w:jc w:val="center"/>
        <w:rPr>
          <w:rFonts w:ascii="黑体" w:eastAsia="黑体" w:hAnsi="黑体"/>
          <w:sz w:val="24"/>
          <w:szCs w:val="24"/>
        </w:rPr>
      </w:pPr>
    </w:p>
    <w:p w:rsidR="00E234B6" w:rsidRDefault="00E234B6">
      <w:pPr>
        <w:pStyle w:val="affff9"/>
        <w:jc w:val="center"/>
        <w:rPr>
          <w:rFonts w:ascii="黑体" w:eastAsia="黑体" w:hAnsi="黑体"/>
          <w:sz w:val="24"/>
          <w:szCs w:val="24"/>
        </w:rPr>
      </w:pPr>
    </w:p>
    <w:p w:rsidR="00E234B6" w:rsidRDefault="00E234B6">
      <w:pPr>
        <w:pStyle w:val="affff9"/>
        <w:jc w:val="center"/>
        <w:rPr>
          <w:rFonts w:ascii="黑体" w:eastAsia="黑体" w:hAnsi="黑体"/>
          <w:sz w:val="24"/>
          <w:szCs w:val="24"/>
        </w:rPr>
      </w:pPr>
    </w:p>
    <w:p w:rsidR="00E234B6" w:rsidRDefault="00E234B6">
      <w:pPr>
        <w:pStyle w:val="affff9"/>
        <w:jc w:val="center"/>
        <w:rPr>
          <w:rFonts w:ascii="黑体" w:eastAsia="黑体" w:hAnsi="黑体"/>
          <w:sz w:val="24"/>
          <w:szCs w:val="24"/>
        </w:rPr>
      </w:pPr>
    </w:p>
    <w:p w:rsidR="00E234B6" w:rsidRDefault="00E234B6">
      <w:pPr>
        <w:pStyle w:val="affff9"/>
        <w:jc w:val="center"/>
        <w:rPr>
          <w:rFonts w:ascii="黑体" w:eastAsia="黑体" w:hAnsi="黑体"/>
          <w:sz w:val="24"/>
          <w:szCs w:val="24"/>
        </w:rPr>
      </w:pPr>
    </w:p>
    <w:p w:rsidR="00E234B6" w:rsidRDefault="00E234B6">
      <w:pPr>
        <w:pStyle w:val="affff9"/>
        <w:jc w:val="center"/>
        <w:rPr>
          <w:rFonts w:ascii="黑体" w:eastAsia="黑体" w:hAnsi="黑体"/>
          <w:sz w:val="24"/>
          <w:szCs w:val="24"/>
        </w:rPr>
      </w:pPr>
    </w:p>
    <w:p w:rsidR="00E234B6" w:rsidRDefault="00E234B6">
      <w:pPr>
        <w:pStyle w:val="affff9"/>
        <w:jc w:val="center"/>
        <w:rPr>
          <w:rFonts w:ascii="黑体" w:eastAsia="黑体" w:hAnsi="黑体"/>
          <w:sz w:val="24"/>
          <w:szCs w:val="24"/>
        </w:rPr>
      </w:pPr>
    </w:p>
    <w:p w:rsidR="00E234B6" w:rsidRDefault="00E234B6">
      <w:pPr>
        <w:pStyle w:val="affff9"/>
        <w:jc w:val="center"/>
        <w:rPr>
          <w:rFonts w:ascii="黑体" w:eastAsia="黑体" w:hAnsi="黑体"/>
          <w:sz w:val="24"/>
          <w:szCs w:val="24"/>
        </w:rPr>
      </w:pPr>
    </w:p>
    <w:p w:rsidR="00E234B6" w:rsidRDefault="00E234B6">
      <w:pPr>
        <w:pStyle w:val="affff9"/>
        <w:jc w:val="center"/>
        <w:rPr>
          <w:rFonts w:ascii="黑体" w:eastAsia="黑体" w:hAnsi="黑体"/>
          <w:sz w:val="24"/>
          <w:szCs w:val="24"/>
        </w:rPr>
      </w:pPr>
    </w:p>
    <w:p w:rsidR="00E234B6" w:rsidRDefault="00E234B6">
      <w:pPr>
        <w:pStyle w:val="affff9"/>
        <w:jc w:val="center"/>
        <w:rPr>
          <w:rFonts w:ascii="黑体" w:eastAsia="黑体" w:hAnsi="黑体"/>
          <w:sz w:val="24"/>
          <w:szCs w:val="24"/>
        </w:rPr>
      </w:pPr>
    </w:p>
    <w:p w:rsidR="00E234B6" w:rsidRDefault="00E234B6">
      <w:pPr>
        <w:pStyle w:val="affff9"/>
        <w:jc w:val="center"/>
        <w:rPr>
          <w:rFonts w:ascii="黑体" w:eastAsia="黑体" w:hAnsi="黑体"/>
          <w:sz w:val="24"/>
          <w:szCs w:val="24"/>
        </w:rPr>
      </w:pPr>
    </w:p>
    <w:p w:rsidR="00E234B6" w:rsidRDefault="00E234B6">
      <w:pPr>
        <w:pStyle w:val="affff9"/>
        <w:jc w:val="center"/>
        <w:rPr>
          <w:rFonts w:ascii="黑体" w:eastAsia="黑体" w:hAnsi="黑体"/>
          <w:sz w:val="24"/>
          <w:szCs w:val="24"/>
        </w:rPr>
      </w:pPr>
    </w:p>
    <w:p w:rsidR="00E234B6" w:rsidRDefault="00E234B6">
      <w:pPr>
        <w:pStyle w:val="affff9"/>
        <w:jc w:val="center"/>
        <w:rPr>
          <w:rFonts w:ascii="黑体" w:eastAsia="黑体" w:hAnsi="黑体"/>
          <w:sz w:val="24"/>
          <w:szCs w:val="24"/>
        </w:rPr>
      </w:pPr>
    </w:p>
    <w:p w:rsidR="00E234B6" w:rsidRDefault="00E234B6">
      <w:pPr>
        <w:pStyle w:val="affff9"/>
        <w:jc w:val="center"/>
        <w:rPr>
          <w:rFonts w:ascii="黑体" w:eastAsia="黑体" w:hAnsi="黑体"/>
          <w:sz w:val="24"/>
          <w:szCs w:val="24"/>
        </w:rPr>
      </w:pPr>
    </w:p>
    <w:p w:rsidR="00E234B6" w:rsidRDefault="00E234B6">
      <w:pPr>
        <w:pStyle w:val="affff9"/>
        <w:jc w:val="center"/>
        <w:rPr>
          <w:rFonts w:ascii="黑体" w:eastAsia="黑体" w:hAnsi="黑体"/>
          <w:sz w:val="24"/>
          <w:szCs w:val="24"/>
        </w:rPr>
      </w:pPr>
    </w:p>
    <w:p w:rsidR="00E234B6" w:rsidRDefault="00E234B6">
      <w:pPr>
        <w:pStyle w:val="affff9"/>
        <w:jc w:val="center"/>
        <w:rPr>
          <w:rFonts w:ascii="黑体" w:eastAsia="黑体" w:hAnsi="黑体"/>
          <w:sz w:val="24"/>
          <w:szCs w:val="24"/>
        </w:rPr>
      </w:pPr>
    </w:p>
    <w:p w:rsidR="00E234B6" w:rsidRDefault="00684862">
      <w:pPr>
        <w:pStyle w:val="affff9"/>
        <w:jc w:val="center"/>
        <w:rPr>
          <w:rFonts w:ascii="黑体" w:eastAsia="黑体" w:hAnsi="黑体"/>
          <w:sz w:val="24"/>
          <w:szCs w:val="24"/>
        </w:rPr>
      </w:pPr>
      <w:r>
        <w:rPr>
          <w:noProof/>
        </w:rPr>
        <mc:AlternateContent>
          <mc:Choice Requires="wps">
            <w:drawing>
              <wp:anchor distT="0" distB="0" distL="114300" distR="114300" simplePos="0" relativeHeight="251660288" behindDoc="0" locked="1" layoutInCell="1" allowOverlap="1">
                <wp:simplePos x="0" y="0"/>
                <wp:positionH relativeFrom="margin">
                  <wp:posOffset>153670</wp:posOffset>
                </wp:positionH>
                <wp:positionV relativeFrom="margin">
                  <wp:posOffset>4848860</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rsidR="00E234B6" w:rsidRDefault="00A230C1">
                            <w:pPr>
                              <w:pStyle w:val="afff6"/>
                              <w:spacing w:before="600"/>
                              <w:rPr>
                                <w:rFonts w:ascii="黑体" w:eastAsia="黑体" w:hAnsi="黑体"/>
                                <w:sz w:val="36"/>
                                <w:szCs w:val="36"/>
                              </w:rPr>
                            </w:pPr>
                            <w:r>
                              <w:rPr>
                                <w:rFonts w:ascii="黑体" w:eastAsia="黑体" w:hAnsi="黑体" w:hint="eastAsia"/>
                                <w:sz w:val="36"/>
                                <w:szCs w:val="36"/>
                              </w:rPr>
                              <w:t>审定</w:t>
                            </w:r>
                            <w:r w:rsidR="00684862">
                              <w:rPr>
                                <w:rFonts w:ascii="黑体" w:eastAsia="黑体" w:hAnsi="黑体" w:hint="eastAsia"/>
                                <w:sz w:val="36"/>
                                <w:szCs w:val="36"/>
                              </w:rPr>
                              <w:t>稿</w:t>
                            </w:r>
                          </w:p>
                          <w:p w:rsidR="00E234B6" w:rsidRDefault="00684862">
                            <w:pPr>
                              <w:pStyle w:val="afff6"/>
                              <w:spacing w:before="600"/>
                              <w:rPr>
                                <w:rFonts w:ascii="黑体" w:eastAsia="黑体" w:hAnsi="黑体"/>
                                <w:sz w:val="36"/>
                                <w:szCs w:val="36"/>
                              </w:rPr>
                            </w:pPr>
                            <w:r>
                              <w:rPr>
                                <w:rFonts w:ascii="黑体" w:eastAsia="黑体" w:hAnsi="黑体" w:hint="eastAsia"/>
                                <w:sz w:val="36"/>
                                <w:szCs w:val="36"/>
                              </w:rPr>
                              <w:t>20</w:t>
                            </w:r>
                            <w:r>
                              <w:rPr>
                                <w:rFonts w:ascii="黑体" w:eastAsia="黑体" w:hAnsi="黑体"/>
                                <w:sz w:val="36"/>
                                <w:szCs w:val="36"/>
                              </w:rPr>
                              <w:t>2</w:t>
                            </w:r>
                            <w:r>
                              <w:rPr>
                                <w:rFonts w:ascii="黑体" w:eastAsia="黑体" w:hAnsi="黑体" w:hint="eastAsia"/>
                                <w:sz w:val="36"/>
                                <w:szCs w:val="36"/>
                              </w:rPr>
                              <w:t>4-</w:t>
                            </w:r>
                            <w:r w:rsidR="00A230C1">
                              <w:rPr>
                                <w:rFonts w:ascii="黑体" w:eastAsia="黑体" w:hAnsi="黑体" w:hint="eastAsia"/>
                                <w:sz w:val="36"/>
                                <w:szCs w:val="36"/>
                              </w:rPr>
                              <w:t>11</w:t>
                            </w:r>
                          </w:p>
                        </w:txbxContent>
                      </wps:txbx>
                      <wps:bodyPr lIns="0" tIns="0" rIns="0" bIns="0" upright="1"/>
                    </wps:wsp>
                  </a:graphicData>
                </a:graphic>
              </wp:anchor>
            </w:drawing>
          </mc:Choice>
          <mc:Fallback>
            <w:pict>
              <v:rect id="文本框 5" o:spid="_x0000_s1027" style="position:absolute;left:0;text-align:left;margin-left:12.1pt;margin-top:381.8pt;width:470pt;height:140.1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" stroked="f">
                <v:textbox inset="0,0,0,0">
                  <w:txbxContent>
                    <w:p w:rsidR="00E234B6" w:rsidRDefault="00A230C1">
                      <w:pPr>
                        <w:pStyle w:val="afff6"/>
                        <w:spacing w:before="600"/>
                        <w:rPr>
                          <w:rFonts w:ascii="黑体" w:eastAsia="黑体" w:hAnsi="黑体"/>
                          <w:sz w:val="36"/>
                          <w:szCs w:val="36"/>
                        </w:rPr>
                      </w:pPr>
                      <w:r>
                        <w:rPr>
                          <w:rFonts w:ascii="黑体" w:eastAsia="黑体" w:hAnsi="黑体" w:hint="eastAsia"/>
                          <w:sz w:val="36"/>
                          <w:szCs w:val="36"/>
                        </w:rPr>
                        <w:t>审定</w:t>
                      </w:r>
                      <w:r w:rsidR="00684862">
                        <w:rPr>
                          <w:rFonts w:ascii="黑体" w:eastAsia="黑体" w:hAnsi="黑体" w:hint="eastAsia"/>
                          <w:sz w:val="36"/>
                          <w:szCs w:val="36"/>
                        </w:rPr>
                        <w:t>稿</w:t>
                      </w:r>
                    </w:p>
                    <w:p w:rsidR="00E234B6" w:rsidRDefault="00684862">
                      <w:pPr>
                        <w:pStyle w:val="afff6"/>
                        <w:spacing w:before="600"/>
                        <w:rPr>
                          <w:rFonts w:ascii="黑体" w:eastAsia="黑体" w:hAnsi="黑体"/>
                          <w:sz w:val="36"/>
                          <w:szCs w:val="36"/>
                        </w:rPr>
                      </w:pPr>
                      <w:r>
                        <w:rPr>
                          <w:rFonts w:ascii="黑体" w:eastAsia="黑体" w:hAnsi="黑体" w:hint="eastAsia"/>
                          <w:sz w:val="36"/>
                          <w:szCs w:val="36"/>
                        </w:rPr>
                        <w:t>20</w:t>
                      </w:r>
                      <w:r>
                        <w:rPr>
                          <w:rFonts w:ascii="黑体" w:eastAsia="黑体" w:hAnsi="黑体"/>
                          <w:sz w:val="36"/>
                          <w:szCs w:val="36"/>
                        </w:rPr>
                        <w:t>2</w:t>
                      </w:r>
                      <w:r>
                        <w:rPr>
                          <w:rFonts w:ascii="黑体" w:eastAsia="黑体" w:hAnsi="黑体" w:hint="eastAsia"/>
                          <w:sz w:val="36"/>
                          <w:szCs w:val="36"/>
                        </w:rPr>
                        <w:t>4-</w:t>
                      </w:r>
                      <w:r w:rsidR="00A230C1">
                        <w:rPr>
                          <w:rFonts w:ascii="黑体" w:eastAsia="黑体" w:hAnsi="黑体" w:hint="eastAsia"/>
                          <w:sz w:val="36"/>
                          <w:szCs w:val="36"/>
                        </w:rPr>
                        <w:t>11</w:t>
                      </w:r>
                    </w:p>
                  </w:txbxContent>
                </v:textbox>
                <w10:wrap anchorx="margin" anchory="margin"/>
                <w10:anchorlock/>
              </v:rect>
            </w:pict>
          </mc:Fallback>
        </mc:AlternateContent>
      </w:r>
    </w:p>
    <w:p w:rsidR="00E234B6" w:rsidRDefault="00E234B6">
      <w:pPr>
        <w:pStyle w:val="affff9"/>
        <w:jc w:val="center"/>
        <w:rPr>
          <w:rFonts w:ascii="黑体" w:eastAsia="黑体" w:hAnsi="黑体"/>
          <w:sz w:val="24"/>
          <w:szCs w:val="24"/>
        </w:rPr>
      </w:pPr>
    </w:p>
    <w:p w:rsidR="00E234B6" w:rsidRDefault="00E234B6">
      <w:pPr>
        <w:pStyle w:val="affff9"/>
        <w:jc w:val="center"/>
        <w:rPr>
          <w:rFonts w:ascii="黑体" w:eastAsia="黑体" w:hAnsi="黑体"/>
          <w:sz w:val="24"/>
          <w:szCs w:val="24"/>
        </w:rPr>
      </w:pPr>
    </w:p>
    <w:p w:rsidR="00E234B6" w:rsidRDefault="00E234B6">
      <w:pPr>
        <w:pStyle w:val="affff9"/>
        <w:jc w:val="center"/>
        <w:rPr>
          <w:rFonts w:ascii="黑体" w:eastAsia="黑体" w:hAnsi="黑体"/>
          <w:sz w:val="24"/>
          <w:szCs w:val="24"/>
        </w:rPr>
      </w:pPr>
    </w:p>
    <w:p w:rsidR="00E234B6" w:rsidRDefault="00E234B6">
      <w:pPr>
        <w:pStyle w:val="affff9"/>
        <w:jc w:val="center"/>
        <w:rPr>
          <w:rFonts w:ascii="黑体" w:eastAsia="黑体" w:hAnsi="黑体"/>
          <w:sz w:val="24"/>
          <w:szCs w:val="24"/>
        </w:rPr>
      </w:pPr>
    </w:p>
    <w:p w:rsidR="00E234B6" w:rsidRDefault="00E234B6">
      <w:pPr>
        <w:pStyle w:val="affff9"/>
        <w:jc w:val="center"/>
        <w:rPr>
          <w:rFonts w:ascii="黑体" w:eastAsia="黑体" w:hAnsi="黑体"/>
          <w:sz w:val="24"/>
          <w:szCs w:val="24"/>
        </w:rPr>
      </w:pPr>
    </w:p>
    <w:p w:rsidR="00E234B6" w:rsidRDefault="00E234B6">
      <w:pPr>
        <w:pStyle w:val="affff9"/>
        <w:jc w:val="center"/>
        <w:rPr>
          <w:rFonts w:ascii="黑体" w:eastAsia="黑体" w:hAnsi="黑体"/>
          <w:sz w:val="24"/>
          <w:szCs w:val="24"/>
        </w:rPr>
      </w:pPr>
    </w:p>
    <w:p w:rsidR="00E234B6" w:rsidRDefault="00E234B6">
      <w:pPr>
        <w:pStyle w:val="affff9"/>
        <w:jc w:val="center"/>
        <w:rPr>
          <w:rFonts w:ascii="黑体" w:eastAsia="黑体" w:hAnsi="黑体"/>
          <w:sz w:val="24"/>
          <w:szCs w:val="24"/>
        </w:rPr>
      </w:pPr>
    </w:p>
    <w:p w:rsidR="00E234B6" w:rsidRDefault="00E234B6">
      <w:pPr>
        <w:pStyle w:val="affff9"/>
        <w:jc w:val="center"/>
        <w:rPr>
          <w:rFonts w:ascii="黑体" w:eastAsia="黑体" w:hAnsi="黑体"/>
          <w:sz w:val="24"/>
          <w:szCs w:val="24"/>
        </w:rPr>
      </w:pPr>
    </w:p>
    <w:p w:rsidR="00E234B6" w:rsidRDefault="00E234B6">
      <w:pPr>
        <w:pStyle w:val="affff9"/>
        <w:jc w:val="center"/>
        <w:rPr>
          <w:rFonts w:ascii="黑体" w:eastAsia="黑体" w:hAnsi="黑体"/>
          <w:sz w:val="24"/>
          <w:szCs w:val="24"/>
        </w:rPr>
      </w:pPr>
    </w:p>
    <w:p w:rsidR="00E234B6" w:rsidRDefault="00E234B6">
      <w:pPr>
        <w:pStyle w:val="affff9"/>
        <w:jc w:val="center"/>
        <w:rPr>
          <w:rFonts w:ascii="黑体" w:eastAsia="黑体" w:hAnsi="黑体"/>
          <w:sz w:val="24"/>
          <w:szCs w:val="24"/>
        </w:rPr>
      </w:pPr>
    </w:p>
    <w:p w:rsidR="00E234B6" w:rsidRDefault="00E234B6">
      <w:pPr>
        <w:pStyle w:val="affff9"/>
        <w:jc w:val="center"/>
        <w:rPr>
          <w:rFonts w:ascii="黑体" w:eastAsia="黑体" w:hAnsi="黑体"/>
          <w:sz w:val="24"/>
          <w:szCs w:val="24"/>
        </w:rPr>
      </w:pPr>
    </w:p>
    <w:p w:rsidR="00E234B6" w:rsidRDefault="00E234B6">
      <w:pPr>
        <w:pStyle w:val="affff9"/>
        <w:jc w:val="center"/>
        <w:rPr>
          <w:rFonts w:ascii="黑体" w:eastAsia="黑体" w:hAnsi="黑体"/>
          <w:sz w:val="24"/>
          <w:szCs w:val="24"/>
        </w:rPr>
      </w:pPr>
    </w:p>
    <w:p w:rsidR="00E234B6" w:rsidRDefault="00E234B6">
      <w:pPr>
        <w:pStyle w:val="affff9"/>
        <w:jc w:val="center"/>
        <w:rPr>
          <w:rFonts w:ascii="黑体" w:eastAsia="黑体" w:hAnsi="黑体"/>
          <w:sz w:val="24"/>
          <w:szCs w:val="24"/>
        </w:rPr>
      </w:pPr>
    </w:p>
    <w:p w:rsidR="00E234B6" w:rsidRDefault="00684862">
      <w:pPr>
        <w:pStyle w:val="affff9"/>
        <w:jc w:val="center"/>
        <w:rPr>
          <w:rFonts w:ascii="黑体" w:eastAsia="黑体" w:hAnsi="黑体"/>
          <w:sz w:val="24"/>
          <w:szCs w:val="24"/>
        </w:rPr>
      </w:pPr>
      <w:r>
        <w:rPr>
          <w:noProof/>
        </w:rPr>
        <mc:AlternateContent>
          <mc:Choice Requires="wps">
            <w:drawing>
              <wp:anchor distT="0" distB="0" distL="114300" distR="114300" simplePos="0" relativeHeight="251661312" behindDoc="0" locked="1" layoutInCell="1" allowOverlap="1">
                <wp:simplePos x="0" y="0"/>
                <wp:positionH relativeFrom="margin">
                  <wp:posOffset>144145</wp:posOffset>
                </wp:positionH>
                <wp:positionV relativeFrom="margin">
                  <wp:posOffset>7559040</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rsidR="00E234B6" w:rsidRDefault="00E234B6">
                            <w:pPr>
                              <w:pStyle w:val="afffb"/>
                              <w:rPr>
                                <w:rFonts w:ascii="宋体" w:eastAsia="宋体" w:hAnsi="宋体" w:cs="宋体"/>
                                <w:spacing w:val="58"/>
                                <w:w w:val="120"/>
                                <w:kern w:val="2"/>
                                <w:sz w:val="28"/>
                                <w:szCs w:val="28"/>
                              </w:rPr>
                            </w:pPr>
                          </w:p>
                          <w:p w:rsidR="00E234B6" w:rsidRDefault="00684862">
                            <w:pPr>
                              <w:jc w:val="center"/>
                              <w:rPr>
                                <w:rFonts w:ascii="宋体" w:hAnsi="宋体" w:cs="宋体"/>
                                <w:spacing w:val="58"/>
                                <w:w w:val="120"/>
                                <w:sz w:val="28"/>
                                <w:szCs w:val="28"/>
                              </w:rPr>
                            </w:pPr>
                            <w:r>
                              <w:rPr>
                                <w:rFonts w:ascii="宋体" w:hAnsi="宋体" w:cs="宋体" w:hint="eastAsia"/>
                                <w:spacing w:val="58"/>
                                <w:w w:val="120"/>
                                <w:sz w:val="28"/>
                                <w:szCs w:val="28"/>
                              </w:rPr>
                              <w:t>烷基</w:t>
                            </w:r>
                            <w:proofErr w:type="gramStart"/>
                            <w:r>
                              <w:rPr>
                                <w:rFonts w:ascii="宋体" w:hAnsi="宋体" w:cs="宋体" w:hint="eastAsia"/>
                                <w:spacing w:val="58"/>
                                <w:w w:val="120"/>
                                <w:sz w:val="28"/>
                                <w:szCs w:val="28"/>
                              </w:rPr>
                              <w:t>汞分析</w:t>
                            </w:r>
                            <w:proofErr w:type="gramEnd"/>
                            <w:r>
                              <w:rPr>
                                <w:rFonts w:ascii="宋体" w:hAnsi="宋体" w:cs="宋体" w:hint="eastAsia"/>
                                <w:spacing w:val="58"/>
                                <w:w w:val="120"/>
                                <w:sz w:val="28"/>
                                <w:szCs w:val="28"/>
                              </w:rPr>
                              <w:t>仪校准规范</w:t>
                            </w:r>
                          </w:p>
                          <w:p w:rsidR="00E234B6" w:rsidRDefault="00684862">
                            <w:pPr>
                              <w:jc w:val="center"/>
                              <w:rPr>
                                <w:rFonts w:ascii="宋体" w:hAnsi="宋体" w:cs="宋体"/>
                                <w:sz w:val="28"/>
                                <w:szCs w:val="28"/>
                              </w:rPr>
                            </w:pPr>
                            <w:r>
                              <w:rPr>
                                <w:rFonts w:ascii="宋体" w:hAnsi="宋体" w:cs="宋体" w:hint="eastAsia"/>
                                <w:spacing w:val="58"/>
                                <w:w w:val="120"/>
                                <w:sz w:val="28"/>
                                <w:szCs w:val="28"/>
                              </w:rPr>
                              <w:t>编制组</w:t>
                            </w:r>
                          </w:p>
                          <w:p w:rsidR="00E234B6" w:rsidRDefault="00684862">
                            <w:pPr>
                              <w:pStyle w:val="afffff1"/>
                              <w:rPr>
                                <w:rFonts w:ascii="宋体" w:eastAsia="宋体" w:hAnsi="宋体" w:cs="宋体"/>
                                <w:sz w:val="28"/>
                                <w:szCs w:val="28"/>
                              </w:rPr>
                            </w:pPr>
                            <w:r>
                              <w:rPr>
                                <w:rFonts w:ascii="宋体" w:eastAsia="宋体" w:hAnsi="宋体" w:cs="宋体" w:hint="eastAsia"/>
                                <w:sz w:val="28"/>
                                <w:szCs w:val="28"/>
                              </w:rPr>
                              <w:t>主编单位：西安汉唐分析检测有限公司公司</w:t>
                            </w:r>
                          </w:p>
                        </w:txbxContent>
                      </wps:txbx>
                      <wps:bodyPr lIns="0" tIns="0" rIns="0" bIns="0" upright="1"/>
                    </wps:wsp>
                  </a:graphicData>
                </a:graphic>
              </wp:anchor>
            </w:drawing>
          </mc:Choice>
          <mc:Fallback>
            <w:pict>
              <v:rect id="fmFrame7" o:spid="_x0000_s1028" style="position:absolute;left:0;text-align:left;margin-left:11.35pt;margin-top:595.2pt;width:481.9pt;height:121.6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" stroked="f">
                <v:textbox inset="0,0,0,0">
                  <w:txbxContent>
                    <w:p w:rsidR="00E234B6" w:rsidRDefault="00E234B6">
                      <w:pPr>
                        <w:pStyle w:val="afffb"/>
                        <w:rPr>
                          <w:rFonts w:ascii="宋体" w:eastAsia="宋体" w:hAnsi="宋体" w:cs="宋体"/>
                          <w:spacing w:val="58"/>
                          <w:w w:val="120"/>
                          <w:kern w:val="2"/>
                          <w:sz w:val="28"/>
                          <w:szCs w:val="28"/>
                        </w:rPr>
                      </w:pPr>
                    </w:p>
                    <w:p w:rsidR="00E234B6" w:rsidRDefault="00684862">
                      <w:pPr>
                        <w:jc w:val="center"/>
                        <w:rPr>
                          <w:rFonts w:ascii="宋体" w:hAnsi="宋体" w:cs="宋体"/>
                          <w:spacing w:val="58"/>
                          <w:w w:val="120"/>
                          <w:sz w:val="28"/>
                          <w:szCs w:val="28"/>
                        </w:rPr>
                      </w:pPr>
                      <w:r>
                        <w:rPr>
                          <w:rFonts w:ascii="宋体" w:hAnsi="宋体" w:cs="宋体" w:hint="eastAsia"/>
                          <w:spacing w:val="58"/>
                          <w:w w:val="120"/>
                          <w:sz w:val="28"/>
                          <w:szCs w:val="28"/>
                        </w:rPr>
                        <w:t>烷基</w:t>
                      </w:r>
                      <w:proofErr w:type="gramStart"/>
                      <w:r>
                        <w:rPr>
                          <w:rFonts w:ascii="宋体" w:hAnsi="宋体" w:cs="宋体" w:hint="eastAsia"/>
                          <w:spacing w:val="58"/>
                          <w:w w:val="120"/>
                          <w:sz w:val="28"/>
                          <w:szCs w:val="28"/>
                        </w:rPr>
                        <w:t>汞分析</w:t>
                      </w:r>
                      <w:proofErr w:type="gramEnd"/>
                      <w:r>
                        <w:rPr>
                          <w:rFonts w:ascii="宋体" w:hAnsi="宋体" w:cs="宋体" w:hint="eastAsia"/>
                          <w:spacing w:val="58"/>
                          <w:w w:val="120"/>
                          <w:sz w:val="28"/>
                          <w:szCs w:val="28"/>
                        </w:rPr>
                        <w:t>仪校准规范</w:t>
                      </w:r>
                    </w:p>
                    <w:p w:rsidR="00E234B6" w:rsidRDefault="00684862">
                      <w:pPr>
                        <w:jc w:val="center"/>
                        <w:rPr>
                          <w:rFonts w:ascii="宋体" w:hAnsi="宋体" w:cs="宋体"/>
                          <w:sz w:val="28"/>
                          <w:szCs w:val="28"/>
                        </w:rPr>
                      </w:pPr>
                      <w:r>
                        <w:rPr>
                          <w:rFonts w:ascii="宋体" w:hAnsi="宋体" w:cs="宋体" w:hint="eastAsia"/>
                          <w:spacing w:val="58"/>
                          <w:w w:val="120"/>
                          <w:sz w:val="28"/>
                          <w:szCs w:val="28"/>
                        </w:rPr>
                        <w:t>编制组</w:t>
                      </w:r>
                    </w:p>
                    <w:p w:rsidR="00E234B6" w:rsidRDefault="00684862">
                      <w:pPr>
                        <w:pStyle w:val="afffff1"/>
                        <w:rPr>
                          <w:rFonts w:ascii="宋体" w:eastAsia="宋体" w:hAnsi="宋体" w:cs="宋体"/>
                          <w:sz w:val="28"/>
                          <w:szCs w:val="28"/>
                        </w:rPr>
                      </w:pPr>
                      <w:r>
                        <w:rPr>
                          <w:rFonts w:ascii="宋体" w:eastAsia="宋体" w:hAnsi="宋体" w:cs="宋体" w:hint="eastAsia"/>
                          <w:sz w:val="28"/>
                          <w:szCs w:val="28"/>
                        </w:rPr>
                        <w:t>主编单位：西安汉唐分析检测有限公司公司</w:t>
                      </w:r>
                    </w:p>
                  </w:txbxContent>
                </v:textbox>
                <w10:wrap anchorx="margin" anchory="margin"/>
                <w10:anchorlock/>
              </v:rect>
            </w:pict>
          </mc:Fallback>
        </mc:AlternateContent>
      </w:r>
    </w:p>
    <w:p w:rsidR="00E234B6" w:rsidRDefault="00E234B6">
      <w:pPr>
        <w:pStyle w:val="affff9"/>
        <w:jc w:val="center"/>
        <w:rPr>
          <w:rFonts w:ascii="黑体" w:eastAsia="黑体" w:hAnsi="黑体"/>
          <w:sz w:val="24"/>
          <w:szCs w:val="24"/>
        </w:rPr>
      </w:pPr>
    </w:p>
    <w:p w:rsidR="00E234B6" w:rsidRDefault="00E234B6">
      <w:pPr>
        <w:pStyle w:val="affff9"/>
        <w:jc w:val="center"/>
        <w:rPr>
          <w:rFonts w:ascii="黑体" w:eastAsia="黑体" w:hAnsi="黑体"/>
          <w:sz w:val="24"/>
          <w:szCs w:val="24"/>
        </w:rPr>
      </w:pPr>
    </w:p>
    <w:p w:rsidR="00E234B6" w:rsidRDefault="00E234B6">
      <w:pPr>
        <w:pStyle w:val="affff9"/>
        <w:jc w:val="center"/>
        <w:rPr>
          <w:rFonts w:ascii="黑体" w:eastAsia="黑体" w:hAnsi="黑体"/>
          <w:sz w:val="24"/>
          <w:szCs w:val="24"/>
        </w:rPr>
      </w:pPr>
    </w:p>
    <w:p w:rsidR="00E234B6" w:rsidRDefault="00E234B6">
      <w:pPr>
        <w:pStyle w:val="affff9"/>
        <w:jc w:val="center"/>
        <w:rPr>
          <w:rFonts w:ascii="黑体" w:eastAsia="黑体" w:hAnsi="黑体"/>
          <w:sz w:val="24"/>
          <w:szCs w:val="24"/>
        </w:rPr>
      </w:pPr>
    </w:p>
    <w:p w:rsidR="00E234B6" w:rsidRDefault="00E234B6">
      <w:pPr>
        <w:pStyle w:val="affff9"/>
        <w:jc w:val="center"/>
        <w:rPr>
          <w:rFonts w:ascii="黑体" w:eastAsia="黑体" w:hAnsi="黑体"/>
          <w:sz w:val="24"/>
          <w:szCs w:val="24"/>
        </w:rPr>
      </w:pPr>
    </w:p>
    <w:p w:rsidR="00E234B6" w:rsidRDefault="00E234B6">
      <w:pPr>
        <w:pStyle w:val="affff9"/>
        <w:jc w:val="center"/>
        <w:rPr>
          <w:rFonts w:ascii="黑体" w:eastAsia="黑体" w:hAnsi="黑体"/>
          <w:sz w:val="24"/>
          <w:szCs w:val="24"/>
        </w:rPr>
      </w:pPr>
    </w:p>
    <w:p w:rsidR="00E234B6" w:rsidRDefault="00E234B6">
      <w:pPr>
        <w:pStyle w:val="affff9"/>
        <w:jc w:val="center"/>
        <w:rPr>
          <w:rFonts w:ascii="黑体" w:eastAsia="黑体" w:hAnsi="黑体"/>
          <w:sz w:val="24"/>
          <w:szCs w:val="24"/>
        </w:rPr>
      </w:pPr>
    </w:p>
    <w:p w:rsidR="00E234B6" w:rsidRDefault="00684862">
      <w:pPr>
        <w:pStyle w:val="1"/>
        <w:spacing w:before="156" w:after="156"/>
        <w:rPr>
          <w:b w:val="0"/>
          <w:bCs w:val="0"/>
        </w:rPr>
      </w:pPr>
      <w:r>
        <w:rPr>
          <w:rFonts w:hint="eastAsia"/>
          <w:b w:val="0"/>
          <w:bCs w:val="0"/>
        </w:rPr>
        <w:lastRenderedPageBreak/>
        <w:t>一、工作简况</w:t>
      </w:r>
      <w:bookmarkStart w:id="4" w:name="_Toc464728896"/>
      <w:bookmarkEnd w:id="0"/>
    </w:p>
    <w:p w:rsidR="00E234B6" w:rsidRDefault="00684862">
      <w:pPr>
        <w:pStyle w:val="2"/>
        <w:spacing w:before="156" w:after="156"/>
        <w:rPr>
          <w:b w:val="0"/>
          <w:bCs w:val="0"/>
        </w:rPr>
      </w:pPr>
      <w:r>
        <w:rPr>
          <w:rFonts w:hint="eastAsia"/>
          <w:b w:val="0"/>
          <w:bCs w:val="0"/>
        </w:rPr>
        <w:t>1.</w:t>
      </w:r>
      <w:r>
        <w:rPr>
          <w:rFonts w:hint="eastAsia"/>
          <w:b w:val="0"/>
          <w:bCs w:val="0"/>
        </w:rPr>
        <w:t>立项目的</w:t>
      </w:r>
    </w:p>
    <w:p w:rsidR="00E234B6" w:rsidRDefault="00684862">
      <w:pPr>
        <w:spacing w:line="360" w:lineRule="auto"/>
        <w:ind w:firstLineChars="200" w:firstLine="420"/>
      </w:pPr>
      <w:r>
        <w:t>汞是一种剧毒易致癌物质，在自然界主要以无机汞、有机汞、元素汞三种化学形态存在，无机汞在迁移转化过程中通过生物作用生成相应的烷基汞。甲基汞化合物具有致癌性，且乙基汞化合物具有强毒性，广泛存在于大气环境、水环境及土壤环境中。</w:t>
      </w:r>
    </w:p>
    <w:p w:rsidR="00E234B6" w:rsidRDefault="00684862">
      <w:pPr>
        <w:spacing w:line="360" w:lineRule="auto"/>
        <w:ind w:firstLineChars="200" w:firstLine="420"/>
      </w:pPr>
      <w:r>
        <w:t>目前，国家生态环境部发布水质烷基</w:t>
      </w:r>
      <w:proofErr w:type="gramStart"/>
      <w:r>
        <w:t>汞分析</w:t>
      </w:r>
      <w:proofErr w:type="gramEnd"/>
      <w:r>
        <w:t>新标准</w:t>
      </w:r>
      <w:r>
        <w:t>——</w:t>
      </w:r>
      <w:r>
        <w:t>《水质</w:t>
      </w:r>
      <w:r>
        <w:t xml:space="preserve"> </w:t>
      </w:r>
      <w:r>
        <w:t>烷基汞的测定</w:t>
      </w:r>
      <w:r>
        <w:t xml:space="preserve"> </w:t>
      </w:r>
      <w:r>
        <w:t>吹扫捕集</w:t>
      </w:r>
      <w:r>
        <w:t>/</w:t>
      </w:r>
      <w:r>
        <w:t>气相色谱</w:t>
      </w:r>
      <w:r>
        <w:t>-</w:t>
      </w:r>
      <w:r>
        <w:t>冷原子荧光光谱法》（</w:t>
      </w:r>
      <w:r>
        <w:t>HJ 977-2018</w:t>
      </w:r>
      <w:r>
        <w:t>）普遍被环保、污水处理厂、海关等机构采用，</w:t>
      </w:r>
      <w:r>
        <w:rPr>
          <w:rFonts w:hint="eastAsia"/>
        </w:rPr>
        <w:t>有色金属行业中烷基</w:t>
      </w:r>
      <w:proofErr w:type="gramStart"/>
      <w:r>
        <w:rPr>
          <w:rFonts w:hint="eastAsia"/>
        </w:rPr>
        <w:t>汞分析仪用于</w:t>
      </w:r>
      <w:proofErr w:type="gramEnd"/>
      <w:r>
        <w:rPr>
          <w:rFonts w:hint="eastAsia"/>
        </w:rPr>
        <w:t>检测有色金属冶金厂含汞废水、贵金属回收加工含汞废水、土壤中的烷基汞（甲基汞和乙基汞），</w:t>
      </w:r>
      <w:r>
        <w:t>在此背景下，烷基</w:t>
      </w:r>
      <w:proofErr w:type="gramStart"/>
      <w:r>
        <w:t>汞分析</w:t>
      </w:r>
      <w:proofErr w:type="gramEnd"/>
      <w:r>
        <w:t>仪也成为了检测实验室的首选。</w:t>
      </w:r>
    </w:p>
    <w:p w:rsidR="00E234B6" w:rsidRDefault="00684862">
      <w:pPr>
        <w:spacing w:line="360" w:lineRule="auto"/>
        <w:ind w:firstLineChars="200" w:firstLine="420"/>
      </w:pPr>
      <w:r>
        <w:t>烷基</w:t>
      </w:r>
      <w:proofErr w:type="gramStart"/>
      <w:r>
        <w:t>汞分析</w:t>
      </w:r>
      <w:proofErr w:type="gramEnd"/>
      <w:r>
        <w:t>仪是将液体中的烷基</w:t>
      </w:r>
      <w:proofErr w:type="gramStart"/>
      <w:r>
        <w:t>汞进行</w:t>
      </w:r>
      <w:proofErr w:type="gramEnd"/>
      <w:r>
        <w:t>吹扫并通过捕集</w:t>
      </w:r>
      <w:proofErr w:type="gramStart"/>
      <w:r>
        <w:t>阱</w:t>
      </w:r>
      <w:proofErr w:type="gramEnd"/>
      <w:r>
        <w:t>富集，然后对捕集</w:t>
      </w:r>
      <w:proofErr w:type="gramStart"/>
      <w:r>
        <w:t>阱</w:t>
      </w:r>
      <w:proofErr w:type="gramEnd"/>
      <w:r>
        <w:t>进行快速加热，</w:t>
      </w:r>
      <w:proofErr w:type="gramStart"/>
      <w:r>
        <w:t>烷基汞被解析</w:t>
      </w:r>
      <w:proofErr w:type="gramEnd"/>
      <w:r>
        <w:t>随载气进入气相色谱进行分离和高温裂解还原，后通过冷原子荧光检测器，检测烷基汞的含量。近几年，采购烷基汞仪器台数大幅增长，随着其他相关标准的陆续实施，烷基汞的检测分析仪器市场迎来更多的需求</w:t>
      </w:r>
      <w:r>
        <w:rPr>
          <w:rFonts w:hint="eastAsia"/>
        </w:rPr>
        <w:t>。</w:t>
      </w:r>
    </w:p>
    <w:p w:rsidR="00E234B6" w:rsidRDefault="00684862">
      <w:pPr>
        <w:spacing w:line="360" w:lineRule="auto"/>
        <w:ind w:firstLineChars="200" w:firstLine="420"/>
      </w:pPr>
      <w:r>
        <w:t>国内针对烷基</w:t>
      </w:r>
      <w:proofErr w:type="gramStart"/>
      <w:r>
        <w:t>汞分析</w:t>
      </w:r>
      <w:proofErr w:type="gramEnd"/>
      <w:r>
        <w:t>仪的计量标准却仍处于空白状态，缺少相应的国家或行业烷基</w:t>
      </w:r>
      <w:proofErr w:type="gramStart"/>
      <w:r>
        <w:t>汞分析</w:t>
      </w:r>
      <w:proofErr w:type="gramEnd"/>
      <w:r>
        <w:t>仪计量检定规程、规范及标准，仅北京、贵州发布了相应的地方校准规范，</w:t>
      </w:r>
      <w:r>
        <w:rPr>
          <w:rFonts w:hint="eastAsia"/>
        </w:rPr>
        <w:t>其中计量特性不完全适应相应检测标准，并且地方校准规范受制于地方限制，</w:t>
      </w:r>
      <w:r>
        <w:t>不</w:t>
      </w:r>
      <w:r>
        <w:rPr>
          <w:rFonts w:hint="eastAsia"/>
        </w:rPr>
        <w:t>能普遍</w:t>
      </w:r>
      <w:r>
        <w:t>适用于有色金属检测行业。</w:t>
      </w:r>
      <w:r>
        <w:rPr>
          <w:rFonts w:hint="eastAsia"/>
        </w:rPr>
        <w:t>其余地方</w:t>
      </w:r>
      <w:r>
        <w:t>只能参照</w:t>
      </w:r>
      <w:r>
        <w:t>JJG 548-2018</w:t>
      </w:r>
      <w:r>
        <w:t>《测汞仪》检定规程、</w:t>
      </w:r>
      <w:r>
        <w:t xml:space="preserve">JJG 700-2016 </w:t>
      </w:r>
      <w:r>
        <w:t>《气相色谱仪》检定规程等对设备进行校准。但是，无论是仪器原理、适用范围，还是分析过程中涉及的标准物质等检测条件，烷基</w:t>
      </w:r>
      <w:proofErr w:type="gramStart"/>
      <w:r>
        <w:t>汞分析</w:t>
      </w:r>
      <w:proofErr w:type="gramEnd"/>
      <w:r>
        <w:t>仪均与上述规程具有较大差异。</w:t>
      </w:r>
    </w:p>
    <w:p w:rsidR="00E234B6" w:rsidRDefault="00684862">
      <w:pPr>
        <w:spacing w:line="360" w:lineRule="auto"/>
        <w:ind w:firstLineChars="200" w:firstLine="420"/>
        <w:rPr>
          <w:rFonts w:hAnsi="宋体"/>
          <w:bCs/>
          <w:szCs w:val="21"/>
        </w:rPr>
      </w:pPr>
      <w:r>
        <w:t>所提出的《烷基汞分析仪校准规范》的制定，能够满足</w:t>
      </w:r>
      <w:r>
        <w:rPr>
          <w:rFonts w:hint="eastAsia"/>
        </w:rPr>
        <w:t>有色金属产业环境检测使用的</w:t>
      </w:r>
      <w:r>
        <w:t>烷基</w:t>
      </w:r>
      <w:proofErr w:type="gramStart"/>
      <w:r>
        <w:t>汞分析</w:t>
      </w:r>
      <w:proofErr w:type="gramEnd"/>
      <w:r>
        <w:t>仪溯源需求，为环境中烷基</w:t>
      </w:r>
      <w:proofErr w:type="gramStart"/>
      <w:r>
        <w:t>汞分析</w:t>
      </w:r>
      <w:proofErr w:type="gramEnd"/>
      <w:r>
        <w:t>质量提供计量保证。</w:t>
      </w:r>
    </w:p>
    <w:p w:rsidR="00E234B6" w:rsidRDefault="00684862">
      <w:pPr>
        <w:pStyle w:val="2"/>
        <w:spacing w:before="156" w:after="156"/>
        <w:rPr>
          <w:b w:val="0"/>
          <w:bCs w:val="0"/>
        </w:rPr>
      </w:pPr>
      <w:r>
        <w:rPr>
          <w:rFonts w:hint="eastAsia"/>
          <w:b w:val="0"/>
          <w:bCs w:val="0"/>
        </w:rPr>
        <w:t>2.</w:t>
      </w:r>
      <w:r>
        <w:rPr>
          <w:rFonts w:hint="eastAsia"/>
          <w:b w:val="0"/>
          <w:bCs w:val="0"/>
        </w:rPr>
        <w:t>任务来源</w:t>
      </w:r>
      <w:bookmarkEnd w:id="4"/>
    </w:p>
    <w:p w:rsidR="00E234B6" w:rsidRDefault="00684862">
      <w:pPr>
        <w:pStyle w:val="22"/>
        <w:spacing w:after="0" w:line="360" w:lineRule="auto"/>
        <w:ind w:firstLineChars="200" w:firstLine="420"/>
        <w:rPr>
          <w:rFonts w:hAnsi="宋体"/>
          <w:bCs/>
          <w:szCs w:val="21"/>
        </w:rPr>
      </w:pPr>
      <w:r>
        <w:rPr>
          <w:rFonts w:hAnsi="宋体" w:hint="eastAsia"/>
          <w:bCs/>
          <w:szCs w:val="21"/>
        </w:rPr>
        <w:t>根据工业和信息化部《关于印发</w:t>
      </w:r>
      <w:r>
        <w:rPr>
          <w:rFonts w:hAnsi="宋体" w:hint="eastAsia"/>
          <w:bCs/>
          <w:szCs w:val="21"/>
        </w:rPr>
        <w:t>2022</w:t>
      </w:r>
      <w:r>
        <w:rPr>
          <w:rFonts w:hAnsi="宋体" w:hint="eastAsia"/>
          <w:bCs/>
          <w:szCs w:val="21"/>
        </w:rPr>
        <w:t>年行业计量技术规范制修订计划的通知》（工厅科［</w:t>
      </w:r>
      <w:r>
        <w:rPr>
          <w:rFonts w:hAnsi="宋体" w:hint="eastAsia"/>
          <w:bCs/>
          <w:szCs w:val="21"/>
        </w:rPr>
        <w:t>2023</w:t>
      </w:r>
      <w:r>
        <w:rPr>
          <w:rFonts w:hAnsi="宋体" w:hint="eastAsia"/>
          <w:bCs/>
          <w:szCs w:val="21"/>
        </w:rPr>
        <w:t>］</w:t>
      </w:r>
      <w:r>
        <w:rPr>
          <w:rFonts w:hAnsi="宋体" w:hint="eastAsia"/>
          <w:bCs/>
          <w:szCs w:val="21"/>
        </w:rPr>
        <w:t>476</w:t>
      </w:r>
      <w:r>
        <w:rPr>
          <w:rFonts w:hAnsi="宋体" w:hint="eastAsia"/>
          <w:bCs/>
          <w:szCs w:val="21"/>
        </w:rPr>
        <w:t>号）文的要求，行业计量技术规范《烷基汞分析仪校准规范》由</w:t>
      </w:r>
      <w:r>
        <w:rPr>
          <w:rFonts w:hint="eastAsia"/>
          <w:szCs w:val="21"/>
        </w:rPr>
        <w:t>西安汉唐分析检测有限公司</w:t>
      </w:r>
      <w:r>
        <w:rPr>
          <w:rFonts w:hAnsi="宋体" w:hint="eastAsia"/>
          <w:bCs/>
          <w:szCs w:val="21"/>
        </w:rPr>
        <w:t>负责起草。该项目计划编号为</w:t>
      </w:r>
      <w:r>
        <w:rPr>
          <w:rFonts w:hAnsi="宋体"/>
          <w:bCs/>
          <w:szCs w:val="21"/>
        </w:rPr>
        <w:t>JJF</w:t>
      </w:r>
      <w:r>
        <w:rPr>
          <w:rFonts w:hAnsi="宋体" w:hint="eastAsia"/>
          <w:bCs/>
          <w:szCs w:val="21"/>
        </w:rPr>
        <w:t>（有色金属）</w:t>
      </w:r>
      <w:r>
        <w:rPr>
          <w:rFonts w:hAnsi="宋体" w:hint="eastAsia"/>
          <w:bCs/>
          <w:szCs w:val="21"/>
        </w:rPr>
        <w:t>019-2</w:t>
      </w:r>
      <w:r>
        <w:rPr>
          <w:rFonts w:hAnsi="宋体"/>
          <w:bCs/>
          <w:szCs w:val="21"/>
        </w:rPr>
        <w:t>02</w:t>
      </w:r>
      <w:r>
        <w:rPr>
          <w:rFonts w:hAnsi="宋体" w:hint="eastAsia"/>
          <w:bCs/>
          <w:szCs w:val="21"/>
        </w:rPr>
        <w:t>3</w:t>
      </w:r>
      <w:r>
        <w:rPr>
          <w:rFonts w:hAnsi="宋体" w:hint="eastAsia"/>
          <w:bCs/>
          <w:szCs w:val="21"/>
        </w:rPr>
        <w:t>，按计划要求，本计量规范应于</w:t>
      </w:r>
      <w:r>
        <w:rPr>
          <w:rFonts w:hAnsi="宋体"/>
          <w:bCs/>
          <w:szCs w:val="21"/>
        </w:rPr>
        <w:t>202</w:t>
      </w:r>
      <w:r>
        <w:rPr>
          <w:rFonts w:hAnsi="宋体" w:hint="eastAsia"/>
          <w:bCs/>
          <w:szCs w:val="21"/>
        </w:rPr>
        <w:t>4</w:t>
      </w:r>
      <w:r>
        <w:rPr>
          <w:rFonts w:hAnsi="宋体" w:hint="eastAsia"/>
          <w:bCs/>
          <w:szCs w:val="21"/>
        </w:rPr>
        <w:t>年完成。</w:t>
      </w:r>
    </w:p>
    <w:p w:rsidR="00E234B6" w:rsidRDefault="00684862">
      <w:pPr>
        <w:pStyle w:val="2"/>
        <w:spacing w:before="156" w:after="156"/>
        <w:rPr>
          <w:b w:val="0"/>
          <w:bCs w:val="0"/>
        </w:rPr>
      </w:pPr>
      <w:r>
        <w:rPr>
          <w:rFonts w:hint="eastAsia"/>
          <w:b w:val="0"/>
          <w:bCs w:val="0"/>
        </w:rPr>
        <w:lastRenderedPageBreak/>
        <w:t>3.</w:t>
      </w:r>
      <w:r>
        <w:rPr>
          <w:rFonts w:hint="eastAsia"/>
          <w:b w:val="0"/>
          <w:bCs w:val="0"/>
        </w:rPr>
        <w:t>项目编制</w:t>
      </w:r>
      <w:proofErr w:type="gramStart"/>
      <w:r>
        <w:rPr>
          <w:rFonts w:hint="eastAsia"/>
          <w:b w:val="0"/>
          <w:bCs w:val="0"/>
        </w:rPr>
        <w:t>组单位</w:t>
      </w:r>
      <w:proofErr w:type="gramEnd"/>
      <w:r>
        <w:rPr>
          <w:rFonts w:hint="eastAsia"/>
          <w:b w:val="0"/>
          <w:bCs w:val="0"/>
        </w:rPr>
        <w:t>简况</w:t>
      </w:r>
    </w:p>
    <w:p w:rsidR="00E234B6" w:rsidRDefault="00684862">
      <w:pPr>
        <w:pStyle w:val="3"/>
        <w:spacing w:before="156" w:after="156"/>
        <w:rPr>
          <w:b w:val="0"/>
          <w:bCs w:val="0"/>
        </w:rPr>
      </w:pPr>
      <w:r>
        <w:rPr>
          <w:rFonts w:hint="eastAsia"/>
          <w:b w:val="0"/>
          <w:bCs w:val="0"/>
        </w:rPr>
        <w:t>3.1</w:t>
      </w:r>
      <w:r>
        <w:rPr>
          <w:rFonts w:hint="eastAsia"/>
          <w:b w:val="0"/>
          <w:bCs w:val="0"/>
        </w:rPr>
        <w:t>编制组成员单位</w:t>
      </w:r>
    </w:p>
    <w:p w:rsidR="00E234B6" w:rsidRDefault="00684862">
      <w:pPr>
        <w:widowControl/>
        <w:autoSpaceDE w:val="0"/>
        <w:autoSpaceDN w:val="0"/>
        <w:spacing w:line="400" w:lineRule="exact"/>
        <w:ind w:firstLineChars="200" w:firstLine="420"/>
        <w:rPr>
          <w:szCs w:val="21"/>
        </w:rPr>
      </w:pPr>
      <w:bookmarkStart w:id="5" w:name="_Toc462884344"/>
      <w:bookmarkStart w:id="6" w:name="_Toc464728900"/>
      <w:r>
        <w:rPr>
          <w:rFonts w:hint="eastAsia"/>
          <w:szCs w:val="21"/>
        </w:rPr>
        <w:t>本规范的编制</w:t>
      </w:r>
      <w:proofErr w:type="gramStart"/>
      <w:r>
        <w:rPr>
          <w:rFonts w:hint="eastAsia"/>
          <w:szCs w:val="21"/>
        </w:rPr>
        <w:t>组单位</w:t>
      </w:r>
      <w:proofErr w:type="gramEnd"/>
      <w:r>
        <w:rPr>
          <w:rFonts w:hint="eastAsia"/>
          <w:szCs w:val="21"/>
        </w:rPr>
        <w:t>为：西安汉唐分析检测有限公司、</w:t>
      </w:r>
      <w:r w:rsidR="00B879EA" w:rsidRPr="00B879EA">
        <w:rPr>
          <w:rFonts w:hint="eastAsia"/>
          <w:szCs w:val="21"/>
        </w:rPr>
        <w:t>西南铝业（集团）有限责任公司</w:t>
      </w:r>
      <w:r w:rsidR="00B879EA">
        <w:rPr>
          <w:rFonts w:hint="eastAsia"/>
          <w:szCs w:val="21"/>
        </w:rPr>
        <w:t>、</w:t>
      </w:r>
      <w:r w:rsidR="00B879EA" w:rsidRPr="00B879EA">
        <w:rPr>
          <w:rFonts w:hint="eastAsia"/>
          <w:szCs w:val="21"/>
        </w:rPr>
        <w:t>国标（北京）检验认证有限公司</w:t>
      </w:r>
      <w:r w:rsidR="00B879EA">
        <w:rPr>
          <w:rFonts w:hint="eastAsia"/>
          <w:szCs w:val="21"/>
        </w:rPr>
        <w:t>、</w:t>
      </w:r>
      <w:r w:rsidR="00B879EA" w:rsidRPr="00B879EA">
        <w:rPr>
          <w:rFonts w:hint="eastAsia"/>
          <w:szCs w:val="21"/>
        </w:rPr>
        <w:t>新疆湘润新材料科技有限公司、</w:t>
      </w:r>
      <w:r w:rsidR="00B879EA" w:rsidRPr="00B879EA">
        <w:rPr>
          <w:szCs w:val="21"/>
        </w:rPr>
        <w:t>陕西天成航空材料股份有限公司</w:t>
      </w:r>
      <w:r>
        <w:rPr>
          <w:rFonts w:hint="eastAsia"/>
          <w:szCs w:val="21"/>
        </w:rPr>
        <w:t>。</w:t>
      </w:r>
    </w:p>
    <w:p w:rsidR="00E234B6" w:rsidRDefault="00684862">
      <w:pPr>
        <w:pStyle w:val="3"/>
        <w:spacing w:before="156" w:after="156"/>
        <w:rPr>
          <w:b w:val="0"/>
          <w:bCs w:val="0"/>
        </w:rPr>
      </w:pPr>
      <w:r>
        <w:rPr>
          <w:rFonts w:hint="eastAsia"/>
          <w:b w:val="0"/>
          <w:bCs w:val="0"/>
        </w:rPr>
        <w:t xml:space="preserve">3.2 </w:t>
      </w:r>
      <w:r>
        <w:rPr>
          <w:rFonts w:hint="eastAsia"/>
          <w:b w:val="0"/>
          <w:bCs w:val="0"/>
        </w:rPr>
        <w:t>主编单位简介</w:t>
      </w:r>
    </w:p>
    <w:bookmarkEnd w:id="5"/>
    <w:bookmarkEnd w:id="6"/>
    <w:p w:rsidR="00E234B6" w:rsidRDefault="00684862">
      <w:pPr>
        <w:spacing w:line="360" w:lineRule="auto"/>
        <w:ind w:firstLineChars="200" w:firstLine="420"/>
        <w:rPr>
          <w:szCs w:val="21"/>
        </w:rPr>
      </w:pPr>
      <w:r>
        <w:rPr>
          <w:rFonts w:hint="eastAsia"/>
          <w:szCs w:val="21"/>
        </w:rPr>
        <w:t>西安汉唐分析检测有限公司是西北有色金属研究院</w:t>
      </w:r>
      <w:r>
        <w:rPr>
          <w:rFonts w:hint="eastAsia"/>
          <w:szCs w:val="21"/>
        </w:rPr>
        <w:t>(</w:t>
      </w:r>
      <w:r>
        <w:rPr>
          <w:rFonts w:hint="eastAsia"/>
          <w:szCs w:val="21"/>
        </w:rPr>
        <w:t>集团</w:t>
      </w:r>
      <w:r>
        <w:rPr>
          <w:rFonts w:hint="eastAsia"/>
          <w:szCs w:val="21"/>
        </w:rPr>
        <w:t>)</w:t>
      </w:r>
      <w:r>
        <w:rPr>
          <w:rFonts w:hint="eastAsia"/>
          <w:szCs w:val="21"/>
        </w:rPr>
        <w:t>控股子公司，属国有企业，主要从事有色产品的检测、可靠性评价、失效分析、质量评估、腐蚀性能及表面测试与表征、规范起草、检测方法的开发、标物的研制、设备的计量校准等。</w:t>
      </w:r>
    </w:p>
    <w:p w:rsidR="00E234B6" w:rsidRDefault="00684862">
      <w:pPr>
        <w:spacing w:line="360" w:lineRule="auto"/>
        <w:ind w:firstLineChars="200" w:firstLine="420"/>
        <w:rPr>
          <w:szCs w:val="21"/>
        </w:rPr>
      </w:pPr>
      <w:r>
        <w:rPr>
          <w:rFonts w:hint="eastAsia"/>
          <w:szCs w:val="21"/>
        </w:rPr>
        <w:t>公司于</w:t>
      </w:r>
      <w:r>
        <w:rPr>
          <w:rFonts w:hint="eastAsia"/>
          <w:szCs w:val="21"/>
        </w:rPr>
        <w:t>1985</w:t>
      </w:r>
      <w:r>
        <w:rPr>
          <w:rFonts w:hint="eastAsia"/>
          <w:szCs w:val="21"/>
        </w:rPr>
        <w:t>年被陕西省质监局授权为陕西省有色金属产品质量监督检验站。</w:t>
      </w:r>
      <w:r>
        <w:rPr>
          <w:rFonts w:hint="eastAsia"/>
          <w:szCs w:val="21"/>
        </w:rPr>
        <w:t>1987</w:t>
      </w:r>
      <w:r>
        <w:rPr>
          <w:rFonts w:hint="eastAsia"/>
          <w:szCs w:val="21"/>
        </w:rPr>
        <w:t>年被中国有色金属工业总公司授权为西北质量监督检验中心，先后被国家质检总局确定为钛及钛合金、铜及铜合金管材生产许可证检验工作实施单位；公司通过</w:t>
      </w:r>
      <w:r>
        <w:rPr>
          <w:rFonts w:hint="eastAsia"/>
          <w:szCs w:val="21"/>
        </w:rPr>
        <w:t>CNAS</w:t>
      </w:r>
      <w:r>
        <w:rPr>
          <w:rFonts w:hint="eastAsia"/>
          <w:szCs w:val="21"/>
        </w:rPr>
        <w:t>、</w:t>
      </w:r>
      <w:r>
        <w:rPr>
          <w:rFonts w:hint="eastAsia"/>
          <w:szCs w:val="21"/>
        </w:rPr>
        <w:t>CMA</w:t>
      </w:r>
      <w:r>
        <w:rPr>
          <w:rFonts w:hint="eastAsia"/>
          <w:szCs w:val="21"/>
        </w:rPr>
        <w:t>、国防</w:t>
      </w:r>
      <w:proofErr w:type="spellStart"/>
      <w:r>
        <w:rPr>
          <w:rFonts w:hint="eastAsia"/>
          <w:szCs w:val="21"/>
        </w:rPr>
        <w:t>DiLAC</w:t>
      </w:r>
      <w:proofErr w:type="spellEnd"/>
      <w:r>
        <w:rPr>
          <w:rFonts w:hint="eastAsia"/>
          <w:szCs w:val="21"/>
        </w:rPr>
        <w:t>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rsidR="00E234B6" w:rsidRDefault="00684862">
      <w:pPr>
        <w:spacing w:line="360" w:lineRule="auto"/>
        <w:ind w:firstLineChars="200" w:firstLine="420"/>
        <w:rPr>
          <w:szCs w:val="21"/>
        </w:rPr>
      </w:pPr>
      <w:r>
        <w:rPr>
          <w:rFonts w:hint="eastAsia"/>
          <w:szCs w:val="21"/>
        </w:rPr>
        <w:t>近</w:t>
      </w:r>
      <w:r>
        <w:rPr>
          <w:rFonts w:hint="eastAsia"/>
          <w:szCs w:val="21"/>
        </w:rPr>
        <w:t>10</w:t>
      </w:r>
      <w:r>
        <w:rPr>
          <w:rFonts w:hint="eastAsia"/>
          <w:szCs w:val="21"/>
        </w:rPr>
        <w:t>年起草有色金属国家</w:t>
      </w:r>
      <w:r>
        <w:rPr>
          <w:rFonts w:hint="eastAsia"/>
          <w:szCs w:val="21"/>
        </w:rPr>
        <w:t>/</w:t>
      </w:r>
      <w:r>
        <w:rPr>
          <w:rFonts w:hint="eastAsia"/>
          <w:szCs w:val="21"/>
        </w:rPr>
        <w:t>行业规范共</w:t>
      </w:r>
      <w:r>
        <w:rPr>
          <w:rFonts w:hint="eastAsia"/>
          <w:szCs w:val="21"/>
        </w:rPr>
        <w:t>80</w:t>
      </w:r>
      <w:r>
        <w:rPr>
          <w:rFonts w:hint="eastAsia"/>
          <w:szCs w:val="21"/>
        </w:rPr>
        <w:t>余项、发表论文</w:t>
      </w:r>
      <w:r>
        <w:rPr>
          <w:rFonts w:hint="eastAsia"/>
          <w:szCs w:val="21"/>
        </w:rPr>
        <w:t>120</w:t>
      </w:r>
      <w:r>
        <w:rPr>
          <w:rFonts w:hint="eastAsia"/>
          <w:szCs w:val="21"/>
        </w:rPr>
        <w:t>余篇、授权专利</w:t>
      </w:r>
      <w:r>
        <w:rPr>
          <w:rFonts w:hint="eastAsia"/>
          <w:szCs w:val="21"/>
        </w:rPr>
        <w:t>30</w:t>
      </w:r>
      <w:r>
        <w:rPr>
          <w:rFonts w:hint="eastAsia"/>
          <w:szCs w:val="21"/>
        </w:rPr>
        <w:t>余项。先后荣获中国有色金属工业一等奖、二等奖</w:t>
      </w:r>
      <w:r>
        <w:rPr>
          <w:rFonts w:hint="eastAsia"/>
          <w:szCs w:val="21"/>
        </w:rPr>
        <w:t>20</w:t>
      </w:r>
      <w:r>
        <w:rPr>
          <w:rFonts w:hint="eastAsia"/>
          <w:szCs w:val="21"/>
        </w:rPr>
        <w:t>余次。</w:t>
      </w:r>
    </w:p>
    <w:p w:rsidR="00E234B6" w:rsidRDefault="00684862">
      <w:pPr>
        <w:spacing w:line="400" w:lineRule="exact"/>
        <w:ind w:firstLineChars="200" w:firstLine="420"/>
        <w:contextualSpacing/>
        <w:jc w:val="left"/>
        <w:rPr>
          <w:szCs w:val="21"/>
        </w:rPr>
      </w:pPr>
      <w:r>
        <w:rPr>
          <w:rFonts w:hint="eastAsia"/>
          <w:szCs w:val="21"/>
        </w:rPr>
        <w:t>该单位主要负责本规范的起草工作，成立编制组并根据委员会的工作安排组织编制组成员单位开展相关校准工作，组织各单位对规范的《征求意见稿》、《预审稿》及《送审稿》进行认真的讨论，并就提出的意见和建议进行反馈和修改，在编制组中发挥了主要带头作用。</w:t>
      </w:r>
    </w:p>
    <w:p w:rsidR="00E234B6" w:rsidRPr="00B879EA" w:rsidRDefault="00684862">
      <w:pPr>
        <w:pStyle w:val="af3"/>
        <w:numPr>
          <w:ilvl w:val="0"/>
          <w:numId w:val="0"/>
        </w:numPr>
        <w:spacing w:beforeLines="50" w:before="156" w:afterLines="50" w:after="156"/>
        <w:rPr>
          <w:color w:val="auto"/>
        </w:rPr>
      </w:pPr>
      <w:bookmarkStart w:id="7" w:name="_Toc462884345"/>
      <w:bookmarkStart w:id="8" w:name="_Toc464728901"/>
      <w:r w:rsidRPr="00B879EA">
        <w:rPr>
          <w:rFonts w:hint="eastAsia"/>
          <w:color w:val="auto"/>
        </w:rPr>
        <w:t>3.3成员单位简介</w:t>
      </w:r>
      <w:bookmarkEnd w:id="7"/>
      <w:bookmarkEnd w:id="8"/>
    </w:p>
    <w:p w:rsidR="00E234B6" w:rsidRDefault="00684862">
      <w:pPr>
        <w:pStyle w:val="af4"/>
        <w:numPr>
          <w:ilvl w:val="0"/>
          <w:numId w:val="0"/>
        </w:numPr>
        <w:spacing w:beforeLines="50" w:before="156" w:afterLines="50" w:after="156"/>
        <w:contextualSpacing/>
        <w:rPr>
          <w:szCs w:val="21"/>
        </w:rPr>
      </w:pPr>
      <w:r>
        <w:rPr>
          <w:rFonts w:hint="eastAsia"/>
        </w:rPr>
        <w:t>3.3.1</w:t>
      </w:r>
      <w:r>
        <w:rPr>
          <w:rFonts w:ascii="Times New Roman" w:hint="eastAsia"/>
        </w:rPr>
        <w:t xml:space="preserve">  </w:t>
      </w:r>
      <w:r w:rsidR="003E7C70" w:rsidRPr="00B879EA">
        <w:rPr>
          <w:rFonts w:hint="eastAsia"/>
          <w:kern w:val="2"/>
          <w:szCs w:val="21"/>
        </w:rPr>
        <w:t>西南铝业（集团）有限责任公司</w:t>
      </w:r>
    </w:p>
    <w:p w:rsidR="003E7C70" w:rsidRDefault="003E7C70" w:rsidP="003E7C70">
      <w:pPr>
        <w:spacing w:line="360" w:lineRule="auto"/>
        <w:ind w:firstLineChars="200" w:firstLine="420"/>
        <w:rPr>
          <w:bCs/>
        </w:rPr>
      </w:pPr>
      <w:r>
        <w:rPr>
          <w:rFonts w:hint="eastAsia"/>
          <w:bCs/>
        </w:rPr>
        <w:t>西南铝业（集团）有限责任公司（简称西南铝）位于重庆市九龙坡区西彭镇，前身为冶金部</w:t>
      </w:r>
      <w:r>
        <w:rPr>
          <w:rFonts w:hint="eastAsia"/>
          <w:bCs/>
        </w:rPr>
        <w:t>112</w:t>
      </w:r>
      <w:r>
        <w:rPr>
          <w:rFonts w:hint="eastAsia"/>
          <w:bCs/>
        </w:rPr>
        <w:t>厂、西南铝加工厂，始建于</w:t>
      </w:r>
      <w:r>
        <w:rPr>
          <w:rFonts w:hint="eastAsia"/>
          <w:bCs/>
        </w:rPr>
        <w:t>1965</w:t>
      </w:r>
      <w:r>
        <w:rPr>
          <w:rFonts w:hint="eastAsia"/>
          <w:bCs/>
        </w:rPr>
        <w:t>年</w:t>
      </w:r>
      <w:r>
        <w:rPr>
          <w:rFonts w:hint="eastAsia"/>
          <w:bCs/>
        </w:rPr>
        <w:t>7</w:t>
      </w:r>
      <w:r>
        <w:rPr>
          <w:rFonts w:hint="eastAsia"/>
          <w:bCs/>
        </w:rPr>
        <w:t>月，</w:t>
      </w:r>
      <w:r>
        <w:rPr>
          <w:rFonts w:hint="eastAsia"/>
          <w:bCs/>
        </w:rPr>
        <w:t>2000</w:t>
      </w:r>
      <w:r>
        <w:rPr>
          <w:rFonts w:hint="eastAsia"/>
          <w:bCs/>
        </w:rPr>
        <w:t>年</w:t>
      </w:r>
      <w:r>
        <w:rPr>
          <w:rFonts w:hint="eastAsia"/>
          <w:bCs/>
        </w:rPr>
        <w:t>12</w:t>
      </w:r>
      <w:r>
        <w:rPr>
          <w:rFonts w:hint="eastAsia"/>
          <w:bCs/>
        </w:rPr>
        <w:t>月改制成立有限责任公司，是我国为生产重点项目、航空航天所需大规格、新品种、高质量铝及铝合金材料而建设的大型企业。经过</w:t>
      </w:r>
      <w:r>
        <w:rPr>
          <w:rFonts w:hint="eastAsia"/>
          <w:bCs/>
        </w:rPr>
        <w:t>50</w:t>
      </w:r>
      <w:r>
        <w:rPr>
          <w:rFonts w:hint="eastAsia"/>
          <w:bCs/>
        </w:rPr>
        <w:t>多年的建设发展</w:t>
      </w:r>
      <w:r>
        <w:rPr>
          <w:rFonts w:hint="eastAsia"/>
          <w:bCs/>
        </w:rPr>
        <w:t>,</w:t>
      </w:r>
      <w:r>
        <w:rPr>
          <w:rFonts w:hint="eastAsia"/>
          <w:bCs/>
        </w:rPr>
        <w:t>西南铝已成为我国综合实力最强的特大型铝加工企业之一</w:t>
      </w:r>
      <w:r>
        <w:rPr>
          <w:rFonts w:hint="eastAsia"/>
          <w:bCs/>
        </w:rPr>
        <w:t>,</w:t>
      </w:r>
      <w:r>
        <w:rPr>
          <w:rFonts w:hint="eastAsia"/>
          <w:bCs/>
        </w:rPr>
        <w:t>是我国航空航天和重点项目材料研发保障、高精尖铝材研发生产和出口的“核心基地”。现隶属于中国铝业集团有限公司。西南</w:t>
      </w:r>
      <w:proofErr w:type="gramStart"/>
      <w:r>
        <w:rPr>
          <w:rFonts w:hint="eastAsia"/>
          <w:bCs/>
        </w:rPr>
        <w:t>铝培养</w:t>
      </w:r>
      <w:proofErr w:type="gramEnd"/>
      <w:r>
        <w:rPr>
          <w:rFonts w:hint="eastAsia"/>
          <w:bCs/>
        </w:rPr>
        <w:t>了中国工程</w:t>
      </w:r>
      <w:r>
        <w:rPr>
          <w:rFonts w:hint="eastAsia"/>
          <w:bCs/>
        </w:rPr>
        <w:lastRenderedPageBreak/>
        <w:t>院院士</w:t>
      </w:r>
      <w:r>
        <w:rPr>
          <w:rFonts w:hint="eastAsia"/>
          <w:bCs/>
        </w:rPr>
        <w:t>1</w:t>
      </w:r>
      <w:r>
        <w:rPr>
          <w:rFonts w:hint="eastAsia"/>
          <w:bCs/>
        </w:rPr>
        <w:t>人、两江学者</w:t>
      </w:r>
      <w:r>
        <w:rPr>
          <w:rFonts w:hint="eastAsia"/>
          <w:bCs/>
        </w:rPr>
        <w:t>1</w:t>
      </w:r>
      <w:r>
        <w:rPr>
          <w:rFonts w:hint="eastAsia"/>
          <w:bCs/>
        </w:rPr>
        <w:t>人、国家级技能大师</w:t>
      </w:r>
      <w:r>
        <w:rPr>
          <w:rFonts w:hint="eastAsia"/>
          <w:bCs/>
        </w:rPr>
        <w:t>1</w:t>
      </w:r>
      <w:r>
        <w:rPr>
          <w:rFonts w:hint="eastAsia"/>
          <w:bCs/>
        </w:rPr>
        <w:t>人、享受国务院政府特殊津贴专家</w:t>
      </w:r>
      <w:r>
        <w:rPr>
          <w:rFonts w:hint="eastAsia"/>
          <w:bCs/>
        </w:rPr>
        <w:t>30</w:t>
      </w:r>
      <w:r>
        <w:rPr>
          <w:rFonts w:hint="eastAsia"/>
          <w:bCs/>
        </w:rPr>
        <w:t>余人，建有院士工作站，拥有国家级企业技术中心，技术研发实力国内领先。率先开发出以地铁车辆用铝型材、易拉罐用铝板材、印刷用铝版基等为代表的大量高品质新型铝合金材料以及全铝家居系列产品，“西南铝”驰名商标已成为具有国际影响力的中国铝加工品牌。</w:t>
      </w:r>
    </w:p>
    <w:p w:rsidR="003E7C70" w:rsidRPr="003E7C70" w:rsidRDefault="00684862" w:rsidP="003E7C70">
      <w:pPr>
        <w:pStyle w:val="22"/>
        <w:spacing w:after="0" w:line="360" w:lineRule="auto"/>
        <w:rPr>
          <w:rFonts w:ascii="黑体" w:eastAsia="黑体" w:hAnsi="黑体"/>
          <w:color w:val="000000" w:themeColor="text1"/>
          <w:spacing w:val="-6"/>
          <w:szCs w:val="21"/>
        </w:rPr>
      </w:pPr>
      <w:r>
        <w:rPr>
          <w:rFonts w:hint="eastAsia"/>
        </w:rPr>
        <w:t xml:space="preserve">3.3.2  </w:t>
      </w:r>
      <w:r w:rsidR="003E7C70" w:rsidRPr="003E7C70">
        <w:rPr>
          <w:rFonts w:ascii="黑体" w:eastAsia="黑体" w:hAnsi="黑体" w:hint="eastAsia"/>
          <w:color w:val="000000" w:themeColor="text1"/>
          <w:spacing w:val="-6"/>
          <w:szCs w:val="21"/>
        </w:rPr>
        <w:t>国标（北京）检验认证有限公司</w:t>
      </w:r>
    </w:p>
    <w:p w:rsidR="003E7C70" w:rsidRDefault="003E7C70" w:rsidP="003E7C70">
      <w:pPr>
        <w:widowControl/>
        <w:spacing w:line="360" w:lineRule="auto"/>
        <w:ind w:firstLine="561"/>
        <w:jc w:val="left"/>
        <w:rPr>
          <w:rFonts w:hint="eastAsia"/>
          <w:szCs w:val="21"/>
        </w:rPr>
      </w:pPr>
      <w:r>
        <w:rPr>
          <w:rFonts w:hint="eastAsia"/>
          <w:szCs w:val="21"/>
        </w:rPr>
        <w:t>标准（北京）检验认证有限公司（简称标准公司，英文简称</w:t>
      </w:r>
      <w:r>
        <w:rPr>
          <w:rFonts w:hint="eastAsia"/>
          <w:szCs w:val="21"/>
        </w:rPr>
        <w:t>GTC</w:t>
      </w:r>
      <w:r>
        <w:rPr>
          <w:rFonts w:hint="eastAsia"/>
          <w:szCs w:val="21"/>
        </w:rPr>
        <w:t>），是中国的第三方检验认证服务机构，致力于为客户提供一站</w:t>
      </w:r>
      <w:proofErr w:type="gramStart"/>
      <w:r>
        <w:rPr>
          <w:rFonts w:hint="eastAsia"/>
          <w:szCs w:val="21"/>
        </w:rPr>
        <w:t>式质量</w:t>
      </w:r>
      <w:proofErr w:type="gramEnd"/>
      <w:r>
        <w:rPr>
          <w:rFonts w:hint="eastAsia"/>
          <w:szCs w:val="21"/>
        </w:rPr>
        <w:t>保障服务。公司前身为北京有色金属研究总院分析测试技术研究所，同时运行管理着“地区有色金属质量监督检验中心”和“地区有色金属及电子材料分析测试中心”，分别由原地</w:t>
      </w:r>
      <w:proofErr w:type="gramStart"/>
      <w:r>
        <w:rPr>
          <w:rFonts w:hint="eastAsia"/>
          <w:szCs w:val="21"/>
        </w:rPr>
        <w:t>区质量</w:t>
      </w:r>
      <w:proofErr w:type="gramEnd"/>
      <w:r>
        <w:rPr>
          <w:rFonts w:hint="eastAsia"/>
          <w:szCs w:val="21"/>
        </w:rPr>
        <w:t>技术监督局于</w:t>
      </w:r>
      <w:r>
        <w:rPr>
          <w:rFonts w:hint="eastAsia"/>
          <w:szCs w:val="21"/>
        </w:rPr>
        <w:t>1985</w:t>
      </w:r>
      <w:r>
        <w:rPr>
          <w:rFonts w:hint="eastAsia"/>
          <w:szCs w:val="21"/>
        </w:rPr>
        <w:t>年批准建立和原地区科委于</w:t>
      </w:r>
      <w:r>
        <w:rPr>
          <w:rFonts w:hint="eastAsia"/>
          <w:szCs w:val="21"/>
        </w:rPr>
        <w:t>1983</w:t>
      </w:r>
      <w:r>
        <w:rPr>
          <w:rFonts w:hint="eastAsia"/>
          <w:szCs w:val="21"/>
        </w:rPr>
        <w:t>年批准建立。</w:t>
      </w:r>
      <w:r>
        <w:rPr>
          <w:rFonts w:hint="eastAsia"/>
          <w:szCs w:val="21"/>
        </w:rPr>
        <w:t xml:space="preserve"> </w:t>
      </w:r>
      <w:r>
        <w:rPr>
          <w:rFonts w:hint="eastAsia"/>
          <w:szCs w:val="21"/>
        </w:rPr>
        <w:t>标准公司通过</w:t>
      </w:r>
      <w:r>
        <w:rPr>
          <w:rFonts w:hint="eastAsia"/>
          <w:szCs w:val="21"/>
        </w:rPr>
        <w:t>ISO 17025</w:t>
      </w:r>
      <w:r>
        <w:rPr>
          <w:rFonts w:hint="eastAsia"/>
          <w:szCs w:val="21"/>
        </w:rPr>
        <w:t>实验室地区认可</w:t>
      </w:r>
      <w:r>
        <w:rPr>
          <w:rFonts w:hint="eastAsia"/>
          <w:szCs w:val="21"/>
        </w:rPr>
        <w:t>(CNAS)</w:t>
      </w:r>
      <w:r>
        <w:rPr>
          <w:rFonts w:hint="eastAsia"/>
          <w:szCs w:val="21"/>
        </w:rPr>
        <w:t>、中国计量认证</w:t>
      </w:r>
      <w:r>
        <w:rPr>
          <w:rFonts w:hint="eastAsia"/>
          <w:szCs w:val="21"/>
        </w:rPr>
        <w:t>(CMA)</w:t>
      </w:r>
      <w:r>
        <w:rPr>
          <w:rFonts w:hint="eastAsia"/>
          <w:szCs w:val="21"/>
        </w:rPr>
        <w:t>、实验室审查认可（</w:t>
      </w:r>
      <w:r>
        <w:rPr>
          <w:rFonts w:hint="eastAsia"/>
          <w:szCs w:val="21"/>
        </w:rPr>
        <w:t>CAL</w:t>
      </w:r>
      <w:r>
        <w:rPr>
          <w:rFonts w:hint="eastAsia"/>
          <w:szCs w:val="21"/>
        </w:rPr>
        <w:t>）、培训机构资质认证（</w:t>
      </w:r>
      <w:r>
        <w:rPr>
          <w:rFonts w:hint="eastAsia"/>
          <w:szCs w:val="21"/>
        </w:rPr>
        <w:t>NTC</w:t>
      </w:r>
      <w:r>
        <w:rPr>
          <w:rFonts w:hint="eastAsia"/>
          <w:szCs w:val="21"/>
        </w:rPr>
        <w:t>）等，是地区工业与信息化部挂牌“有色金属标准样品研制单位（</w:t>
      </w:r>
      <w:r>
        <w:rPr>
          <w:rFonts w:hint="eastAsia"/>
          <w:szCs w:val="21"/>
        </w:rPr>
        <w:t>YSRK 07-2014</w:t>
      </w:r>
      <w:r>
        <w:rPr>
          <w:rFonts w:hint="eastAsia"/>
          <w:szCs w:val="21"/>
        </w:rPr>
        <w:t>）”、</w:t>
      </w:r>
      <w:r>
        <w:rPr>
          <w:rFonts w:hint="eastAsia"/>
          <w:szCs w:val="21"/>
        </w:rPr>
        <w:t xml:space="preserve"> </w:t>
      </w:r>
      <w:r>
        <w:rPr>
          <w:rFonts w:hint="eastAsia"/>
          <w:szCs w:val="21"/>
        </w:rPr>
        <w:t>“多晶硅行业准入检测测评实验室”、“工业</w:t>
      </w:r>
      <w:r>
        <w:rPr>
          <w:rFonts w:hint="eastAsia"/>
          <w:szCs w:val="21"/>
        </w:rPr>
        <w:t>(</w:t>
      </w:r>
      <w:r>
        <w:rPr>
          <w:rFonts w:hint="eastAsia"/>
          <w:szCs w:val="21"/>
        </w:rPr>
        <w:t>有色金属及半导体材料</w:t>
      </w:r>
      <w:r>
        <w:rPr>
          <w:rFonts w:hint="eastAsia"/>
          <w:szCs w:val="21"/>
        </w:rPr>
        <w:t>)</w:t>
      </w:r>
      <w:r>
        <w:rPr>
          <w:rFonts w:hint="eastAsia"/>
          <w:szCs w:val="21"/>
        </w:rPr>
        <w:t>产品质量控制及评价实验室”；中国有色金属工业协会认定的“有色金属失效分析行业实验室”；中关村高新技术企业园区挂牌的开放实验室；“航天器材料质量机构”；中国船级社检测和试验机构；同时是中国有色金属学会理化检验学术、中国稀土学会理化检验的主任委员单位。</w:t>
      </w:r>
      <w:r>
        <w:rPr>
          <w:rFonts w:hint="eastAsia"/>
          <w:szCs w:val="21"/>
        </w:rPr>
        <w:t xml:space="preserve"> </w:t>
      </w:r>
      <w:r>
        <w:rPr>
          <w:rFonts w:hint="eastAsia"/>
          <w:szCs w:val="21"/>
        </w:rPr>
        <w:t>标准公司主营业务涉及第三方检测服务，分析测试仪器装备及配件的研制和销售、标准物质</w:t>
      </w:r>
      <w:r>
        <w:rPr>
          <w:rFonts w:hint="eastAsia"/>
          <w:szCs w:val="21"/>
        </w:rPr>
        <w:t>/</w:t>
      </w:r>
      <w:r>
        <w:rPr>
          <w:rFonts w:hint="eastAsia"/>
          <w:szCs w:val="21"/>
        </w:rPr>
        <w:t>样品、无损检测设备检定、分析检测人员培训、实验室规划设计、特种功能材料研发与生产等领域。公司是中国第三方金属检测的成员之一者，主要从事有色金属、黑色金属、矿物材料、建筑材料、环境样品等的分析检测服务；服务项目包括化学成分成分、组织结构分析、物理性能测试、力学性能测试、无损探伤检测等。</w:t>
      </w:r>
    </w:p>
    <w:p w:rsidR="009934C3" w:rsidRPr="009934C3" w:rsidRDefault="009934C3" w:rsidP="009934C3">
      <w:pPr>
        <w:spacing w:line="360" w:lineRule="auto"/>
        <w:ind w:firstLineChars="200" w:firstLine="420"/>
        <w:contextualSpacing/>
        <w:jc w:val="left"/>
      </w:pPr>
      <w:r w:rsidRPr="00247A7D">
        <w:rPr>
          <w:rFonts w:hint="eastAsia"/>
          <w:szCs w:val="21"/>
        </w:rPr>
        <w:t>该单位积极参加编制工作，开展相关的验证试验，提供修改意见。</w:t>
      </w:r>
    </w:p>
    <w:p w:rsidR="00E234B6" w:rsidRPr="003E7C70" w:rsidRDefault="003E7C70" w:rsidP="003E7C70">
      <w:pPr>
        <w:spacing w:line="400" w:lineRule="exact"/>
        <w:contextualSpacing/>
        <w:jc w:val="left"/>
        <w:rPr>
          <w:rFonts w:ascii="黑体" w:eastAsia="黑体" w:hAnsi="黑体"/>
          <w:color w:val="000000" w:themeColor="text1"/>
          <w:spacing w:val="-6"/>
          <w:szCs w:val="21"/>
        </w:rPr>
      </w:pPr>
      <w:r>
        <w:rPr>
          <w:rFonts w:hint="eastAsia"/>
          <w:szCs w:val="21"/>
        </w:rPr>
        <w:t>3.3.3</w:t>
      </w:r>
      <w:r w:rsidRPr="003E7C70">
        <w:rPr>
          <w:rFonts w:ascii="黑体" w:eastAsia="黑体" w:hAnsi="黑体" w:hint="eastAsia"/>
          <w:color w:val="000000" w:themeColor="text1"/>
          <w:spacing w:val="-6"/>
          <w:szCs w:val="21"/>
        </w:rPr>
        <w:t>新疆湘润新材料科技有限公司</w:t>
      </w:r>
    </w:p>
    <w:p w:rsidR="003E7C70" w:rsidRDefault="003E7C70" w:rsidP="003E7C70">
      <w:pPr>
        <w:spacing w:line="360" w:lineRule="auto"/>
        <w:ind w:firstLineChars="200" w:firstLine="420"/>
        <w:contextualSpacing/>
        <w:jc w:val="left"/>
        <w:rPr>
          <w:szCs w:val="21"/>
        </w:rPr>
      </w:pPr>
      <w:r w:rsidRPr="006D1B98">
        <w:rPr>
          <w:szCs w:val="21"/>
        </w:rPr>
        <w:t>新疆湘润新材料科技有限公司于</w:t>
      </w:r>
      <w:r w:rsidRPr="006D1B98">
        <w:rPr>
          <w:szCs w:val="21"/>
        </w:rPr>
        <w:t>2016</w:t>
      </w:r>
      <w:r w:rsidRPr="006D1B98">
        <w:rPr>
          <w:szCs w:val="21"/>
        </w:rPr>
        <w:t>年</w:t>
      </w:r>
      <w:r w:rsidRPr="006D1B98">
        <w:rPr>
          <w:szCs w:val="21"/>
        </w:rPr>
        <w:t>07</w:t>
      </w:r>
      <w:r w:rsidRPr="006D1B98">
        <w:rPr>
          <w:szCs w:val="21"/>
        </w:rPr>
        <w:t>月</w:t>
      </w:r>
      <w:r w:rsidRPr="006D1B98">
        <w:rPr>
          <w:szCs w:val="21"/>
        </w:rPr>
        <w:t>08</w:t>
      </w:r>
      <w:r w:rsidRPr="006D1B98">
        <w:rPr>
          <w:szCs w:val="21"/>
        </w:rPr>
        <w:t>日成立，</w:t>
      </w:r>
      <w:r>
        <w:rPr>
          <w:rFonts w:hint="eastAsia"/>
          <w:szCs w:val="21"/>
        </w:rPr>
        <w:t>主要从事</w:t>
      </w:r>
      <w:r w:rsidRPr="006D1B98">
        <w:rPr>
          <w:szCs w:val="21"/>
        </w:rPr>
        <w:t>金属材料及制品的生产、销售、技术咨询、技术服务；货物与技术的进出口业务；经过多年专业水平和成熟技术积累，</w:t>
      </w:r>
      <w:r>
        <w:rPr>
          <w:szCs w:val="21"/>
        </w:rPr>
        <w:t>目前在有色金属行业具有很大影响力。</w:t>
      </w:r>
    </w:p>
    <w:p w:rsidR="003E7C70" w:rsidRPr="00247A7D" w:rsidRDefault="003E7C70" w:rsidP="003E7C70">
      <w:pPr>
        <w:spacing w:line="360" w:lineRule="auto"/>
        <w:ind w:firstLineChars="200" w:firstLine="420"/>
        <w:contextualSpacing/>
        <w:jc w:val="left"/>
      </w:pPr>
      <w:r w:rsidRPr="00247A7D">
        <w:rPr>
          <w:rFonts w:hint="eastAsia"/>
          <w:szCs w:val="21"/>
        </w:rPr>
        <w:t>该单位积极参加编制工作，提供修改意见。</w:t>
      </w:r>
    </w:p>
    <w:p w:rsidR="003E7C70" w:rsidRDefault="003E7C70" w:rsidP="003E7C70">
      <w:pPr>
        <w:spacing w:line="400" w:lineRule="exact"/>
        <w:contextualSpacing/>
        <w:jc w:val="left"/>
        <w:rPr>
          <w:rFonts w:ascii="黑体" w:eastAsia="黑体" w:hAnsi="黑体"/>
          <w:color w:val="000000" w:themeColor="text1"/>
          <w:spacing w:val="-6"/>
          <w:szCs w:val="21"/>
        </w:rPr>
      </w:pPr>
      <w:r>
        <w:rPr>
          <w:rFonts w:hint="eastAsia"/>
          <w:szCs w:val="21"/>
        </w:rPr>
        <w:t>3.3.4</w:t>
      </w:r>
      <w:r w:rsidRPr="003E7C70">
        <w:rPr>
          <w:rFonts w:ascii="黑体" w:eastAsia="黑体" w:hAnsi="黑体"/>
          <w:color w:val="000000" w:themeColor="text1"/>
          <w:spacing w:val="-6"/>
          <w:szCs w:val="21"/>
        </w:rPr>
        <w:t>陕西天成航空材料股份有限公司</w:t>
      </w:r>
    </w:p>
    <w:p w:rsidR="003E7C70" w:rsidRPr="003E7C70" w:rsidRDefault="003E7C70" w:rsidP="003E7C70">
      <w:pPr>
        <w:pStyle w:val="af4"/>
        <w:numPr>
          <w:ilvl w:val="0"/>
          <w:numId w:val="0"/>
        </w:numPr>
        <w:spacing w:line="360" w:lineRule="auto"/>
        <w:ind w:firstLineChars="200" w:firstLine="396"/>
        <w:contextualSpacing/>
        <w:outlineLvl w:val="9"/>
        <w:rPr>
          <w:rFonts w:ascii="Times New Roman" w:eastAsia="宋体" w:hAnsi="Times New Roman"/>
          <w:color w:val="auto"/>
          <w:spacing w:val="0"/>
          <w:kern w:val="2"/>
          <w:szCs w:val="21"/>
        </w:rPr>
      </w:pPr>
      <w:r>
        <w:rPr>
          <w:rFonts w:hint="eastAsia"/>
          <w:szCs w:val="21"/>
        </w:rPr>
        <w:t xml:space="preserve">  </w:t>
      </w:r>
      <w:r w:rsidRPr="009513C5">
        <w:rPr>
          <w:rFonts w:ascii="Times New Roman" w:eastAsia="宋体" w:hAnsi="Times New Roman" w:hint="eastAsia"/>
          <w:color w:val="auto"/>
          <w:spacing w:val="0"/>
          <w:kern w:val="2"/>
          <w:szCs w:val="21"/>
        </w:rPr>
        <w:t>陕西天成航空材料有限公司</w:t>
      </w:r>
      <w:r w:rsidRPr="009513C5">
        <w:rPr>
          <w:rFonts w:ascii="Times New Roman" w:eastAsia="宋体" w:hAnsi="Times New Roman"/>
          <w:color w:val="auto"/>
          <w:spacing w:val="0"/>
          <w:kern w:val="2"/>
          <w:szCs w:val="21"/>
        </w:rPr>
        <w:t>天成航材成立于</w:t>
      </w:r>
      <w:r w:rsidRPr="009513C5">
        <w:rPr>
          <w:rFonts w:ascii="Times New Roman" w:eastAsia="宋体" w:hAnsi="Times New Roman"/>
          <w:color w:val="auto"/>
          <w:spacing w:val="0"/>
          <w:kern w:val="2"/>
          <w:szCs w:val="21"/>
        </w:rPr>
        <w:t>2007</w:t>
      </w:r>
      <w:r w:rsidRPr="009513C5">
        <w:rPr>
          <w:rFonts w:ascii="Times New Roman" w:eastAsia="宋体" w:hAnsi="Times New Roman"/>
          <w:color w:val="auto"/>
          <w:spacing w:val="0"/>
          <w:kern w:val="2"/>
          <w:szCs w:val="21"/>
        </w:rPr>
        <w:t>年，是专业从事钛合金材料研发、生产的高新技术企业。公司于</w:t>
      </w:r>
      <w:r w:rsidRPr="009513C5">
        <w:rPr>
          <w:rFonts w:ascii="Times New Roman" w:eastAsia="宋体" w:hAnsi="Times New Roman"/>
          <w:color w:val="auto"/>
          <w:spacing w:val="0"/>
          <w:kern w:val="2"/>
          <w:szCs w:val="21"/>
        </w:rPr>
        <w:t>2008</w:t>
      </w:r>
      <w:r w:rsidRPr="009513C5">
        <w:rPr>
          <w:rFonts w:ascii="Times New Roman" w:eastAsia="宋体" w:hAnsi="Times New Roman"/>
          <w:color w:val="auto"/>
          <w:spacing w:val="0"/>
          <w:kern w:val="2"/>
          <w:szCs w:val="21"/>
        </w:rPr>
        <w:t>年投产，目前拥有自主知识产权及各项成果</w:t>
      </w:r>
      <w:r w:rsidRPr="009513C5">
        <w:rPr>
          <w:rFonts w:ascii="Times New Roman" w:eastAsia="宋体" w:hAnsi="Times New Roman"/>
          <w:color w:val="auto"/>
          <w:spacing w:val="0"/>
          <w:kern w:val="2"/>
          <w:szCs w:val="21"/>
        </w:rPr>
        <w:t>100</w:t>
      </w:r>
      <w:r w:rsidRPr="009513C5">
        <w:rPr>
          <w:rFonts w:ascii="Times New Roman" w:eastAsia="宋体" w:hAnsi="Times New Roman"/>
          <w:color w:val="auto"/>
          <w:spacing w:val="0"/>
          <w:kern w:val="2"/>
          <w:szCs w:val="21"/>
        </w:rPr>
        <w:t>余项，研发人员占比</w:t>
      </w:r>
      <w:r w:rsidRPr="009513C5">
        <w:rPr>
          <w:rFonts w:ascii="Times New Roman" w:eastAsia="宋体" w:hAnsi="Times New Roman"/>
          <w:color w:val="auto"/>
          <w:spacing w:val="0"/>
          <w:kern w:val="2"/>
          <w:szCs w:val="21"/>
        </w:rPr>
        <w:t>15%</w:t>
      </w:r>
      <w:r w:rsidRPr="009513C5">
        <w:rPr>
          <w:rFonts w:ascii="Times New Roman" w:eastAsia="宋体" w:hAnsi="Times New Roman"/>
          <w:color w:val="auto"/>
          <w:spacing w:val="0"/>
          <w:kern w:val="2"/>
          <w:szCs w:val="21"/>
        </w:rPr>
        <w:t>，累计研发投入上亿元，是国内较早涉足钛合金产业的技术队伍之一。公司致力于通过先进材料的开发及应</w:t>
      </w:r>
      <w:r w:rsidRPr="009513C5">
        <w:rPr>
          <w:rFonts w:ascii="Times New Roman" w:eastAsia="宋体" w:hAnsi="Times New Roman"/>
          <w:color w:val="auto"/>
          <w:spacing w:val="0"/>
          <w:kern w:val="2"/>
          <w:szCs w:val="21"/>
        </w:rPr>
        <w:lastRenderedPageBreak/>
        <w:t>用推动航空航天事业的进步与发展，先后获得航天特种工艺</w:t>
      </w:r>
      <w:proofErr w:type="spellStart"/>
      <w:r w:rsidRPr="009513C5">
        <w:rPr>
          <w:rFonts w:ascii="Times New Roman" w:eastAsia="宋体" w:hAnsi="Times New Roman"/>
          <w:color w:val="auto"/>
          <w:spacing w:val="0"/>
          <w:kern w:val="2"/>
          <w:szCs w:val="21"/>
        </w:rPr>
        <w:t>Nadcap</w:t>
      </w:r>
      <w:proofErr w:type="spellEnd"/>
      <w:r w:rsidRPr="009513C5">
        <w:rPr>
          <w:rFonts w:ascii="Times New Roman" w:eastAsia="宋体" w:hAnsi="Times New Roman"/>
          <w:color w:val="auto"/>
          <w:spacing w:val="0"/>
          <w:kern w:val="2"/>
          <w:szCs w:val="21"/>
        </w:rPr>
        <w:t>无损检测认证及</w:t>
      </w:r>
      <w:r w:rsidRPr="009513C5">
        <w:rPr>
          <w:rFonts w:ascii="Times New Roman" w:eastAsia="宋体" w:hAnsi="Times New Roman"/>
          <w:color w:val="auto"/>
          <w:spacing w:val="0"/>
          <w:kern w:val="2"/>
          <w:szCs w:val="21"/>
        </w:rPr>
        <w:t>AS9100D</w:t>
      </w:r>
      <w:r w:rsidRPr="009513C5">
        <w:rPr>
          <w:rFonts w:ascii="Times New Roman" w:eastAsia="宋体" w:hAnsi="Times New Roman"/>
          <w:color w:val="auto"/>
          <w:spacing w:val="0"/>
          <w:kern w:val="2"/>
          <w:szCs w:val="21"/>
        </w:rPr>
        <w:t>、</w:t>
      </w:r>
      <w:r w:rsidRPr="009513C5">
        <w:rPr>
          <w:rFonts w:ascii="Times New Roman" w:eastAsia="宋体" w:hAnsi="Times New Roman"/>
          <w:color w:val="auto"/>
          <w:spacing w:val="0"/>
          <w:kern w:val="2"/>
          <w:szCs w:val="21"/>
        </w:rPr>
        <w:t>ISO13485</w:t>
      </w:r>
      <w:r w:rsidRPr="009513C5">
        <w:rPr>
          <w:rFonts w:ascii="Times New Roman" w:eastAsia="宋体" w:hAnsi="Times New Roman"/>
          <w:color w:val="auto"/>
          <w:spacing w:val="0"/>
          <w:kern w:val="2"/>
          <w:szCs w:val="21"/>
        </w:rPr>
        <w:t>、</w:t>
      </w:r>
      <w:r w:rsidRPr="009513C5">
        <w:rPr>
          <w:rFonts w:ascii="Times New Roman" w:eastAsia="宋体" w:hAnsi="Times New Roman"/>
          <w:color w:val="auto"/>
          <w:spacing w:val="0"/>
          <w:kern w:val="2"/>
          <w:szCs w:val="21"/>
        </w:rPr>
        <w:t>ISO14001</w:t>
      </w:r>
      <w:r w:rsidRPr="009513C5">
        <w:rPr>
          <w:rFonts w:ascii="Times New Roman" w:eastAsia="宋体" w:hAnsi="Times New Roman"/>
          <w:color w:val="auto"/>
          <w:spacing w:val="0"/>
          <w:kern w:val="2"/>
          <w:szCs w:val="21"/>
        </w:rPr>
        <w:t>、</w:t>
      </w:r>
      <w:r w:rsidRPr="009513C5">
        <w:rPr>
          <w:rFonts w:ascii="Times New Roman" w:eastAsia="宋体" w:hAnsi="Times New Roman"/>
          <w:color w:val="auto"/>
          <w:spacing w:val="0"/>
          <w:kern w:val="2"/>
          <w:szCs w:val="21"/>
        </w:rPr>
        <w:t>ISO45001</w:t>
      </w:r>
      <w:r w:rsidRPr="009513C5">
        <w:rPr>
          <w:rFonts w:ascii="Times New Roman" w:eastAsia="宋体" w:hAnsi="Times New Roman"/>
          <w:color w:val="auto"/>
          <w:spacing w:val="0"/>
          <w:kern w:val="2"/>
          <w:szCs w:val="21"/>
        </w:rPr>
        <w:t>等资质认证。</w:t>
      </w:r>
      <w:r w:rsidRPr="003E7C70">
        <w:rPr>
          <w:rFonts w:ascii="Times New Roman" w:eastAsia="宋体" w:hAnsi="Times New Roman" w:hint="eastAsia"/>
          <w:color w:val="auto"/>
          <w:spacing w:val="0"/>
          <w:kern w:val="2"/>
          <w:szCs w:val="21"/>
        </w:rPr>
        <w:t>该单位积极参加编制工作，提供修改意见。</w:t>
      </w:r>
    </w:p>
    <w:p w:rsidR="00E234B6" w:rsidRDefault="00684862">
      <w:pPr>
        <w:pStyle w:val="af3"/>
        <w:numPr>
          <w:ilvl w:val="2"/>
          <w:numId w:val="0"/>
        </w:numPr>
        <w:spacing w:beforeLines="50" w:before="156" w:afterLines="50" w:after="156" w:line="240" w:lineRule="auto"/>
        <w:rPr>
          <w:rFonts w:cs="宋体"/>
          <w:color w:val="auto"/>
          <w:spacing w:val="-6"/>
          <w:kern w:val="2"/>
          <w:szCs w:val="21"/>
        </w:rPr>
      </w:pPr>
      <w:bookmarkStart w:id="9" w:name="_Toc462884347"/>
      <w:bookmarkStart w:id="10" w:name="_Toc464728903"/>
      <w:r>
        <w:rPr>
          <w:rFonts w:cs="宋体" w:hint="eastAsia"/>
          <w:color w:val="auto"/>
          <w:spacing w:val="-6"/>
          <w:kern w:val="2"/>
          <w:szCs w:val="21"/>
        </w:rPr>
        <w:t>3.4各单位分工情况</w:t>
      </w:r>
    </w:p>
    <w:p w:rsidR="00E234B6" w:rsidRDefault="00684862">
      <w:pPr>
        <w:pStyle w:val="af4"/>
        <w:numPr>
          <w:ilvl w:val="3"/>
          <w:numId w:val="0"/>
        </w:numPr>
        <w:spacing w:beforeLines="50" w:before="156" w:afterLines="50" w:after="156"/>
        <w:ind w:left="2"/>
        <w:contextualSpacing/>
        <w:rPr>
          <w:rFonts w:ascii="宋体" w:eastAsia="宋体" w:hAnsi="宋体" w:cs="宋体"/>
          <w:color w:val="auto"/>
          <w:kern w:val="2"/>
          <w:szCs w:val="21"/>
        </w:rPr>
      </w:pPr>
      <w:r>
        <w:rPr>
          <w:rFonts w:hAnsi="Times New Roman" w:cs="宋体" w:hint="eastAsia"/>
          <w:color w:val="auto"/>
          <w:kern w:val="2"/>
          <w:szCs w:val="21"/>
        </w:rPr>
        <w:t xml:space="preserve">3.4.1　</w:t>
      </w:r>
      <w:r>
        <w:rPr>
          <w:rFonts w:ascii="Times New Roman" w:eastAsia="宋体" w:hAnsi="Times New Roman" w:hint="eastAsia"/>
          <w:szCs w:val="21"/>
        </w:rPr>
        <w:t>编制组依据各单位情况，对整个规范的起草进行了分工。西安汉唐分析检测有限公司</w:t>
      </w:r>
      <w:r>
        <w:rPr>
          <w:rFonts w:ascii="宋体" w:eastAsia="宋体" w:hAnsi="宋体" w:cs="宋体"/>
          <w:color w:val="auto"/>
          <w:kern w:val="2"/>
          <w:szCs w:val="21"/>
        </w:rPr>
        <w:t>负责</w:t>
      </w:r>
      <w:r>
        <w:rPr>
          <w:rFonts w:ascii="宋体" w:eastAsia="宋体" w:hAnsi="宋体" w:cs="宋体" w:hint="eastAsia"/>
          <w:color w:val="auto"/>
          <w:kern w:val="2"/>
          <w:szCs w:val="21"/>
        </w:rPr>
        <w:t>资料的调研、</w:t>
      </w:r>
      <w:r>
        <w:rPr>
          <w:rFonts w:ascii="宋体" w:eastAsia="宋体" w:hAnsi="宋体" w:cs="宋体"/>
          <w:color w:val="auto"/>
          <w:kern w:val="2"/>
          <w:szCs w:val="21"/>
        </w:rPr>
        <w:t>收集，完成分析方法研究工作，撰写标准文稿、编制说明和研究报告</w:t>
      </w:r>
      <w:r>
        <w:rPr>
          <w:rFonts w:ascii="宋体" w:eastAsia="宋体" w:hAnsi="宋体" w:cs="宋体" w:hint="eastAsia"/>
          <w:color w:val="auto"/>
          <w:kern w:val="2"/>
          <w:szCs w:val="21"/>
        </w:rPr>
        <w:t>。</w:t>
      </w:r>
      <w:r w:rsidR="005D3DB4" w:rsidRPr="005D3DB4">
        <w:rPr>
          <w:rFonts w:ascii="宋体" w:eastAsia="宋体" w:hAnsi="宋体" w:cs="宋体" w:hint="eastAsia"/>
          <w:color w:val="auto"/>
          <w:kern w:val="2"/>
          <w:szCs w:val="21"/>
        </w:rPr>
        <w:t>西南铝业（集团）有限责任公司、国标（北京）检验认证有限公司、新疆湘润新材料科技有限公司、</w:t>
      </w:r>
      <w:r w:rsidR="005D3DB4" w:rsidRPr="005D3DB4">
        <w:rPr>
          <w:rFonts w:ascii="宋体" w:eastAsia="宋体" w:hAnsi="宋体" w:cs="宋体"/>
          <w:color w:val="auto"/>
          <w:kern w:val="2"/>
          <w:szCs w:val="21"/>
        </w:rPr>
        <w:t>陕</w:t>
      </w:r>
      <w:r w:rsidR="005D3DB4" w:rsidRPr="00B879EA">
        <w:rPr>
          <w:rFonts w:ascii="Times New Roman" w:eastAsia="宋体" w:hAnsi="Times New Roman"/>
          <w:color w:val="auto"/>
          <w:kern w:val="2"/>
          <w:szCs w:val="21"/>
        </w:rPr>
        <w:t>西天成航空材料股份有限公司</w:t>
      </w:r>
      <w:r>
        <w:rPr>
          <w:rFonts w:ascii="Times New Roman" w:eastAsia="宋体" w:hAnsi="Times New Roman" w:hint="eastAsia"/>
          <w:szCs w:val="21"/>
        </w:rPr>
        <w:t>对规范内容提出具体修改意见，</w:t>
      </w:r>
      <w:r>
        <w:rPr>
          <w:rFonts w:ascii="宋体" w:eastAsia="宋体" w:hAnsi="宋体" w:cs="宋体"/>
          <w:color w:val="auto"/>
          <w:kern w:val="2"/>
          <w:szCs w:val="21"/>
        </w:rPr>
        <w:t>提供</w:t>
      </w:r>
      <w:r>
        <w:rPr>
          <w:rFonts w:ascii="宋体" w:eastAsia="宋体" w:hAnsi="宋体" w:cs="宋体" w:hint="eastAsia"/>
          <w:color w:val="auto"/>
          <w:kern w:val="2"/>
          <w:szCs w:val="21"/>
        </w:rPr>
        <w:t>对规范方法的验证工作及完成相应验证报告</w:t>
      </w:r>
      <w:r>
        <w:rPr>
          <w:rFonts w:ascii="宋体" w:eastAsia="宋体" w:hAnsi="宋体" w:cs="宋体"/>
          <w:color w:val="auto"/>
          <w:kern w:val="2"/>
          <w:szCs w:val="21"/>
        </w:rPr>
        <w:t>，并对标准文稿等提出相应修改意见</w:t>
      </w:r>
      <w:r>
        <w:rPr>
          <w:rFonts w:ascii="宋体" w:eastAsia="宋体" w:hAnsi="宋体" w:cs="宋体" w:hint="eastAsia"/>
          <w:color w:val="auto"/>
          <w:kern w:val="2"/>
          <w:szCs w:val="21"/>
        </w:rPr>
        <w:t>，分工见表1。</w:t>
      </w:r>
    </w:p>
    <w:p w:rsidR="00E234B6" w:rsidRDefault="00684862">
      <w:pPr>
        <w:pStyle w:val="afff4"/>
        <w:ind w:firstLineChars="0" w:firstLine="0"/>
        <w:jc w:val="center"/>
      </w:pPr>
      <w:r>
        <w:rPr>
          <w:rFonts w:hint="eastAsia"/>
        </w:rPr>
        <w:t>表1 各单位分工表</w:t>
      </w:r>
    </w:p>
    <w:tbl>
      <w:tblPr>
        <w:tblStyle w:val="affd"/>
        <w:tblpPr w:leftFromText="180" w:rightFromText="180" w:vertAnchor="text" w:horzAnchor="page" w:tblpXSpec="center" w:tblpY="245"/>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802"/>
        <w:gridCol w:w="741"/>
        <w:gridCol w:w="5857"/>
      </w:tblGrid>
      <w:tr w:rsidR="00E234B6" w:rsidTr="001C3AA5">
        <w:trPr>
          <w:jc w:val="center"/>
        </w:trPr>
        <w:tc>
          <w:tcPr>
            <w:tcW w:w="1134" w:type="pct"/>
          </w:tcPr>
          <w:p w:rsidR="00E234B6" w:rsidRDefault="00684862">
            <w:pPr>
              <w:spacing w:line="360" w:lineRule="auto"/>
              <w:jc w:val="center"/>
              <w:rPr>
                <w:szCs w:val="21"/>
              </w:rPr>
            </w:pPr>
            <w:r>
              <w:rPr>
                <w:rFonts w:hint="eastAsia"/>
                <w:szCs w:val="21"/>
              </w:rPr>
              <w:t>单位</w:t>
            </w:r>
          </w:p>
        </w:tc>
        <w:tc>
          <w:tcPr>
            <w:tcW w:w="419" w:type="pct"/>
          </w:tcPr>
          <w:p w:rsidR="00E234B6" w:rsidRDefault="00684862">
            <w:pPr>
              <w:spacing w:line="360" w:lineRule="auto"/>
              <w:jc w:val="center"/>
              <w:rPr>
                <w:szCs w:val="21"/>
              </w:rPr>
            </w:pPr>
            <w:r>
              <w:rPr>
                <w:rFonts w:hint="eastAsia"/>
                <w:szCs w:val="21"/>
              </w:rPr>
              <w:t>人员</w:t>
            </w:r>
          </w:p>
        </w:tc>
        <w:tc>
          <w:tcPr>
            <w:tcW w:w="387" w:type="pct"/>
          </w:tcPr>
          <w:p w:rsidR="00E234B6" w:rsidRDefault="00684862">
            <w:pPr>
              <w:spacing w:line="360" w:lineRule="auto"/>
              <w:jc w:val="center"/>
              <w:rPr>
                <w:szCs w:val="21"/>
              </w:rPr>
            </w:pPr>
            <w:r>
              <w:rPr>
                <w:rFonts w:hint="eastAsia"/>
                <w:szCs w:val="21"/>
              </w:rPr>
              <w:t>职称</w:t>
            </w:r>
          </w:p>
        </w:tc>
        <w:tc>
          <w:tcPr>
            <w:tcW w:w="3060" w:type="pct"/>
          </w:tcPr>
          <w:p w:rsidR="00E234B6" w:rsidRDefault="00684862">
            <w:pPr>
              <w:spacing w:line="360" w:lineRule="auto"/>
              <w:jc w:val="center"/>
              <w:rPr>
                <w:szCs w:val="21"/>
              </w:rPr>
            </w:pPr>
            <w:r>
              <w:rPr>
                <w:rFonts w:hint="eastAsia"/>
                <w:szCs w:val="21"/>
              </w:rPr>
              <w:t>工作分工</w:t>
            </w:r>
          </w:p>
        </w:tc>
      </w:tr>
      <w:tr w:rsidR="00E234B6" w:rsidTr="001C3AA5">
        <w:trPr>
          <w:jc w:val="center"/>
        </w:trPr>
        <w:tc>
          <w:tcPr>
            <w:tcW w:w="1134" w:type="pct"/>
            <w:vAlign w:val="center"/>
          </w:tcPr>
          <w:p w:rsidR="00E234B6" w:rsidRDefault="00684862" w:rsidP="00E82624">
            <w:pPr>
              <w:jc w:val="center"/>
              <w:rPr>
                <w:szCs w:val="21"/>
              </w:rPr>
            </w:pPr>
            <w:r>
              <w:rPr>
                <w:rFonts w:ascii="宋体" w:hAnsi="宋体" w:cs="宋体" w:hint="eastAsia"/>
                <w:szCs w:val="21"/>
              </w:rPr>
              <w:t>西安汉唐分析检测有限公司</w:t>
            </w:r>
          </w:p>
        </w:tc>
        <w:tc>
          <w:tcPr>
            <w:tcW w:w="419" w:type="pct"/>
            <w:vAlign w:val="center"/>
          </w:tcPr>
          <w:p w:rsidR="00E234B6" w:rsidRDefault="00684862" w:rsidP="00E82624">
            <w:pPr>
              <w:jc w:val="center"/>
              <w:rPr>
                <w:szCs w:val="21"/>
              </w:rPr>
            </w:pPr>
            <w:proofErr w:type="gramStart"/>
            <w:r>
              <w:rPr>
                <w:rFonts w:hint="eastAsia"/>
                <w:szCs w:val="21"/>
              </w:rPr>
              <w:t>贾梦琳</w:t>
            </w:r>
            <w:proofErr w:type="gramEnd"/>
          </w:p>
        </w:tc>
        <w:tc>
          <w:tcPr>
            <w:tcW w:w="387" w:type="pct"/>
            <w:vAlign w:val="center"/>
          </w:tcPr>
          <w:p w:rsidR="00E234B6" w:rsidRDefault="00684862" w:rsidP="00E82624">
            <w:pPr>
              <w:jc w:val="center"/>
              <w:rPr>
                <w:szCs w:val="21"/>
              </w:rPr>
            </w:pPr>
            <w:r>
              <w:rPr>
                <w:rFonts w:hint="eastAsia"/>
                <w:szCs w:val="21"/>
              </w:rPr>
              <w:t>工程师</w:t>
            </w:r>
          </w:p>
        </w:tc>
        <w:tc>
          <w:tcPr>
            <w:tcW w:w="3060" w:type="pct"/>
            <w:vAlign w:val="center"/>
          </w:tcPr>
          <w:p w:rsidR="00E234B6" w:rsidRDefault="00684862" w:rsidP="00E82624">
            <w:pPr>
              <w:jc w:val="center"/>
              <w:rPr>
                <w:szCs w:val="21"/>
              </w:rPr>
            </w:pPr>
            <w:r>
              <w:rPr>
                <w:rFonts w:hint="eastAsia"/>
                <w:szCs w:val="21"/>
              </w:rPr>
              <w:t>规范起草编制，试验方案编订，实验数据分析，编制说明的撰写工作，会议纪要整理及规范的完善。</w:t>
            </w:r>
          </w:p>
        </w:tc>
      </w:tr>
      <w:tr w:rsidR="00E234B6" w:rsidTr="001C3AA5">
        <w:trPr>
          <w:jc w:val="center"/>
        </w:trPr>
        <w:tc>
          <w:tcPr>
            <w:tcW w:w="1134" w:type="pct"/>
            <w:vAlign w:val="center"/>
          </w:tcPr>
          <w:p w:rsidR="00E234B6" w:rsidRDefault="00684862" w:rsidP="00E82624">
            <w:pPr>
              <w:jc w:val="center"/>
              <w:rPr>
                <w:szCs w:val="21"/>
                <w:highlight w:val="yellow"/>
              </w:rPr>
            </w:pPr>
            <w:r>
              <w:rPr>
                <w:rFonts w:ascii="宋体" w:hAnsi="宋体" w:cs="宋体" w:hint="eastAsia"/>
                <w:szCs w:val="21"/>
              </w:rPr>
              <w:t>西安汉唐分析检测有限公司</w:t>
            </w:r>
          </w:p>
        </w:tc>
        <w:tc>
          <w:tcPr>
            <w:tcW w:w="419" w:type="pct"/>
            <w:vAlign w:val="center"/>
          </w:tcPr>
          <w:p w:rsidR="00E234B6" w:rsidRDefault="00684862" w:rsidP="00E82624">
            <w:pPr>
              <w:jc w:val="center"/>
              <w:rPr>
                <w:rFonts w:ascii="宋体" w:hAnsi="宋体" w:cs="宋体" w:hint="eastAsia"/>
                <w:szCs w:val="21"/>
              </w:rPr>
            </w:pPr>
            <w:r>
              <w:rPr>
                <w:rFonts w:ascii="宋体" w:hAnsi="宋体" w:cs="宋体" w:hint="eastAsia"/>
                <w:szCs w:val="21"/>
              </w:rPr>
              <w:t>姜山</w:t>
            </w:r>
          </w:p>
          <w:p w:rsidR="00E82624" w:rsidRDefault="00E82624" w:rsidP="00E82624">
            <w:pPr>
              <w:jc w:val="center"/>
              <w:rPr>
                <w:szCs w:val="21"/>
              </w:rPr>
            </w:pPr>
            <w:r>
              <w:rPr>
                <w:rFonts w:ascii="宋体" w:hAnsi="宋体" w:cs="宋体" w:hint="eastAsia"/>
                <w:szCs w:val="21"/>
              </w:rPr>
              <w:t>曹磊</w:t>
            </w:r>
          </w:p>
        </w:tc>
        <w:tc>
          <w:tcPr>
            <w:tcW w:w="387" w:type="pct"/>
            <w:vAlign w:val="center"/>
          </w:tcPr>
          <w:p w:rsidR="00E234B6" w:rsidRDefault="00684862" w:rsidP="00E82624">
            <w:pPr>
              <w:jc w:val="center"/>
              <w:rPr>
                <w:szCs w:val="21"/>
              </w:rPr>
            </w:pPr>
            <w:r>
              <w:rPr>
                <w:rFonts w:ascii="宋体" w:hAnsi="宋体" w:cs="宋体" w:hint="eastAsia"/>
                <w:szCs w:val="21"/>
              </w:rPr>
              <w:t>助理工程师</w:t>
            </w:r>
          </w:p>
        </w:tc>
        <w:tc>
          <w:tcPr>
            <w:tcW w:w="3060" w:type="pct"/>
            <w:vAlign w:val="center"/>
          </w:tcPr>
          <w:p w:rsidR="00E234B6" w:rsidRDefault="00684862" w:rsidP="00E82624">
            <w:pPr>
              <w:jc w:val="center"/>
              <w:rPr>
                <w:szCs w:val="21"/>
                <w:highlight w:val="yellow"/>
              </w:rPr>
            </w:pPr>
            <w:r>
              <w:rPr>
                <w:rFonts w:hint="eastAsia"/>
                <w:szCs w:val="21"/>
              </w:rPr>
              <w:t>规范实验数据分析及讨论，内容审阅并提出修改意见，会议纪要整理。</w:t>
            </w:r>
          </w:p>
        </w:tc>
      </w:tr>
      <w:tr w:rsidR="00E234B6" w:rsidTr="001C3AA5">
        <w:trPr>
          <w:jc w:val="center"/>
        </w:trPr>
        <w:tc>
          <w:tcPr>
            <w:tcW w:w="1134" w:type="pct"/>
            <w:vAlign w:val="center"/>
          </w:tcPr>
          <w:p w:rsidR="00E234B6" w:rsidRDefault="006B0F8C" w:rsidP="00E82624">
            <w:pPr>
              <w:jc w:val="center"/>
              <w:rPr>
                <w:rFonts w:ascii="宋体" w:hAnsi="宋体" w:cs="宋体"/>
                <w:szCs w:val="21"/>
              </w:rPr>
            </w:pPr>
            <w:r w:rsidRPr="005D3DB4">
              <w:rPr>
                <w:rFonts w:ascii="宋体" w:hAnsi="宋体" w:cs="宋体" w:hint="eastAsia"/>
                <w:szCs w:val="21"/>
              </w:rPr>
              <w:t>西南铝业（集团）有限责任公司</w:t>
            </w:r>
          </w:p>
        </w:tc>
        <w:tc>
          <w:tcPr>
            <w:tcW w:w="419" w:type="pct"/>
            <w:vAlign w:val="center"/>
          </w:tcPr>
          <w:p w:rsidR="00E234B6" w:rsidRDefault="00E234B6" w:rsidP="00E82624">
            <w:pPr>
              <w:jc w:val="center"/>
              <w:rPr>
                <w:szCs w:val="21"/>
              </w:rPr>
            </w:pPr>
          </w:p>
        </w:tc>
        <w:tc>
          <w:tcPr>
            <w:tcW w:w="387" w:type="pct"/>
            <w:vAlign w:val="center"/>
          </w:tcPr>
          <w:p w:rsidR="00E234B6" w:rsidRDefault="00E234B6" w:rsidP="00E82624">
            <w:pPr>
              <w:jc w:val="center"/>
              <w:rPr>
                <w:szCs w:val="21"/>
              </w:rPr>
            </w:pPr>
          </w:p>
        </w:tc>
        <w:tc>
          <w:tcPr>
            <w:tcW w:w="3060" w:type="pct"/>
            <w:vAlign w:val="center"/>
          </w:tcPr>
          <w:p w:rsidR="00E234B6" w:rsidRDefault="00684862" w:rsidP="00E82624">
            <w:pPr>
              <w:jc w:val="center"/>
              <w:rPr>
                <w:szCs w:val="21"/>
              </w:rPr>
            </w:pPr>
            <w:r>
              <w:rPr>
                <w:rFonts w:hint="eastAsia"/>
                <w:szCs w:val="21"/>
              </w:rPr>
              <w:t>内容审阅并提出修改意见</w:t>
            </w:r>
          </w:p>
        </w:tc>
      </w:tr>
      <w:tr w:rsidR="00E234B6" w:rsidTr="001C3AA5">
        <w:trPr>
          <w:trHeight w:val="389"/>
          <w:jc w:val="center"/>
        </w:trPr>
        <w:tc>
          <w:tcPr>
            <w:tcW w:w="1134" w:type="pct"/>
            <w:vAlign w:val="center"/>
          </w:tcPr>
          <w:p w:rsidR="00E234B6" w:rsidRDefault="006B0F8C" w:rsidP="00E82624">
            <w:pPr>
              <w:jc w:val="center"/>
              <w:rPr>
                <w:szCs w:val="21"/>
              </w:rPr>
            </w:pPr>
            <w:r w:rsidRPr="005D3DB4">
              <w:rPr>
                <w:rFonts w:ascii="宋体" w:hAnsi="宋体" w:cs="宋体" w:hint="eastAsia"/>
                <w:szCs w:val="21"/>
              </w:rPr>
              <w:t>国标（北京）检验认证有限公司</w:t>
            </w:r>
          </w:p>
        </w:tc>
        <w:tc>
          <w:tcPr>
            <w:tcW w:w="419" w:type="pct"/>
            <w:vAlign w:val="center"/>
          </w:tcPr>
          <w:p w:rsidR="00E234B6" w:rsidRDefault="00E234B6" w:rsidP="00E82624">
            <w:pPr>
              <w:jc w:val="center"/>
              <w:rPr>
                <w:szCs w:val="21"/>
              </w:rPr>
            </w:pPr>
          </w:p>
        </w:tc>
        <w:tc>
          <w:tcPr>
            <w:tcW w:w="387" w:type="pct"/>
            <w:vAlign w:val="center"/>
          </w:tcPr>
          <w:p w:rsidR="00E234B6" w:rsidRDefault="00E234B6" w:rsidP="00E82624">
            <w:pPr>
              <w:jc w:val="center"/>
              <w:rPr>
                <w:szCs w:val="21"/>
              </w:rPr>
            </w:pPr>
          </w:p>
        </w:tc>
        <w:tc>
          <w:tcPr>
            <w:tcW w:w="3060" w:type="pct"/>
            <w:vAlign w:val="center"/>
          </w:tcPr>
          <w:p w:rsidR="00E234B6" w:rsidRDefault="00684862" w:rsidP="00E82624">
            <w:pPr>
              <w:jc w:val="center"/>
              <w:rPr>
                <w:szCs w:val="21"/>
              </w:rPr>
            </w:pPr>
            <w:r>
              <w:rPr>
                <w:rFonts w:hint="eastAsia"/>
                <w:szCs w:val="21"/>
              </w:rPr>
              <w:t>内容审阅并提出修改意见，</w:t>
            </w:r>
            <w:proofErr w:type="gramStart"/>
            <w:r>
              <w:rPr>
                <w:rFonts w:hint="eastAsia"/>
                <w:szCs w:val="21"/>
              </w:rPr>
              <w:t>规范</w:t>
            </w:r>
            <w:r w:rsidR="001C3AA5">
              <w:rPr>
                <w:rFonts w:hint="eastAsia"/>
                <w:szCs w:val="21"/>
              </w:rPr>
              <w:t>二</w:t>
            </w:r>
            <w:r>
              <w:rPr>
                <w:rFonts w:hint="eastAsia"/>
                <w:szCs w:val="21"/>
              </w:rPr>
              <w:t>验工作</w:t>
            </w:r>
            <w:proofErr w:type="gramEnd"/>
          </w:p>
        </w:tc>
      </w:tr>
      <w:tr w:rsidR="00E234B6" w:rsidTr="001C3AA5">
        <w:trPr>
          <w:jc w:val="center"/>
        </w:trPr>
        <w:tc>
          <w:tcPr>
            <w:tcW w:w="1134" w:type="pct"/>
            <w:vAlign w:val="center"/>
          </w:tcPr>
          <w:p w:rsidR="00E234B6" w:rsidRPr="00E82624" w:rsidRDefault="00E82624" w:rsidP="00E82624">
            <w:pPr>
              <w:widowControl/>
              <w:autoSpaceDE w:val="0"/>
              <w:autoSpaceDN w:val="0"/>
              <w:jc w:val="center"/>
              <w:rPr>
                <w:rFonts w:ascii="宋体" w:hAnsi="宋体" w:cs="宋体"/>
                <w:szCs w:val="21"/>
              </w:rPr>
            </w:pPr>
            <w:r w:rsidRPr="00E82624">
              <w:rPr>
                <w:rFonts w:ascii="宋体" w:hAnsi="宋体" w:cs="宋体" w:hint="eastAsia"/>
                <w:szCs w:val="21"/>
              </w:rPr>
              <w:t>新疆湘润新材料科技有限公司</w:t>
            </w:r>
          </w:p>
        </w:tc>
        <w:tc>
          <w:tcPr>
            <w:tcW w:w="419" w:type="pct"/>
            <w:vAlign w:val="center"/>
          </w:tcPr>
          <w:p w:rsidR="00E234B6" w:rsidRDefault="00E234B6" w:rsidP="00E82624">
            <w:pPr>
              <w:jc w:val="center"/>
              <w:rPr>
                <w:szCs w:val="21"/>
              </w:rPr>
            </w:pPr>
          </w:p>
        </w:tc>
        <w:tc>
          <w:tcPr>
            <w:tcW w:w="387" w:type="pct"/>
            <w:vAlign w:val="center"/>
          </w:tcPr>
          <w:p w:rsidR="00E234B6" w:rsidRDefault="00E234B6" w:rsidP="00E82624">
            <w:pPr>
              <w:jc w:val="center"/>
              <w:rPr>
                <w:szCs w:val="21"/>
              </w:rPr>
            </w:pPr>
          </w:p>
        </w:tc>
        <w:tc>
          <w:tcPr>
            <w:tcW w:w="3060" w:type="pct"/>
            <w:vAlign w:val="center"/>
          </w:tcPr>
          <w:p w:rsidR="00E234B6" w:rsidRDefault="00684862" w:rsidP="00E82624">
            <w:pPr>
              <w:jc w:val="center"/>
              <w:rPr>
                <w:szCs w:val="21"/>
              </w:rPr>
            </w:pPr>
            <w:r>
              <w:rPr>
                <w:rFonts w:hint="eastAsia"/>
                <w:szCs w:val="21"/>
              </w:rPr>
              <w:t>内容审阅并提出修改意见，</w:t>
            </w:r>
            <w:proofErr w:type="gramStart"/>
            <w:r>
              <w:rPr>
                <w:rFonts w:hint="eastAsia"/>
                <w:szCs w:val="21"/>
              </w:rPr>
              <w:t>规范</w:t>
            </w:r>
            <w:r w:rsidR="001C3AA5">
              <w:rPr>
                <w:rFonts w:hint="eastAsia"/>
                <w:szCs w:val="21"/>
              </w:rPr>
              <w:t>二</w:t>
            </w:r>
            <w:r>
              <w:rPr>
                <w:rFonts w:hint="eastAsia"/>
                <w:szCs w:val="21"/>
              </w:rPr>
              <w:t>验</w:t>
            </w:r>
            <w:proofErr w:type="gramEnd"/>
          </w:p>
        </w:tc>
      </w:tr>
      <w:tr w:rsidR="00E234B6" w:rsidTr="001C3AA5">
        <w:trPr>
          <w:jc w:val="center"/>
        </w:trPr>
        <w:tc>
          <w:tcPr>
            <w:tcW w:w="1134" w:type="pct"/>
            <w:vAlign w:val="center"/>
          </w:tcPr>
          <w:p w:rsidR="00E234B6" w:rsidRPr="00E82624" w:rsidRDefault="00E82624" w:rsidP="00E82624">
            <w:pPr>
              <w:contextualSpacing/>
              <w:jc w:val="center"/>
              <w:rPr>
                <w:rFonts w:ascii="宋体" w:hAnsi="宋体" w:cs="宋体"/>
                <w:szCs w:val="21"/>
              </w:rPr>
            </w:pPr>
            <w:r w:rsidRPr="00E82624">
              <w:rPr>
                <w:rFonts w:ascii="宋体" w:hAnsi="宋体" w:cs="宋体"/>
                <w:szCs w:val="21"/>
              </w:rPr>
              <w:t>陕西天成航空材料股份有限公司</w:t>
            </w:r>
          </w:p>
        </w:tc>
        <w:tc>
          <w:tcPr>
            <w:tcW w:w="419" w:type="pct"/>
            <w:vAlign w:val="center"/>
          </w:tcPr>
          <w:p w:rsidR="00E234B6" w:rsidRDefault="00E234B6" w:rsidP="00E82624">
            <w:pPr>
              <w:jc w:val="center"/>
              <w:rPr>
                <w:szCs w:val="21"/>
              </w:rPr>
            </w:pPr>
          </w:p>
        </w:tc>
        <w:tc>
          <w:tcPr>
            <w:tcW w:w="387" w:type="pct"/>
            <w:vAlign w:val="center"/>
          </w:tcPr>
          <w:p w:rsidR="00E234B6" w:rsidRDefault="00E234B6" w:rsidP="00E82624">
            <w:pPr>
              <w:jc w:val="center"/>
              <w:rPr>
                <w:szCs w:val="21"/>
              </w:rPr>
            </w:pPr>
          </w:p>
        </w:tc>
        <w:tc>
          <w:tcPr>
            <w:tcW w:w="3060" w:type="pct"/>
            <w:vAlign w:val="center"/>
          </w:tcPr>
          <w:p w:rsidR="00E234B6" w:rsidRDefault="00684862" w:rsidP="00E82624">
            <w:pPr>
              <w:jc w:val="center"/>
              <w:rPr>
                <w:szCs w:val="21"/>
              </w:rPr>
            </w:pPr>
            <w:r>
              <w:rPr>
                <w:rFonts w:hint="eastAsia"/>
                <w:szCs w:val="21"/>
              </w:rPr>
              <w:t>实验方案讨论，内容审阅并提出修改意见</w:t>
            </w:r>
          </w:p>
        </w:tc>
      </w:tr>
    </w:tbl>
    <w:p w:rsidR="00E234B6" w:rsidRDefault="00684862">
      <w:pPr>
        <w:pStyle w:val="3"/>
        <w:spacing w:before="156" w:after="156"/>
        <w:rPr>
          <w:b w:val="0"/>
          <w:bCs w:val="0"/>
        </w:rPr>
      </w:pPr>
      <w:bookmarkStart w:id="11" w:name="_Toc462884357"/>
      <w:bookmarkStart w:id="12" w:name="_Toc464728913"/>
      <w:bookmarkEnd w:id="9"/>
      <w:bookmarkEnd w:id="10"/>
      <w:r>
        <w:rPr>
          <w:rFonts w:hint="eastAsia"/>
          <w:b w:val="0"/>
          <w:bCs w:val="0"/>
        </w:rPr>
        <w:t>4.</w:t>
      </w:r>
      <w:r>
        <w:rPr>
          <w:rFonts w:hint="eastAsia"/>
          <w:b w:val="0"/>
          <w:bCs w:val="0"/>
        </w:rPr>
        <w:t>主要工作过程</w:t>
      </w:r>
      <w:bookmarkEnd w:id="11"/>
      <w:bookmarkEnd w:id="12"/>
    </w:p>
    <w:p w:rsidR="00E234B6" w:rsidRDefault="00684862">
      <w:pPr>
        <w:spacing w:line="400" w:lineRule="exact"/>
        <w:ind w:firstLineChars="200" w:firstLine="420"/>
      </w:pPr>
      <w:bookmarkStart w:id="13" w:name="_Hlk134448643"/>
      <w:r>
        <w:rPr>
          <w:rFonts w:hint="eastAsia"/>
        </w:rPr>
        <w:t>西安汉唐分析检测有限公</w:t>
      </w:r>
      <w:r w:rsidRPr="006B0F8C">
        <w:rPr>
          <w:rFonts w:hint="eastAsia"/>
        </w:rPr>
        <w:t>司于</w:t>
      </w:r>
      <w:r w:rsidRPr="006B0F8C">
        <w:rPr>
          <w:rFonts w:hint="eastAsia"/>
        </w:rPr>
        <w:t>202</w:t>
      </w:r>
      <w:r w:rsidR="006B0F8C" w:rsidRPr="006B0F8C">
        <w:rPr>
          <w:rFonts w:hint="eastAsia"/>
        </w:rPr>
        <w:t>3</w:t>
      </w:r>
      <w:r w:rsidRPr="006B0F8C">
        <w:rPr>
          <w:rFonts w:hint="eastAsia"/>
        </w:rPr>
        <w:t>年</w:t>
      </w:r>
      <w:r w:rsidRPr="006B0F8C">
        <w:rPr>
          <w:rFonts w:hint="eastAsia"/>
        </w:rPr>
        <w:t>6</w:t>
      </w:r>
      <w:r w:rsidRPr="006B0F8C">
        <w:rPr>
          <w:rFonts w:hint="eastAsia"/>
        </w:rPr>
        <w:t>月</w:t>
      </w:r>
      <w:r>
        <w:rPr>
          <w:rFonts w:hint="eastAsia"/>
        </w:rPr>
        <w:t>接到有色金属行业计量技术委员会转发的下达的制定任务后，成立了计量规范编制组，对计量技术规范编写工作进行了部署和分工，制定了本规范的制定原则及工作计划。本项目主要工作过程经过了以下几个阶段：</w:t>
      </w:r>
    </w:p>
    <w:p w:rsidR="00E234B6" w:rsidRDefault="00684862">
      <w:pPr>
        <w:spacing w:line="400" w:lineRule="exact"/>
        <w:ind w:firstLineChars="200" w:firstLine="420"/>
      </w:pPr>
      <w:r>
        <w:t>1</w:t>
      </w:r>
      <w:r>
        <w:rPr>
          <w:rFonts w:hint="eastAsia"/>
        </w:rPr>
        <w:t>）</w:t>
      </w:r>
      <w:r>
        <w:t>20</w:t>
      </w:r>
      <w:r>
        <w:rPr>
          <w:rFonts w:hint="eastAsia"/>
        </w:rPr>
        <w:t>23</w:t>
      </w:r>
      <w:r>
        <w:rPr>
          <w:rFonts w:hint="eastAsia"/>
        </w:rPr>
        <w:t>年</w:t>
      </w:r>
      <w:r>
        <w:t>8</w:t>
      </w:r>
      <w:r>
        <w:rPr>
          <w:rFonts w:hint="eastAsia"/>
        </w:rPr>
        <w:t>月成立了计量规范编制组，明确了编制组成员各自的工作内容和任务。</w:t>
      </w:r>
    </w:p>
    <w:p w:rsidR="00E234B6" w:rsidRDefault="00684862">
      <w:pPr>
        <w:spacing w:line="400" w:lineRule="exact"/>
        <w:ind w:firstLineChars="200" w:firstLine="420"/>
      </w:pPr>
      <w:r>
        <w:t>2</w:t>
      </w:r>
      <w:r>
        <w:rPr>
          <w:rFonts w:hint="eastAsia"/>
        </w:rPr>
        <w:t>）</w:t>
      </w:r>
      <w:r>
        <w:t>20</w:t>
      </w:r>
      <w:r>
        <w:rPr>
          <w:rFonts w:hint="eastAsia"/>
        </w:rPr>
        <w:t>23</w:t>
      </w:r>
      <w:r>
        <w:rPr>
          <w:rFonts w:hint="eastAsia"/>
        </w:rPr>
        <w:t>年</w:t>
      </w:r>
      <w:r>
        <w:t>9</w:t>
      </w:r>
      <w:r>
        <w:rPr>
          <w:rFonts w:hint="eastAsia"/>
        </w:rPr>
        <w:t>月～</w:t>
      </w:r>
      <w:r>
        <w:rPr>
          <w:rFonts w:hint="eastAsia"/>
        </w:rPr>
        <w:t>2023</w:t>
      </w:r>
      <w:r>
        <w:rPr>
          <w:rFonts w:hint="eastAsia"/>
        </w:rPr>
        <w:t>年</w:t>
      </w:r>
      <w:r>
        <w:rPr>
          <w:rFonts w:hint="eastAsia"/>
        </w:rPr>
        <w:t>12</w:t>
      </w:r>
      <w:r>
        <w:rPr>
          <w:rFonts w:hint="eastAsia"/>
        </w:rPr>
        <w:t>月，编制组成员对《烷基汞分析仪校准规范》中的计量特性及校准方法进行了讨论，确定了校准项目和方法，在</w:t>
      </w:r>
      <w:r>
        <w:t>202</w:t>
      </w:r>
      <w:r>
        <w:rPr>
          <w:rFonts w:hint="eastAsia"/>
        </w:rPr>
        <w:t>3</w:t>
      </w:r>
      <w:r>
        <w:rPr>
          <w:rFonts w:hint="eastAsia"/>
        </w:rPr>
        <w:t>年</w:t>
      </w:r>
      <w:r>
        <w:rPr>
          <w:rFonts w:hint="eastAsia"/>
        </w:rPr>
        <w:t>12</w:t>
      </w:r>
      <w:r>
        <w:rPr>
          <w:rFonts w:hint="eastAsia"/>
        </w:rPr>
        <w:t>月形成了计量规范讨论稿。</w:t>
      </w:r>
    </w:p>
    <w:p w:rsidR="00E234B6" w:rsidRDefault="00684862">
      <w:pPr>
        <w:spacing w:line="400" w:lineRule="exact"/>
        <w:ind w:firstLineChars="200" w:firstLine="420"/>
      </w:pPr>
      <w:r>
        <w:rPr>
          <w:rFonts w:hint="eastAsia"/>
        </w:rPr>
        <w:t>3</w:t>
      </w:r>
      <w:r>
        <w:rPr>
          <w:rFonts w:hint="eastAsia"/>
        </w:rPr>
        <w:t>）</w:t>
      </w:r>
      <w:r>
        <w:rPr>
          <w:rFonts w:hint="eastAsia"/>
        </w:rPr>
        <w:t>2024</w:t>
      </w:r>
      <w:r>
        <w:rPr>
          <w:rFonts w:hint="eastAsia"/>
        </w:rPr>
        <w:t>年</w:t>
      </w:r>
      <w:r>
        <w:rPr>
          <w:rFonts w:hint="eastAsia"/>
        </w:rPr>
        <w:t>4</w:t>
      </w:r>
      <w:r>
        <w:rPr>
          <w:rFonts w:hint="eastAsia"/>
        </w:rPr>
        <w:t>月</w:t>
      </w:r>
      <w:r>
        <w:rPr>
          <w:rFonts w:hint="eastAsia"/>
        </w:rPr>
        <w:t>23</w:t>
      </w:r>
      <w:r>
        <w:rPr>
          <w:rFonts w:hint="eastAsia"/>
        </w:rPr>
        <w:t>日，在</w:t>
      </w:r>
      <w:r>
        <w:rPr>
          <w:rFonts w:hint="eastAsia"/>
          <w:bCs/>
          <w:color w:val="000000"/>
          <w:szCs w:val="21"/>
        </w:rPr>
        <w:t>长沙</w:t>
      </w:r>
      <w:r>
        <w:rPr>
          <w:rFonts w:hint="eastAsia"/>
        </w:rPr>
        <w:t>召开有色金属计量技术规范研讨会，</w:t>
      </w:r>
      <w:r>
        <w:rPr>
          <w:rFonts w:hint="eastAsia"/>
          <w:szCs w:val="21"/>
        </w:rPr>
        <w:t>会上对《</w:t>
      </w:r>
      <w:r>
        <w:rPr>
          <w:rFonts w:hint="eastAsia"/>
        </w:rPr>
        <w:t>烷基汞分析仪</w:t>
      </w:r>
      <w:r>
        <w:rPr>
          <w:rFonts w:hAnsi="宋体" w:hint="eastAsia"/>
          <w:szCs w:val="21"/>
        </w:rPr>
        <w:t>校准规范</w:t>
      </w:r>
      <w:r>
        <w:rPr>
          <w:rFonts w:hint="eastAsia"/>
          <w:szCs w:val="21"/>
        </w:rPr>
        <w:t>-</w:t>
      </w:r>
      <w:r>
        <w:rPr>
          <w:rFonts w:hint="eastAsia"/>
          <w:szCs w:val="21"/>
        </w:rPr>
        <w:t>讨论稿》进行了讨论，会上有来自不同单位的计量委员会委员、专家、代表就《</w:t>
      </w:r>
      <w:r>
        <w:rPr>
          <w:rFonts w:hint="eastAsia"/>
        </w:rPr>
        <w:t>烷基汞分析仪</w:t>
      </w:r>
      <w:r>
        <w:rPr>
          <w:rFonts w:hAnsi="宋体" w:hint="eastAsia"/>
          <w:szCs w:val="21"/>
        </w:rPr>
        <w:t>校准规范</w:t>
      </w:r>
      <w:r>
        <w:rPr>
          <w:rFonts w:hint="eastAsia"/>
          <w:szCs w:val="21"/>
        </w:rPr>
        <w:t>-</w:t>
      </w:r>
      <w:r>
        <w:rPr>
          <w:rFonts w:hint="eastAsia"/>
          <w:szCs w:val="21"/>
        </w:rPr>
        <w:t>讨论稿》提出了修改建议和意见，</w:t>
      </w:r>
      <w:r>
        <w:rPr>
          <w:rFonts w:eastAsiaTheme="minorEastAsia" w:hint="eastAsia"/>
          <w:szCs w:val="21"/>
        </w:rPr>
        <w:t>会议纪要见表</w:t>
      </w:r>
      <w:r>
        <w:rPr>
          <w:rFonts w:eastAsiaTheme="minorEastAsia" w:hint="eastAsia"/>
          <w:szCs w:val="21"/>
        </w:rPr>
        <w:t>1</w:t>
      </w:r>
      <w:r>
        <w:rPr>
          <w:rFonts w:eastAsiaTheme="minorEastAsia" w:hint="eastAsia"/>
          <w:szCs w:val="21"/>
        </w:rPr>
        <w:t>。</w:t>
      </w:r>
      <w:r>
        <w:rPr>
          <w:rFonts w:hint="eastAsia"/>
          <w:szCs w:val="21"/>
        </w:rPr>
        <w:t>同时，</w:t>
      </w:r>
      <w:r>
        <w:rPr>
          <w:rFonts w:hint="eastAsia"/>
        </w:rPr>
        <w:t>会上确定了项目的参编单位及一验、</w:t>
      </w:r>
      <w:proofErr w:type="gramStart"/>
      <w:r>
        <w:rPr>
          <w:rFonts w:hint="eastAsia"/>
        </w:rPr>
        <w:t>二验单位</w:t>
      </w:r>
      <w:proofErr w:type="gramEnd"/>
      <w:r>
        <w:rPr>
          <w:rFonts w:hint="eastAsia"/>
        </w:rPr>
        <w:t>，明确了各项工作时间进度要求，具体内容见表</w:t>
      </w:r>
      <w:r>
        <w:rPr>
          <w:rFonts w:hint="eastAsia"/>
        </w:rPr>
        <w:t>2</w:t>
      </w:r>
      <w:r>
        <w:rPr>
          <w:rFonts w:hint="eastAsia"/>
        </w:rPr>
        <w:t>。</w:t>
      </w:r>
    </w:p>
    <w:p w:rsidR="001A2145" w:rsidRDefault="001A2145">
      <w:pPr>
        <w:spacing w:line="360" w:lineRule="auto"/>
        <w:ind w:firstLineChars="100" w:firstLine="210"/>
        <w:jc w:val="center"/>
      </w:pPr>
    </w:p>
    <w:p w:rsidR="00E234B6" w:rsidRDefault="00684862">
      <w:pPr>
        <w:spacing w:line="360" w:lineRule="auto"/>
        <w:ind w:firstLineChars="100" w:firstLine="210"/>
        <w:jc w:val="center"/>
      </w:pPr>
      <w:r>
        <w:rPr>
          <w:rFonts w:hint="eastAsia"/>
        </w:rPr>
        <w:lastRenderedPageBreak/>
        <w:t>表</w:t>
      </w:r>
      <w:r>
        <w:rPr>
          <w:rFonts w:hint="eastAsia"/>
        </w:rPr>
        <w:t>1</w:t>
      </w:r>
      <w:r>
        <w:rPr>
          <w:rFonts w:hint="eastAsia"/>
        </w:rPr>
        <w:t>有色金属计量技术规范研讨会会议纪要</w:t>
      </w:r>
    </w:p>
    <w:tbl>
      <w:tblPr>
        <w:tblW w:w="4751" w:type="pct"/>
        <w:tblInd w:w="244" w:type="dxa"/>
        <w:tblLayout w:type="fixed"/>
        <w:tblLook w:val="04A0" w:firstRow="1" w:lastRow="0" w:firstColumn="1" w:lastColumn="0" w:noHBand="0" w:noVBand="1"/>
      </w:tblPr>
      <w:tblGrid>
        <w:gridCol w:w="847"/>
        <w:gridCol w:w="1132"/>
        <w:gridCol w:w="4309"/>
        <w:gridCol w:w="1462"/>
        <w:gridCol w:w="1344"/>
      </w:tblGrid>
      <w:tr w:rsidR="00E234B6">
        <w:trPr>
          <w:trHeight w:val="129"/>
        </w:trPr>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34B6" w:rsidRDefault="00684862">
            <w:pPr>
              <w:widowControl/>
              <w:spacing w:line="260" w:lineRule="exact"/>
              <w:jc w:val="center"/>
              <w:rPr>
                <w:color w:val="000000"/>
                <w:kern w:val="0"/>
                <w:szCs w:val="21"/>
              </w:rPr>
            </w:pPr>
            <w:r>
              <w:rPr>
                <w:color w:val="000000"/>
                <w:kern w:val="0"/>
                <w:szCs w:val="21"/>
              </w:rPr>
              <w:t>序号</w:t>
            </w:r>
          </w:p>
        </w:tc>
        <w:tc>
          <w:tcPr>
            <w:tcW w:w="622" w:type="pct"/>
            <w:tcBorders>
              <w:top w:val="single" w:sz="4" w:space="0" w:color="auto"/>
              <w:left w:val="nil"/>
              <w:bottom w:val="single" w:sz="4" w:space="0" w:color="auto"/>
              <w:right w:val="single" w:sz="4" w:space="0" w:color="auto"/>
            </w:tcBorders>
            <w:shd w:val="clear" w:color="auto" w:fill="auto"/>
            <w:vAlign w:val="center"/>
          </w:tcPr>
          <w:p w:rsidR="00E234B6" w:rsidRDefault="00684862">
            <w:pPr>
              <w:widowControl/>
              <w:spacing w:line="260" w:lineRule="exact"/>
              <w:jc w:val="center"/>
              <w:rPr>
                <w:color w:val="000000"/>
                <w:kern w:val="0"/>
                <w:szCs w:val="21"/>
              </w:rPr>
            </w:pPr>
            <w:r>
              <w:rPr>
                <w:color w:val="000000"/>
                <w:kern w:val="0"/>
                <w:szCs w:val="21"/>
              </w:rPr>
              <w:t>标准章条</w:t>
            </w:r>
          </w:p>
          <w:p w:rsidR="00E234B6" w:rsidRDefault="00684862">
            <w:pPr>
              <w:widowControl/>
              <w:spacing w:line="260" w:lineRule="exact"/>
              <w:jc w:val="center"/>
              <w:rPr>
                <w:color w:val="000000"/>
                <w:kern w:val="0"/>
                <w:szCs w:val="21"/>
              </w:rPr>
            </w:pPr>
            <w:r>
              <w:rPr>
                <w:color w:val="000000"/>
                <w:kern w:val="0"/>
                <w:szCs w:val="21"/>
              </w:rPr>
              <w:t>编号</w:t>
            </w:r>
          </w:p>
        </w:tc>
        <w:tc>
          <w:tcPr>
            <w:tcW w:w="2368" w:type="pct"/>
            <w:tcBorders>
              <w:top w:val="single" w:sz="4" w:space="0" w:color="auto"/>
              <w:left w:val="nil"/>
              <w:bottom w:val="single" w:sz="4" w:space="0" w:color="auto"/>
              <w:right w:val="single" w:sz="4" w:space="0" w:color="auto"/>
            </w:tcBorders>
            <w:shd w:val="clear" w:color="auto" w:fill="auto"/>
            <w:noWrap/>
            <w:vAlign w:val="center"/>
          </w:tcPr>
          <w:p w:rsidR="00E234B6" w:rsidRDefault="00684862">
            <w:pPr>
              <w:widowControl/>
              <w:spacing w:line="260" w:lineRule="exact"/>
              <w:jc w:val="center"/>
              <w:rPr>
                <w:color w:val="000000"/>
                <w:kern w:val="0"/>
                <w:szCs w:val="21"/>
              </w:rPr>
            </w:pPr>
            <w:r>
              <w:rPr>
                <w:color w:val="000000"/>
                <w:kern w:val="0"/>
                <w:szCs w:val="21"/>
              </w:rPr>
              <w:t>意见内容</w:t>
            </w:r>
          </w:p>
        </w:tc>
        <w:tc>
          <w:tcPr>
            <w:tcW w:w="804" w:type="pct"/>
            <w:tcBorders>
              <w:top w:val="single" w:sz="4" w:space="0" w:color="auto"/>
              <w:left w:val="nil"/>
              <w:bottom w:val="single" w:sz="4" w:space="0" w:color="auto"/>
              <w:right w:val="single" w:sz="4" w:space="0" w:color="auto"/>
            </w:tcBorders>
            <w:shd w:val="clear" w:color="auto" w:fill="auto"/>
            <w:noWrap/>
            <w:vAlign w:val="center"/>
          </w:tcPr>
          <w:p w:rsidR="00E234B6" w:rsidRDefault="00684862">
            <w:pPr>
              <w:widowControl/>
              <w:spacing w:line="260" w:lineRule="exact"/>
              <w:jc w:val="center"/>
              <w:rPr>
                <w:color w:val="000000"/>
                <w:kern w:val="0"/>
                <w:szCs w:val="21"/>
              </w:rPr>
            </w:pPr>
            <w:r>
              <w:rPr>
                <w:color w:val="000000"/>
                <w:kern w:val="0"/>
                <w:szCs w:val="21"/>
              </w:rPr>
              <w:t>提出单位及提出人</w:t>
            </w:r>
          </w:p>
          <w:p w:rsidR="00E234B6" w:rsidRDefault="00684862">
            <w:pPr>
              <w:widowControl/>
              <w:spacing w:line="260" w:lineRule="exact"/>
              <w:jc w:val="center"/>
              <w:rPr>
                <w:color w:val="000000"/>
                <w:kern w:val="0"/>
                <w:szCs w:val="21"/>
              </w:rPr>
            </w:pPr>
            <w:r>
              <w:rPr>
                <w:color w:val="000000"/>
                <w:kern w:val="0"/>
                <w:szCs w:val="21"/>
              </w:rPr>
              <w:t>（可简写）</w:t>
            </w:r>
          </w:p>
        </w:tc>
        <w:tc>
          <w:tcPr>
            <w:tcW w:w="739" w:type="pct"/>
            <w:tcBorders>
              <w:top w:val="single" w:sz="4" w:space="0" w:color="auto"/>
              <w:left w:val="nil"/>
              <w:bottom w:val="single" w:sz="4" w:space="0" w:color="auto"/>
              <w:right w:val="single" w:sz="4" w:space="0" w:color="auto"/>
            </w:tcBorders>
            <w:shd w:val="clear" w:color="auto" w:fill="auto"/>
            <w:noWrap/>
            <w:vAlign w:val="center"/>
          </w:tcPr>
          <w:p w:rsidR="00E234B6" w:rsidRDefault="00684862">
            <w:pPr>
              <w:widowControl/>
              <w:spacing w:line="260" w:lineRule="exact"/>
              <w:jc w:val="center"/>
              <w:rPr>
                <w:color w:val="000000"/>
                <w:kern w:val="0"/>
                <w:szCs w:val="21"/>
              </w:rPr>
            </w:pPr>
            <w:r>
              <w:rPr>
                <w:color w:val="000000"/>
                <w:kern w:val="0"/>
                <w:szCs w:val="21"/>
              </w:rPr>
              <w:t>处理意见</w:t>
            </w:r>
          </w:p>
        </w:tc>
      </w:tr>
      <w:tr w:rsidR="00E234B6">
        <w:trPr>
          <w:trHeight w:val="495"/>
        </w:trPr>
        <w:tc>
          <w:tcPr>
            <w:tcW w:w="465" w:type="pct"/>
            <w:tcBorders>
              <w:top w:val="nil"/>
              <w:left w:val="single" w:sz="4" w:space="0" w:color="auto"/>
              <w:bottom w:val="single" w:sz="4" w:space="0" w:color="auto"/>
              <w:right w:val="single" w:sz="4" w:space="0" w:color="auto"/>
            </w:tcBorders>
            <w:shd w:val="clear" w:color="auto" w:fill="auto"/>
            <w:noWrap/>
            <w:vAlign w:val="center"/>
          </w:tcPr>
          <w:p w:rsidR="00E234B6" w:rsidRDefault="00E234B6">
            <w:pPr>
              <w:pStyle w:val="afffffa"/>
              <w:widowControl/>
              <w:numPr>
                <w:ilvl w:val="0"/>
                <w:numId w:val="11"/>
              </w:numPr>
              <w:ind w:firstLineChars="0"/>
              <w:jc w:val="center"/>
              <w:rPr>
                <w:color w:val="000000"/>
                <w:kern w:val="0"/>
                <w:szCs w:val="21"/>
              </w:rPr>
            </w:pPr>
          </w:p>
        </w:tc>
        <w:tc>
          <w:tcPr>
            <w:tcW w:w="622" w:type="pct"/>
            <w:tcBorders>
              <w:top w:val="nil"/>
              <w:left w:val="nil"/>
              <w:bottom w:val="single" w:sz="4" w:space="0" w:color="auto"/>
              <w:right w:val="single" w:sz="4" w:space="0" w:color="auto"/>
            </w:tcBorders>
            <w:shd w:val="clear" w:color="auto" w:fill="auto"/>
            <w:noWrap/>
            <w:vAlign w:val="center"/>
          </w:tcPr>
          <w:p w:rsidR="00E234B6" w:rsidRDefault="00684862">
            <w:pPr>
              <w:widowControl/>
              <w:spacing w:line="280" w:lineRule="exact"/>
              <w:jc w:val="left"/>
              <w:rPr>
                <w:color w:val="000000"/>
                <w:kern w:val="0"/>
                <w:szCs w:val="21"/>
              </w:rPr>
            </w:pPr>
            <w:r>
              <w:rPr>
                <w:rFonts w:hint="eastAsia"/>
                <w:color w:val="000000"/>
                <w:kern w:val="0"/>
                <w:szCs w:val="21"/>
              </w:rPr>
              <w:t>5.2.4</w:t>
            </w:r>
          </w:p>
        </w:tc>
        <w:tc>
          <w:tcPr>
            <w:tcW w:w="2368" w:type="pct"/>
            <w:tcBorders>
              <w:top w:val="nil"/>
              <w:left w:val="nil"/>
              <w:bottom w:val="single" w:sz="4" w:space="0" w:color="auto"/>
              <w:right w:val="single" w:sz="4" w:space="0" w:color="auto"/>
            </w:tcBorders>
            <w:shd w:val="clear" w:color="auto" w:fill="auto"/>
            <w:noWrap/>
            <w:vAlign w:val="center"/>
          </w:tcPr>
          <w:p w:rsidR="00E234B6" w:rsidRDefault="00684862">
            <w:pPr>
              <w:widowControl/>
              <w:spacing w:line="280" w:lineRule="exact"/>
              <w:jc w:val="left"/>
              <w:rPr>
                <w:color w:val="000000"/>
                <w:kern w:val="0"/>
                <w:szCs w:val="21"/>
              </w:rPr>
            </w:pPr>
            <w:r>
              <w:rPr>
                <w:color w:val="000000"/>
                <w:kern w:val="0"/>
                <w:szCs w:val="21"/>
              </w:rPr>
              <w:t>“</w:t>
            </w:r>
            <w:r>
              <w:rPr>
                <w:color w:val="000000"/>
                <w:kern w:val="0"/>
                <w:szCs w:val="21"/>
              </w:rPr>
              <w:t>分析天平</w:t>
            </w:r>
            <w:r>
              <w:rPr>
                <w:color w:val="000000"/>
                <w:kern w:val="0"/>
                <w:szCs w:val="21"/>
              </w:rPr>
              <w:t>”</w:t>
            </w:r>
            <w:r>
              <w:rPr>
                <w:color w:val="000000"/>
                <w:kern w:val="0"/>
                <w:szCs w:val="21"/>
              </w:rPr>
              <w:t>改为</w:t>
            </w:r>
            <w:r>
              <w:rPr>
                <w:color w:val="000000"/>
                <w:kern w:val="0"/>
                <w:szCs w:val="21"/>
              </w:rPr>
              <w:t>“</w:t>
            </w:r>
            <w:r>
              <w:rPr>
                <w:color w:val="000000"/>
                <w:kern w:val="0"/>
                <w:szCs w:val="21"/>
              </w:rPr>
              <w:t>电子天平</w:t>
            </w:r>
            <w:r>
              <w:rPr>
                <w:color w:val="000000"/>
                <w:kern w:val="0"/>
                <w:szCs w:val="21"/>
              </w:rPr>
              <w:t>”</w:t>
            </w:r>
          </w:p>
        </w:tc>
        <w:tc>
          <w:tcPr>
            <w:tcW w:w="804" w:type="pct"/>
            <w:tcBorders>
              <w:top w:val="nil"/>
              <w:left w:val="nil"/>
              <w:bottom w:val="single" w:sz="4" w:space="0" w:color="auto"/>
              <w:right w:val="single" w:sz="4" w:space="0" w:color="auto"/>
            </w:tcBorders>
            <w:shd w:val="clear" w:color="auto" w:fill="auto"/>
            <w:noWrap/>
            <w:vAlign w:val="center"/>
          </w:tcPr>
          <w:p w:rsidR="00E234B6" w:rsidRDefault="00684862">
            <w:pPr>
              <w:widowControl/>
              <w:spacing w:line="280" w:lineRule="exact"/>
              <w:jc w:val="left"/>
              <w:rPr>
                <w:color w:val="000000"/>
                <w:kern w:val="0"/>
                <w:szCs w:val="21"/>
              </w:rPr>
            </w:pPr>
            <w:r>
              <w:rPr>
                <w:color w:val="000000"/>
                <w:kern w:val="0"/>
                <w:szCs w:val="21"/>
              </w:rPr>
              <w:t>东北轻合金有限责任公司</w:t>
            </w:r>
          </w:p>
        </w:tc>
        <w:tc>
          <w:tcPr>
            <w:tcW w:w="739" w:type="pct"/>
            <w:tcBorders>
              <w:top w:val="nil"/>
              <w:left w:val="nil"/>
              <w:bottom w:val="single" w:sz="4" w:space="0" w:color="auto"/>
              <w:right w:val="single" w:sz="4" w:space="0" w:color="auto"/>
            </w:tcBorders>
            <w:shd w:val="clear" w:color="auto" w:fill="auto"/>
            <w:noWrap/>
            <w:vAlign w:val="center"/>
          </w:tcPr>
          <w:p w:rsidR="00E234B6" w:rsidRDefault="00684862">
            <w:pPr>
              <w:widowControl/>
              <w:spacing w:line="280" w:lineRule="exact"/>
              <w:jc w:val="center"/>
              <w:rPr>
                <w:color w:val="000000"/>
                <w:kern w:val="0"/>
                <w:szCs w:val="21"/>
              </w:rPr>
            </w:pPr>
            <w:r>
              <w:rPr>
                <w:color w:val="000000"/>
                <w:kern w:val="0"/>
                <w:szCs w:val="21"/>
              </w:rPr>
              <w:t>采纳</w:t>
            </w:r>
          </w:p>
        </w:tc>
      </w:tr>
      <w:tr w:rsidR="00E234B6">
        <w:trPr>
          <w:trHeight w:val="129"/>
        </w:trPr>
        <w:tc>
          <w:tcPr>
            <w:tcW w:w="465" w:type="pct"/>
            <w:tcBorders>
              <w:top w:val="nil"/>
              <w:left w:val="single" w:sz="4" w:space="0" w:color="auto"/>
              <w:bottom w:val="single" w:sz="4" w:space="0" w:color="auto"/>
              <w:right w:val="single" w:sz="4" w:space="0" w:color="auto"/>
            </w:tcBorders>
            <w:shd w:val="clear" w:color="auto" w:fill="auto"/>
            <w:noWrap/>
            <w:vAlign w:val="center"/>
          </w:tcPr>
          <w:p w:rsidR="00E234B6" w:rsidRDefault="00E234B6">
            <w:pPr>
              <w:pStyle w:val="afffffa"/>
              <w:widowControl/>
              <w:numPr>
                <w:ilvl w:val="0"/>
                <w:numId w:val="11"/>
              </w:numPr>
              <w:ind w:firstLineChars="0"/>
              <w:jc w:val="center"/>
              <w:rPr>
                <w:color w:val="000000"/>
                <w:kern w:val="0"/>
                <w:szCs w:val="21"/>
              </w:rPr>
            </w:pPr>
          </w:p>
        </w:tc>
        <w:tc>
          <w:tcPr>
            <w:tcW w:w="622" w:type="pct"/>
            <w:tcBorders>
              <w:top w:val="nil"/>
              <w:left w:val="nil"/>
              <w:bottom w:val="single" w:sz="4" w:space="0" w:color="auto"/>
              <w:right w:val="single" w:sz="4" w:space="0" w:color="auto"/>
            </w:tcBorders>
            <w:shd w:val="clear" w:color="auto" w:fill="auto"/>
            <w:noWrap/>
            <w:vAlign w:val="center"/>
          </w:tcPr>
          <w:p w:rsidR="00E234B6" w:rsidRDefault="00684862">
            <w:pPr>
              <w:widowControl/>
              <w:spacing w:line="280" w:lineRule="exact"/>
              <w:jc w:val="left"/>
              <w:rPr>
                <w:color w:val="000000"/>
                <w:kern w:val="0"/>
                <w:szCs w:val="21"/>
              </w:rPr>
            </w:pPr>
            <w:r>
              <w:rPr>
                <w:rFonts w:hint="eastAsia"/>
                <w:color w:val="000000"/>
                <w:kern w:val="0"/>
                <w:szCs w:val="21"/>
              </w:rPr>
              <w:t>6.3</w:t>
            </w:r>
          </w:p>
        </w:tc>
        <w:tc>
          <w:tcPr>
            <w:tcW w:w="2368" w:type="pct"/>
            <w:tcBorders>
              <w:top w:val="nil"/>
              <w:left w:val="nil"/>
              <w:bottom w:val="single" w:sz="4" w:space="0" w:color="auto"/>
              <w:right w:val="single" w:sz="4" w:space="0" w:color="auto"/>
            </w:tcBorders>
            <w:shd w:val="clear" w:color="auto" w:fill="auto"/>
            <w:noWrap/>
            <w:vAlign w:val="center"/>
          </w:tcPr>
          <w:p w:rsidR="00E234B6" w:rsidRDefault="00684862">
            <w:pPr>
              <w:widowControl/>
              <w:spacing w:line="280" w:lineRule="exact"/>
              <w:jc w:val="left"/>
              <w:rPr>
                <w:color w:val="000000"/>
                <w:kern w:val="0"/>
                <w:szCs w:val="21"/>
              </w:rPr>
            </w:pPr>
            <w:r>
              <w:rPr>
                <w:rFonts w:hint="eastAsia"/>
                <w:color w:val="000000"/>
                <w:kern w:val="0"/>
                <w:szCs w:val="21"/>
              </w:rPr>
              <w:t xml:space="preserve"> </w:t>
            </w:r>
            <w:r>
              <w:rPr>
                <w:rFonts w:hint="eastAsia"/>
                <w:color w:val="000000"/>
                <w:kern w:val="0"/>
                <w:szCs w:val="21"/>
              </w:rPr>
              <w:t>公式（</w:t>
            </w:r>
            <w:r>
              <w:rPr>
                <w:rFonts w:hint="eastAsia"/>
                <w:color w:val="000000"/>
                <w:kern w:val="0"/>
                <w:szCs w:val="21"/>
              </w:rPr>
              <w:t>4</w:t>
            </w:r>
            <w:r>
              <w:rPr>
                <w:rFonts w:hint="eastAsia"/>
                <w:color w:val="000000"/>
                <w:kern w:val="0"/>
                <w:szCs w:val="21"/>
              </w:rPr>
              <w:t>）、（</w:t>
            </w:r>
            <w:r>
              <w:rPr>
                <w:rFonts w:hint="eastAsia"/>
                <w:color w:val="000000"/>
                <w:kern w:val="0"/>
                <w:szCs w:val="21"/>
              </w:rPr>
              <w:t>5</w:t>
            </w:r>
            <w:r>
              <w:rPr>
                <w:rFonts w:hint="eastAsia"/>
                <w:color w:val="000000"/>
                <w:kern w:val="0"/>
                <w:szCs w:val="21"/>
              </w:rPr>
              <w:t>）格式需要修改</w:t>
            </w:r>
          </w:p>
        </w:tc>
        <w:tc>
          <w:tcPr>
            <w:tcW w:w="804" w:type="pct"/>
            <w:tcBorders>
              <w:top w:val="nil"/>
              <w:left w:val="nil"/>
              <w:bottom w:val="single" w:sz="4" w:space="0" w:color="auto"/>
              <w:right w:val="single" w:sz="4" w:space="0" w:color="auto"/>
            </w:tcBorders>
            <w:shd w:val="clear" w:color="auto" w:fill="auto"/>
            <w:noWrap/>
            <w:vAlign w:val="center"/>
          </w:tcPr>
          <w:p w:rsidR="00E234B6" w:rsidRDefault="00684862">
            <w:pPr>
              <w:widowControl/>
              <w:spacing w:line="280" w:lineRule="exact"/>
              <w:jc w:val="left"/>
              <w:rPr>
                <w:color w:val="000000"/>
                <w:kern w:val="0"/>
                <w:szCs w:val="21"/>
              </w:rPr>
            </w:pPr>
            <w:r>
              <w:rPr>
                <w:color w:val="000000"/>
                <w:kern w:val="0"/>
                <w:szCs w:val="21"/>
              </w:rPr>
              <w:t>东北轻合金有限责任公司</w:t>
            </w:r>
          </w:p>
        </w:tc>
        <w:tc>
          <w:tcPr>
            <w:tcW w:w="739" w:type="pct"/>
            <w:tcBorders>
              <w:top w:val="nil"/>
              <w:left w:val="nil"/>
              <w:bottom w:val="single" w:sz="4" w:space="0" w:color="auto"/>
              <w:right w:val="single" w:sz="4" w:space="0" w:color="auto"/>
            </w:tcBorders>
            <w:shd w:val="clear" w:color="auto" w:fill="auto"/>
            <w:noWrap/>
            <w:vAlign w:val="center"/>
          </w:tcPr>
          <w:p w:rsidR="00E234B6" w:rsidRDefault="00684862">
            <w:pPr>
              <w:widowControl/>
              <w:spacing w:line="280" w:lineRule="exact"/>
              <w:jc w:val="center"/>
              <w:rPr>
                <w:color w:val="000000"/>
                <w:kern w:val="0"/>
                <w:szCs w:val="21"/>
              </w:rPr>
            </w:pPr>
            <w:r>
              <w:rPr>
                <w:color w:val="000000"/>
                <w:kern w:val="0"/>
                <w:szCs w:val="21"/>
              </w:rPr>
              <w:t>采纳</w:t>
            </w:r>
          </w:p>
        </w:tc>
      </w:tr>
      <w:tr w:rsidR="00E234B6">
        <w:trPr>
          <w:trHeight w:val="129"/>
        </w:trPr>
        <w:tc>
          <w:tcPr>
            <w:tcW w:w="465" w:type="pct"/>
            <w:tcBorders>
              <w:top w:val="nil"/>
              <w:left w:val="single" w:sz="4" w:space="0" w:color="auto"/>
              <w:bottom w:val="single" w:sz="4" w:space="0" w:color="auto"/>
              <w:right w:val="single" w:sz="4" w:space="0" w:color="auto"/>
            </w:tcBorders>
            <w:shd w:val="clear" w:color="auto" w:fill="auto"/>
            <w:noWrap/>
            <w:vAlign w:val="center"/>
          </w:tcPr>
          <w:p w:rsidR="00E234B6" w:rsidRDefault="00E234B6">
            <w:pPr>
              <w:pStyle w:val="afffffa"/>
              <w:widowControl/>
              <w:numPr>
                <w:ilvl w:val="0"/>
                <w:numId w:val="11"/>
              </w:numPr>
              <w:ind w:firstLineChars="0"/>
              <w:jc w:val="center"/>
              <w:rPr>
                <w:color w:val="000000"/>
                <w:kern w:val="0"/>
                <w:szCs w:val="21"/>
              </w:rPr>
            </w:pPr>
          </w:p>
        </w:tc>
        <w:tc>
          <w:tcPr>
            <w:tcW w:w="622" w:type="pct"/>
            <w:tcBorders>
              <w:top w:val="nil"/>
              <w:left w:val="nil"/>
              <w:bottom w:val="single" w:sz="4" w:space="0" w:color="auto"/>
              <w:right w:val="single" w:sz="4" w:space="0" w:color="auto"/>
            </w:tcBorders>
            <w:shd w:val="clear" w:color="auto" w:fill="auto"/>
            <w:noWrap/>
            <w:vAlign w:val="center"/>
          </w:tcPr>
          <w:p w:rsidR="00E234B6" w:rsidRDefault="00684862">
            <w:pPr>
              <w:widowControl/>
              <w:spacing w:line="280" w:lineRule="exact"/>
              <w:jc w:val="left"/>
              <w:rPr>
                <w:color w:val="000000"/>
                <w:kern w:val="0"/>
                <w:szCs w:val="21"/>
              </w:rPr>
            </w:pPr>
            <w:r>
              <w:rPr>
                <w:color w:val="000000"/>
                <w:kern w:val="0"/>
                <w:szCs w:val="21"/>
              </w:rPr>
              <w:t>附录</w:t>
            </w:r>
            <w:r>
              <w:rPr>
                <w:rFonts w:hint="eastAsia"/>
                <w:color w:val="000000"/>
                <w:kern w:val="0"/>
                <w:szCs w:val="21"/>
              </w:rPr>
              <w:t>C</w:t>
            </w:r>
          </w:p>
        </w:tc>
        <w:tc>
          <w:tcPr>
            <w:tcW w:w="2368" w:type="pct"/>
            <w:tcBorders>
              <w:top w:val="nil"/>
              <w:left w:val="nil"/>
              <w:bottom w:val="single" w:sz="4" w:space="0" w:color="auto"/>
              <w:right w:val="single" w:sz="4" w:space="0" w:color="auto"/>
            </w:tcBorders>
            <w:shd w:val="clear" w:color="auto" w:fill="auto"/>
            <w:noWrap/>
            <w:vAlign w:val="center"/>
          </w:tcPr>
          <w:p w:rsidR="00E234B6" w:rsidRDefault="00684862">
            <w:pPr>
              <w:widowControl/>
              <w:spacing w:line="280" w:lineRule="exact"/>
              <w:jc w:val="left"/>
              <w:rPr>
                <w:color w:val="000000"/>
                <w:kern w:val="0"/>
                <w:szCs w:val="21"/>
              </w:rPr>
            </w:pPr>
            <w:r>
              <w:rPr>
                <w:color w:val="000000"/>
                <w:kern w:val="0"/>
                <w:szCs w:val="21"/>
              </w:rPr>
              <w:t>缺少测量线性</w:t>
            </w:r>
          </w:p>
        </w:tc>
        <w:tc>
          <w:tcPr>
            <w:tcW w:w="804" w:type="pct"/>
            <w:tcBorders>
              <w:top w:val="nil"/>
              <w:left w:val="nil"/>
              <w:bottom w:val="single" w:sz="4" w:space="0" w:color="auto"/>
              <w:right w:val="single" w:sz="4" w:space="0" w:color="auto"/>
            </w:tcBorders>
            <w:shd w:val="clear" w:color="auto" w:fill="auto"/>
            <w:noWrap/>
            <w:vAlign w:val="center"/>
          </w:tcPr>
          <w:p w:rsidR="00E234B6" w:rsidRDefault="00684862">
            <w:pPr>
              <w:widowControl/>
              <w:spacing w:line="280" w:lineRule="exact"/>
              <w:jc w:val="left"/>
              <w:rPr>
                <w:color w:val="000000"/>
                <w:kern w:val="0"/>
                <w:szCs w:val="21"/>
              </w:rPr>
            </w:pPr>
            <w:r>
              <w:rPr>
                <w:color w:val="000000"/>
                <w:kern w:val="0"/>
                <w:szCs w:val="21"/>
              </w:rPr>
              <w:t>国家有色金属质量监督检验中心</w:t>
            </w:r>
          </w:p>
        </w:tc>
        <w:tc>
          <w:tcPr>
            <w:tcW w:w="739" w:type="pct"/>
            <w:tcBorders>
              <w:top w:val="nil"/>
              <w:left w:val="nil"/>
              <w:bottom w:val="single" w:sz="4" w:space="0" w:color="auto"/>
              <w:right w:val="single" w:sz="4" w:space="0" w:color="auto"/>
            </w:tcBorders>
            <w:shd w:val="clear" w:color="auto" w:fill="auto"/>
            <w:noWrap/>
            <w:vAlign w:val="center"/>
          </w:tcPr>
          <w:p w:rsidR="00E234B6" w:rsidRDefault="00684862">
            <w:pPr>
              <w:widowControl/>
              <w:spacing w:line="280" w:lineRule="exact"/>
              <w:jc w:val="center"/>
              <w:rPr>
                <w:color w:val="000000"/>
                <w:kern w:val="0"/>
                <w:szCs w:val="21"/>
              </w:rPr>
            </w:pPr>
            <w:r>
              <w:rPr>
                <w:color w:val="000000"/>
                <w:kern w:val="0"/>
                <w:szCs w:val="21"/>
              </w:rPr>
              <w:t>增加</w:t>
            </w:r>
            <w:r>
              <w:rPr>
                <w:color w:val="000000"/>
                <w:kern w:val="0"/>
                <w:szCs w:val="21"/>
              </w:rPr>
              <w:t>“</w:t>
            </w:r>
            <w:r>
              <w:rPr>
                <w:rFonts w:hint="eastAsia"/>
                <w:color w:val="000000"/>
                <w:kern w:val="0"/>
                <w:szCs w:val="21"/>
              </w:rPr>
              <w:t>4.</w:t>
            </w:r>
            <w:r>
              <w:rPr>
                <w:rFonts w:hint="eastAsia"/>
                <w:color w:val="000000"/>
                <w:kern w:val="0"/>
                <w:szCs w:val="21"/>
              </w:rPr>
              <w:t>测量线性</w:t>
            </w:r>
            <w:r>
              <w:rPr>
                <w:color w:val="000000"/>
                <w:kern w:val="0"/>
                <w:szCs w:val="21"/>
              </w:rPr>
              <w:t>”</w:t>
            </w:r>
          </w:p>
        </w:tc>
      </w:tr>
    </w:tbl>
    <w:p w:rsidR="00E234B6" w:rsidRDefault="00684862">
      <w:pPr>
        <w:spacing w:line="360" w:lineRule="auto"/>
        <w:ind w:firstLineChars="100" w:firstLine="210"/>
        <w:jc w:val="center"/>
      </w:pPr>
      <w:r>
        <w:rPr>
          <w:rFonts w:hint="eastAsia"/>
        </w:rPr>
        <w:t>表</w:t>
      </w:r>
      <w:r>
        <w:rPr>
          <w:rFonts w:hint="eastAsia"/>
        </w:rPr>
        <w:t xml:space="preserve">2 </w:t>
      </w:r>
      <w:r>
        <w:rPr>
          <w:rFonts w:hint="eastAsia"/>
        </w:rPr>
        <w:t>《烷基汞分析仪校准规范</w:t>
      </w:r>
      <w:r>
        <w:rPr>
          <w:rFonts w:hint="eastAsia"/>
        </w:rPr>
        <w:t>-</w:t>
      </w:r>
      <w:r>
        <w:rPr>
          <w:rFonts w:hint="eastAsia"/>
        </w:rPr>
        <w:t>讨论稿》工作安排</w:t>
      </w:r>
    </w:p>
    <w:tbl>
      <w:tblPr>
        <w:tblW w:w="4764" w:type="pct"/>
        <w:jc w:val="center"/>
        <w:tblLayout w:type="fixed"/>
        <w:tblLook w:val="04A0" w:firstRow="1" w:lastRow="0" w:firstColumn="1" w:lastColumn="0" w:noHBand="0" w:noVBand="1"/>
      </w:tblPr>
      <w:tblGrid>
        <w:gridCol w:w="1864"/>
        <w:gridCol w:w="7255"/>
      </w:tblGrid>
      <w:tr w:rsidR="00E234B6">
        <w:trPr>
          <w:trHeight w:val="567"/>
          <w:jc w:val="center"/>
        </w:trPr>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4B6" w:rsidRDefault="00684862">
            <w:pPr>
              <w:spacing w:line="360" w:lineRule="auto"/>
            </w:pPr>
            <w:r>
              <w:rPr>
                <w:rFonts w:hint="eastAsia"/>
              </w:rPr>
              <w:t>拟参与编制单位</w:t>
            </w:r>
          </w:p>
        </w:tc>
        <w:tc>
          <w:tcPr>
            <w:tcW w:w="7257" w:type="dxa"/>
            <w:tcBorders>
              <w:top w:val="single" w:sz="4" w:space="0" w:color="auto"/>
              <w:left w:val="nil"/>
              <w:bottom w:val="single" w:sz="4" w:space="0" w:color="auto"/>
              <w:right w:val="single" w:sz="4" w:space="0" w:color="auto"/>
            </w:tcBorders>
            <w:shd w:val="clear" w:color="auto" w:fill="auto"/>
            <w:noWrap/>
            <w:vAlign w:val="center"/>
          </w:tcPr>
          <w:p w:rsidR="00E234B6" w:rsidRDefault="00684862">
            <w:pPr>
              <w:widowControl/>
              <w:autoSpaceDE w:val="0"/>
              <w:autoSpaceDN w:val="0"/>
              <w:spacing w:line="360" w:lineRule="auto"/>
            </w:pPr>
            <w:r>
              <w:rPr>
                <w:rFonts w:cs="宋体" w:hint="eastAsia"/>
                <w:color w:val="000000"/>
                <w:kern w:val="0"/>
                <w:szCs w:val="21"/>
              </w:rPr>
              <w:t>国标（北京）检验认证有限公司、西南铝业（集团）有限责任公司</w:t>
            </w:r>
          </w:p>
        </w:tc>
      </w:tr>
      <w:tr w:rsidR="00E234B6">
        <w:trPr>
          <w:trHeight w:val="567"/>
          <w:jc w:val="center"/>
        </w:trPr>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4B6" w:rsidRDefault="00684862">
            <w:pPr>
              <w:spacing w:line="360" w:lineRule="auto"/>
            </w:pPr>
            <w:r>
              <w:rPr>
                <w:rFonts w:hint="eastAsia"/>
              </w:rPr>
              <w:t>一验单位</w:t>
            </w:r>
          </w:p>
        </w:tc>
        <w:tc>
          <w:tcPr>
            <w:tcW w:w="7257" w:type="dxa"/>
            <w:tcBorders>
              <w:top w:val="single" w:sz="4" w:space="0" w:color="auto"/>
              <w:left w:val="nil"/>
              <w:bottom w:val="single" w:sz="4" w:space="0" w:color="auto"/>
              <w:right w:val="single" w:sz="4" w:space="0" w:color="auto"/>
            </w:tcBorders>
            <w:shd w:val="clear" w:color="auto" w:fill="auto"/>
            <w:noWrap/>
            <w:vAlign w:val="center"/>
          </w:tcPr>
          <w:p w:rsidR="00E234B6" w:rsidRDefault="001A2145">
            <w:pPr>
              <w:spacing w:line="360" w:lineRule="auto"/>
              <w:ind w:firstLineChars="200" w:firstLine="420"/>
              <w:rPr>
                <w:highlight w:val="yellow"/>
              </w:rPr>
            </w:pPr>
            <w:r>
              <w:rPr>
                <w:rFonts w:cs="宋体" w:hint="eastAsia"/>
                <w:color w:val="000000"/>
                <w:kern w:val="0"/>
                <w:szCs w:val="21"/>
              </w:rPr>
              <w:t>西南铝业（集团）有限责任公司</w:t>
            </w:r>
          </w:p>
        </w:tc>
      </w:tr>
      <w:tr w:rsidR="00E234B6">
        <w:trPr>
          <w:trHeight w:val="567"/>
          <w:jc w:val="center"/>
        </w:trPr>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4B6" w:rsidRDefault="00684862">
            <w:pPr>
              <w:spacing w:line="360" w:lineRule="auto"/>
            </w:pPr>
            <w:proofErr w:type="gramStart"/>
            <w:r>
              <w:rPr>
                <w:rFonts w:hint="eastAsia"/>
              </w:rPr>
              <w:t>二验单位</w:t>
            </w:r>
            <w:proofErr w:type="gramEnd"/>
          </w:p>
        </w:tc>
        <w:tc>
          <w:tcPr>
            <w:tcW w:w="7257" w:type="dxa"/>
            <w:tcBorders>
              <w:top w:val="single" w:sz="4" w:space="0" w:color="auto"/>
              <w:left w:val="nil"/>
              <w:bottom w:val="single" w:sz="4" w:space="0" w:color="auto"/>
              <w:right w:val="single" w:sz="4" w:space="0" w:color="auto"/>
            </w:tcBorders>
            <w:shd w:val="clear" w:color="auto" w:fill="auto"/>
            <w:noWrap/>
            <w:vAlign w:val="center"/>
          </w:tcPr>
          <w:p w:rsidR="00E234B6" w:rsidRDefault="001A2145">
            <w:pPr>
              <w:spacing w:line="360" w:lineRule="auto"/>
              <w:ind w:firstLineChars="200" w:firstLine="420"/>
              <w:rPr>
                <w:highlight w:val="yellow"/>
              </w:rPr>
            </w:pPr>
            <w:r>
              <w:rPr>
                <w:rFonts w:cs="宋体" w:hint="eastAsia"/>
                <w:color w:val="000000"/>
                <w:kern w:val="0"/>
                <w:szCs w:val="21"/>
              </w:rPr>
              <w:t>国标（北京）检验认证有限公司</w:t>
            </w:r>
          </w:p>
        </w:tc>
      </w:tr>
      <w:tr w:rsidR="00E234B6">
        <w:trPr>
          <w:trHeight w:val="567"/>
          <w:jc w:val="center"/>
        </w:trPr>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4B6" w:rsidRDefault="00684862">
            <w:pPr>
              <w:spacing w:line="360" w:lineRule="auto"/>
            </w:pPr>
            <w:r>
              <w:rPr>
                <w:rFonts w:hint="eastAsia"/>
              </w:rPr>
              <w:t>时间节点安排</w:t>
            </w:r>
          </w:p>
        </w:tc>
        <w:tc>
          <w:tcPr>
            <w:tcW w:w="7257" w:type="dxa"/>
            <w:tcBorders>
              <w:top w:val="single" w:sz="4" w:space="0" w:color="auto"/>
              <w:left w:val="nil"/>
              <w:bottom w:val="single" w:sz="4" w:space="0" w:color="auto"/>
              <w:right w:val="single" w:sz="4" w:space="0" w:color="auto"/>
            </w:tcBorders>
            <w:shd w:val="clear" w:color="auto" w:fill="auto"/>
            <w:noWrap/>
            <w:vAlign w:val="center"/>
          </w:tcPr>
          <w:p w:rsidR="00E234B6" w:rsidRDefault="00684862" w:rsidP="004B6C18">
            <w:pPr>
              <w:spacing w:line="360" w:lineRule="auto"/>
              <w:ind w:firstLineChars="200" w:firstLine="420"/>
            </w:pPr>
            <w:r>
              <w:rPr>
                <w:rFonts w:hint="eastAsia"/>
              </w:rPr>
              <w:t>2024</w:t>
            </w:r>
            <w:r>
              <w:rPr>
                <w:rFonts w:hint="eastAsia"/>
              </w:rPr>
              <w:t>年</w:t>
            </w:r>
            <w:r w:rsidR="004B6C18">
              <w:rPr>
                <w:rFonts w:hint="eastAsia"/>
              </w:rPr>
              <w:t>9</w:t>
            </w:r>
            <w:r>
              <w:rPr>
                <w:rFonts w:hint="eastAsia"/>
              </w:rPr>
              <w:t>月完成试验验证</w:t>
            </w:r>
          </w:p>
        </w:tc>
      </w:tr>
    </w:tbl>
    <w:bookmarkEnd w:id="13"/>
    <w:p w:rsidR="00E234B6" w:rsidRPr="00BC2D91" w:rsidRDefault="00684862" w:rsidP="00BC2D91">
      <w:pPr>
        <w:spacing w:line="360" w:lineRule="auto"/>
        <w:ind w:firstLineChars="200" w:firstLine="420"/>
      </w:pPr>
      <w:r>
        <w:rPr>
          <w:rFonts w:eastAsiaTheme="minorEastAsia" w:hint="eastAsia"/>
        </w:rPr>
        <w:t>4</w:t>
      </w:r>
      <w:r>
        <w:rPr>
          <w:rFonts w:eastAsiaTheme="minorEastAsia" w:hint="eastAsia"/>
        </w:rPr>
        <w:t>）</w:t>
      </w:r>
      <w:r>
        <w:rPr>
          <w:rFonts w:eastAsiaTheme="minorEastAsia"/>
        </w:rPr>
        <w:t>202</w:t>
      </w:r>
      <w:r>
        <w:rPr>
          <w:rFonts w:eastAsiaTheme="minorEastAsia" w:hint="eastAsia"/>
        </w:rPr>
        <w:t>4</w:t>
      </w:r>
      <w:r>
        <w:rPr>
          <w:rFonts w:eastAsiaTheme="minorEastAsia" w:hint="eastAsia"/>
        </w:rPr>
        <w:t>年</w:t>
      </w:r>
      <w:r>
        <w:rPr>
          <w:rFonts w:eastAsiaTheme="minorEastAsia" w:hint="eastAsia"/>
        </w:rPr>
        <w:t>8</w:t>
      </w:r>
      <w:r>
        <w:rPr>
          <w:rFonts w:eastAsiaTheme="minorEastAsia" w:hint="eastAsia"/>
        </w:rPr>
        <w:t>月</w:t>
      </w:r>
      <w:r>
        <w:rPr>
          <w:rFonts w:eastAsiaTheme="minorEastAsia" w:hint="eastAsia"/>
        </w:rPr>
        <w:t>21</w:t>
      </w:r>
      <w:r>
        <w:rPr>
          <w:rFonts w:eastAsiaTheme="minorEastAsia" w:hint="eastAsia"/>
        </w:rPr>
        <w:t>日在青岛举行有色金属计量技术规范研讨会，</w:t>
      </w:r>
      <w:r>
        <w:rPr>
          <w:rFonts w:eastAsiaTheme="minorEastAsia" w:hint="eastAsia"/>
          <w:szCs w:val="21"/>
        </w:rPr>
        <w:t>会上对《</w:t>
      </w:r>
      <w:r>
        <w:rPr>
          <w:rFonts w:hint="eastAsia"/>
        </w:rPr>
        <w:t>烷基汞分析仪</w:t>
      </w:r>
      <w:r>
        <w:rPr>
          <w:rFonts w:hAnsi="宋体" w:hint="eastAsia"/>
          <w:szCs w:val="21"/>
        </w:rPr>
        <w:t>校准规范</w:t>
      </w:r>
      <w:r>
        <w:rPr>
          <w:rFonts w:eastAsiaTheme="minorEastAsia" w:hint="eastAsia"/>
          <w:szCs w:val="21"/>
        </w:rPr>
        <w:t>》进行了预审，会上有来自不同单位的计量委员会委员、专家、代表对《</w:t>
      </w:r>
      <w:r>
        <w:rPr>
          <w:rFonts w:hint="eastAsia"/>
        </w:rPr>
        <w:t>烷基汞分析仪</w:t>
      </w:r>
      <w:r>
        <w:rPr>
          <w:rFonts w:hAnsi="宋体" w:hint="eastAsia"/>
          <w:szCs w:val="21"/>
        </w:rPr>
        <w:t>校准规范</w:t>
      </w:r>
      <w:r>
        <w:rPr>
          <w:rFonts w:eastAsiaTheme="minorEastAsia" w:hint="eastAsia"/>
          <w:szCs w:val="21"/>
        </w:rPr>
        <w:t>》提出了修改建议和意见，会议纪要见表</w:t>
      </w:r>
      <w:r>
        <w:rPr>
          <w:rFonts w:eastAsiaTheme="minorEastAsia" w:hint="eastAsia"/>
          <w:szCs w:val="21"/>
        </w:rPr>
        <w:t>3</w:t>
      </w:r>
      <w:r>
        <w:rPr>
          <w:rFonts w:eastAsiaTheme="minorEastAsia" w:hint="eastAsia"/>
          <w:szCs w:val="21"/>
        </w:rPr>
        <w:t>。</w:t>
      </w:r>
      <w:r>
        <w:rPr>
          <w:rFonts w:hint="eastAsia"/>
        </w:rPr>
        <w:t>修改后形成</w:t>
      </w:r>
      <w:r>
        <w:rPr>
          <w:rFonts w:eastAsiaTheme="minorEastAsia" w:hint="eastAsia"/>
          <w:szCs w:val="21"/>
        </w:rPr>
        <w:t>《</w:t>
      </w:r>
      <w:r>
        <w:rPr>
          <w:rFonts w:hint="eastAsia"/>
        </w:rPr>
        <w:t>烷基汞分析仪</w:t>
      </w:r>
      <w:r>
        <w:rPr>
          <w:rFonts w:hAnsi="宋体" w:hint="eastAsia"/>
          <w:szCs w:val="21"/>
        </w:rPr>
        <w:t>校准规范</w:t>
      </w:r>
      <w:r>
        <w:rPr>
          <w:rFonts w:hAnsi="宋体" w:hint="eastAsia"/>
          <w:szCs w:val="21"/>
        </w:rPr>
        <w:t>-</w:t>
      </w:r>
      <w:r>
        <w:rPr>
          <w:rFonts w:hAnsi="宋体" w:hint="eastAsia"/>
          <w:szCs w:val="21"/>
        </w:rPr>
        <w:t>征求意见稿</w:t>
      </w:r>
      <w:r>
        <w:rPr>
          <w:rFonts w:eastAsiaTheme="minorEastAsia" w:hint="eastAsia"/>
          <w:szCs w:val="21"/>
        </w:rPr>
        <w:t>》</w:t>
      </w:r>
      <w:r w:rsidR="00603894">
        <w:rPr>
          <w:rFonts w:hint="eastAsia"/>
        </w:rPr>
        <w:t>，</w:t>
      </w:r>
      <w:r w:rsidR="00603894">
        <w:rPr>
          <w:rFonts w:ascii="宋体" w:hAnsi="宋体" w:cs="宋体" w:hint="eastAsia"/>
        </w:rPr>
        <w:t>向</w:t>
      </w:r>
      <w:r w:rsidR="00603894">
        <w:rPr>
          <w:rFonts w:hint="eastAsia"/>
        </w:rPr>
        <w:t>社会广泛征求意见。</w:t>
      </w:r>
    </w:p>
    <w:p w:rsidR="00E234B6" w:rsidRDefault="00684862">
      <w:pPr>
        <w:spacing w:line="360" w:lineRule="auto"/>
        <w:ind w:firstLineChars="100" w:firstLine="210"/>
        <w:jc w:val="center"/>
      </w:pPr>
      <w:r>
        <w:rPr>
          <w:rFonts w:hint="eastAsia"/>
        </w:rPr>
        <w:t>表</w:t>
      </w:r>
      <w:r>
        <w:rPr>
          <w:rFonts w:hint="eastAsia"/>
        </w:rPr>
        <w:t xml:space="preserve">3 </w:t>
      </w:r>
      <w:r>
        <w:rPr>
          <w:rFonts w:hint="eastAsia"/>
        </w:rPr>
        <w:t>有色金属计量技术规范研讨会会议纪要（预审稿）</w:t>
      </w:r>
    </w:p>
    <w:tbl>
      <w:tblPr>
        <w:tblW w:w="4765" w:type="pct"/>
        <w:tblInd w:w="-5" w:type="dxa"/>
        <w:tblLayout w:type="fixed"/>
        <w:tblLook w:val="04A0" w:firstRow="1" w:lastRow="0" w:firstColumn="1" w:lastColumn="0" w:noHBand="0" w:noVBand="1"/>
      </w:tblPr>
      <w:tblGrid>
        <w:gridCol w:w="840"/>
        <w:gridCol w:w="1024"/>
        <w:gridCol w:w="4430"/>
        <w:gridCol w:w="1408"/>
        <w:gridCol w:w="1419"/>
      </w:tblGrid>
      <w:tr w:rsidR="00E234B6" w:rsidTr="00BC2D91">
        <w:trPr>
          <w:trHeight w:val="567"/>
        </w:trPr>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34B6" w:rsidRDefault="00684862">
            <w:pPr>
              <w:widowControl/>
              <w:jc w:val="center"/>
              <w:rPr>
                <w:color w:val="000000"/>
                <w:kern w:val="0"/>
                <w:szCs w:val="21"/>
              </w:rPr>
            </w:pPr>
            <w:r>
              <w:rPr>
                <w:color w:val="000000"/>
                <w:kern w:val="0"/>
                <w:szCs w:val="21"/>
              </w:rPr>
              <w:t>序号</w:t>
            </w:r>
          </w:p>
        </w:tc>
        <w:tc>
          <w:tcPr>
            <w:tcW w:w="561" w:type="pct"/>
            <w:tcBorders>
              <w:top w:val="single" w:sz="4" w:space="0" w:color="auto"/>
              <w:left w:val="nil"/>
              <w:bottom w:val="single" w:sz="4" w:space="0" w:color="auto"/>
              <w:right w:val="single" w:sz="4" w:space="0" w:color="auto"/>
            </w:tcBorders>
            <w:shd w:val="clear" w:color="auto" w:fill="auto"/>
            <w:vAlign w:val="center"/>
          </w:tcPr>
          <w:p w:rsidR="00E234B6" w:rsidRDefault="00684862">
            <w:pPr>
              <w:widowControl/>
              <w:jc w:val="center"/>
              <w:rPr>
                <w:color w:val="000000"/>
                <w:kern w:val="0"/>
                <w:szCs w:val="21"/>
              </w:rPr>
            </w:pPr>
            <w:proofErr w:type="gramStart"/>
            <w:r>
              <w:rPr>
                <w:color w:val="000000"/>
                <w:kern w:val="0"/>
                <w:szCs w:val="21"/>
              </w:rPr>
              <w:t>标准章条编号</w:t>
            </w:r>
            <w:proofErr w:type="gramEnd"/>
          </w:p>
        </w:tc>
        <w:tc>
          <w:tcPr>
            <w:tcW w:w="2427" w:type="pct"/>
            <w:tcBorders>
              <w:top w:val="single" w:sz="4" w:space="0" w:color="auto"/>
              <w:left w:val="nil"/>
              <w:bottom w:val="single" w:sz="4" w:space="0" w:color="auto"/>
              <w:right w:val="single" w:sz="4" w:space="0" w:color="auto"/>
            </w:tcBorders>
            <w:shd w:val="clear" w:color="auto" w:fill="auto"/>
            <w:noWrap/>
            <w:vAlign w:val="center"/>
          </w:tcPr>
          <w:p w:rsidR="00E234B6" w:rsidRDefault="00684862">
            <w:pPr>
              <w:widowControl/>
              <w:jc w:val="center"/>
              <w:rPr>
                <w:color w:val="000000"/>
                <w:kern w:val="0"/>
                <w:szCs w:val="21"/>
              </w:rPr>
            </w:pPr>
            <w:r>
              <w:rPr>
                <w:color w:val="000000"/>
                <w:kern w:val="0"/>
                <w:szCs w:val="21"/>
              </w:rPr>
              <w:t>意见内容</w:t>
            </w:r>
          </w:p>
        </w:tc>
        <w:tc>
          <w:tcPr>
            <w:tcW w:w="772" w:type="pct"/>
            <w:tcBorders>
              <w:top w:val="single" w:sz="4" w:space="0" w:color="auto"/>
              <w:left w:val="nil"/>
              <w:bottom w:val="single" w:sz="4" w:space="0" w:color="auto"/>
              <w:right w:val="single" w:sz="4" w:space="0" w:color="auto"/>
            </w:tcBorders>
            <w:shd w:val="clear" w:color="auto" w:fill="auto"/>
            <w:noWrap/>
            <w:vAlign w:val="center"/>
          </w:tcPr>
          <w:p w:rsidR="00E234B6" w:rsidRDefault="00684862">
            <w:pPr>
              <w:widowControl/>
              <w:jc w:val="center"/>
              <w:rPr>
                <w:color w:val="000000"/>
                <w:kern w:val="0"/>
                <w:szCs w:val="21"/>
              </w:rPr>
            </w:pPr>
            <w:r>
              <w:rPr>
                <w:color w:val="000000"/>
                <w:kern w:val="0"/>
                <w:szCs w:val="21"/>
              </w:rPr>
              <w:t>提出单位</w:t>
            </w:r>
          </w:p>
        </w:tc>
        <w:tc>
          <w:tcPr>
            <w:tcW w:w="778" w:type="pct"/>
            <w:tcBorders>
              <w:top w:val="single" w:sz="4" w:space="0" w:color="auto"/>
              <w:left w:val="nil"/>
              <w:bottom w:val="single" w:sz="4" w:space="0" w:color="auto"/>
              <w:right w:val="single" w:sz="4" w:space="0" w:color="auto"/>
            </w:tcBorders>
            <w:shd w:val="clear" w:color="auto" w:fill="auto"/>
            <w:noWrap/>
            <w:vAlign w:val="center"/>
          </w:tcPr>
          <w:p w:rsidR="00E234B6" w:rsidRDefault="00684862">
            <w:pPr>
              <w:widowControl/>
              <w:jc w:val="center"/>
              <w:rPr>
                <w:color w:val="000000"/>
                <w:kern w:val="0"/>
                <w:szCs w:val="21"/>
              </w:rPr>
            </w:pPr>
            <w:r>
              <w:rPr>
                <w:color w:val="000000"/>
                <w:kern w:val="0"/>
                <w:szCs w:val="21"/>
              </w:rPr>
              <w:t>处理意见</w:t>
            </w:r>
          </w:p>
        </w:tc>
      </w:tr>
      <w:tr w:rsidR="00E234B6" w:rsidTr="00BC2D91">
        <w:trPr>
          <w:trHeight w:val="567"/>
        </w:trPr>
        <w:tc>
          <w:tcPr>
            <w:tcW w:w="460" w:type="pct"/>
            <w:tcBorders>
              <w:top w:val="nil"/>
              <w:left w:val="single" w:sz="4" w:space="0" w:color="auto"/>
              <w:bottom w:val="single" w:sz="4" w:space="0" w:color="auto"/>
              <w:right w:val="single" w:sz="4" w:space="0" w:color="auto"/>
            </w:tcBorders>
            <w:shd w:val="clear" w:color="auto" w:fill="auto"/>
            <w:noWrap/>
            <w:vAlign w:val="center"/>
          </w:tcPr>
          <w:p w:rsidR="00E234B6" w:rsidRDefault="00E234B6" w:rsidP="0088135C">
            <w:pPr>
              <w:pStyle w:val="afffffa"/>
              <w:widowControl/>
              <w:numPr>
                <w:ilvl w:val="0"/>
                <w:numId w:val="12"/>
              </w:numPr>
              <w:ind w:firstLineChars="0"/>
              <w:jc w:val="center"/>
              <w:rPr>
                <w:color w:val="000000"/>
                <w:kern w:val="0"/>
                <w:szCs w:val="21"/>
              </w:rPr>
            </w:pPr>
          </w:p>
        </w:tc>
        <w:tc>
          <w:tcPr>
            <w:tcW w:w="561" w:type="pct"/>
            <w:tcBorders>
              <w:top w:val="nil"/>
              <w:left w:val="nil"/>
              <w:bottom w:val="single" w:sz="4" w:space="0" w:color="auto"/>
              <w:right w:val="single" w:sz="4" w:space="0" w:color="auto"/>
            </w:tcBorders>
            <w:shd w:val="clear" w:color="auto" w:fill="auto"/>
            <w:noWrap/>
            <w:vAlign w:val="center"/>
          </w:tcPr>
          <w:p w:rsidR="00E234B6" w:rsidRDefault="00684862" w:rsidP="0088135C">
            <w:pPr>
              <w:widowControl/>
              <w:jc w:val="center"/>
              <w:rPr>
                <w:color w:val="000000"/>
                <w:kern w:val="0"/>
                <w:szCs w:val="21"/>
              </w:rPr>
            </w:pPr>
            <w:r>
              <w:rPr>
                <w:rFonts w:hint="eastAsia"/>
                <w:color w:val="000000"/>
                <w:kern w:val="0"/>
                <w:szCs w:val="21"/>
              </w:rPr>
              <w:t>3</w:t>
            </w:r>
          </w:p>
        </w:tc>
        <w:tc>
          <w:tcPr>
            <w:tcW w:w="2427" w:type="pct"/>
            <w:tcBorders>
              <w:top w:val="nil"/>
              <w:left w:val="nil"/>
              <w:bottom w:val="single" w:sz="4" w:space="0" w:color="auto"/>
              <w:right w:val="single" w:sz="4" w:space="0" w:color="auto"/>
            </w:tcBorders>
            <w:shd w:val="clear" w:color="auto" w:fill="auto"/>
            <w:noWrap/>
            <w:vAlign w:val="center"/>
          </w:tcPr>
          <w:p w:rsidR="00E234B6" w:rsidRDefault="00684862" w:rsidP="0088135C">
            <w:pPr>
              <w:widowControl/>
              <w:jc w:val="center"/>
              <w:rPr>
                <w:color w:val="000000"/>
                <w:kern w:val="0"/>
                <w:szCs w:val="21"/>
              </w:rPr>
            </w:pPr>
            <w:r>
              <w:rPr>
                <w:rFonts w:hint="eastAsia"/>
                <w:color w:val="000000"/>
                <w:kern w:val="0"/>
                <w:szCs w:val="21"/>
              </w:rPr>
              <w:t>修改烷基</w:t>
            </w:r>
            <w:proofErr w:type="gramStart"/>
            <w:r>
              <w:rPr>
                <w:rFonts w:hint="eastAsia"/>
                <w:color w:val="000000"/>
                <w:kern w:val="0"/>
                <w:szCs w:val="21"/>
              </w:rPr>
              <w:t>汞分析</w:t>
            </w:r>
            <w:proofErr w:type="gramEnd"/>
            <w:r>
              <w:rPr>
                <w:rFonts w:hint="eastAsia"/>
                <w:color w:val="000000"/>
                <w:kern w:val="0"/>
                <w:szCs w:val="21"/>
              </w:rPr>
              <w:t>仪用途，体现有色金属产业中的用途</w:t>
            </w:r>
          </w:p>
        </w:tc>
        <w:tc>
          <w:tcPr>
            <w:tcW w:w="772" w:type="pct"/>
            <w:tcBorders>
              <w:top w:val="nil"/>
              <w:left w:val="nil"/>
              <w:bottom w:val="single" w:sz="4" w:space="0" w:color="auto"/>
              <w:right w:val="single" w:sz="4" w:space="0" w:color="auto"/>
            </w:tcBorders>
            <w:shd w:val="clear" w:color="auto" w:fill="auto"/>
            <w:noWrap/>
            <w:vAlign w:val="center"/>
          </w:tcPr>
          <w:p w:rsidR="00E234B6" w:rsidRDefault="00684862" w:rsidP="00B761D5">
            <w:pPr>
              <w:widowControl/>
              <w:jc w:val="left"/>
              <w:rPr>
                <w:color w:val="000000"/>
                <w:kern w:val="0"/>
                <w:szCs w:val="21"/>
              </w:rPr>
            </w:pPr>
            <w:r>
              <w:rPr>
                <w:rFonts w:cs="宋体" w:hint="eastAsia"/>
                <w:color w:val="000000"/>
                <w:kern w:val="0"/>
                <w:szCs w:val="21"/>
              </w:rPr>
              <w:t>国标（北京）检验认证有限公司</w:t>
            </w:r>
          </w:p>
        </w:tc>
        <w:tc>
          <w:tcPr>
            <w:tcW w:w="778" w:type="pct"/>
            <w:tcBorders>
              <w:top w:val="nil"/>
              <w:left w:val="nil"/>
              <w:bottom w:val="single" w:sz="4" w:space="0" w:color="auto"/>
              <w:right w:val="single" w:sz="4" w:space="0" w:color="auto"/>
            </w:tcBorders>
            <w:shd w:val="clear" w:color="auto" w:fill="auto"/>
            <w:noWrap/>
            <w:vAlign w:val="center"/>
          </w:tcPr>
          <w:p w:rsidR="00E234B6" w:rsidRDefault="00684862" w:rsidP="00B761D5">
            <w:pPr>
              <w:widowControl/>
              <w:jc w:val="center"/>
              <w:rPr>
                <w:color w:val="000000"/>
                <w:kern w:val="0"/>
                <w:szCs w:val="21"/>
              </w:rPr>
            </w:pPr>
            <w:r>
              <w:rPr>
                <w:rFonts w:hint="eastAsia"/>
                <w:color w:val="000000"/>
                <w:kern w:val="0"/>
                <w:szCs w:val="21"/>
              </w:rPr>
              <w:t>采纳</w:t>
            </w:r>
          </w:p>
        </w:tc>
      </w:tr>
      <w:tr w:rsidR="00BC2D91" w:rsidTr="00BC2D91">
        <w:trPr>
          <w:trHeight w:val="567"/>
        </w:trPr>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2D91" w:rsidRDefault="00BC2D91" w:rsidP="0088135C">
            <w:pPr>
              <w:pStyle w:val="afffffa"/>
              <w:widowControl/>
              <w:numPr>
                <w:ilvl w:val="0"/>
                <w:numId w:val="12"/>
              </w:numPr>
              <w:ind w:firstLineChars="0"/>
              <w:jc w:val="center"/>
              <w:rPr>
                <w:color w:val="000000"/>
                <w:kern w:val="0"/>
                <w:szCs w:val="21"/>
              </w:rPr>
            </w:pPr>
          </w:p>
        </w:tc>
        <w:tc>
          <w:tcPr>
            <w:tcW w:w="561" w:type="pct"/>
            <w:tcBorders>
              <w:top w:val="single" w:sz="4" w:space="0" w:color="auto"/>
              <w:left w:val="nil"/>
              <w:bottom w:val="single" w:sz="4" w:space="0" w:color="auto"/>
              <w:right w:val="single" w:sz="4" w:space="0" w:color="auto"/>
            </w:tcBorders>
            <w:shd w:val="clear" w:color="auto" w:fill="auto"/>
            <w:noWrap/>
            <w:vAlign w:val="center"/>
          </w:tcPr>
          <w:p w:rsidR="00BC2D91" w:rsidRDefault="00BC2D91" w:rsidP="0088135C">
            <w:pPr>
              <w:widowControl/>
              <w:jc w:val="center"/>
              <w:rPr>
                <w:color w:val="000000"/>
                <w:kern w:val="0"/>
                <w:szCs w:val="21"/>
              </w:rPr>
            </w:pPr>
            <w:r>
              <w:rPr>
                <w:rFonts w:hint="eastAsia"/>
                <w:color w:val="000000"/>
                <w:kern w:val="0"/>
                <w:szCs w:val="21"/>
              </w:rPr>
              <w:t>5.2.4</w:t>
            </w:r>
          </w:p>
        </w:tc>
        <w:tc>
          <w:tcPr>
            <w:tcW w:w="2427" w:type="pct"/>
            <w:tcBorders>
              <w:top w:val="single" w:sz="4" w:space="0" w:color="auto"/>
              <w:left w:val="nil"/>
              <w:bottom w:val="single" w:sz="4" w:space="0" w:color="auto"/>
              <w:right w:val="single" w:sz="4" w:space="0" w:color="auto"/>
            </w:tcBorders>
            <w:shd w:val="clear" w:color="auto" w:fill="auto"/>
            <w:noWrap/>
            <w:vAlign w:val="center"/>
          </w:tcPr>
          <w:p w:rsidR="00BC2D91" w:rsidRDefault="00BC2D91" w:rsidP="0088135C">
            <w:pPr>
              <w:widowControl/>
              <w:jc w:val="center"/>
              <w:rPr>
                <w:color w:val="000000"/>
                <w:kern w:val="0"/>
                <w:szCs w:val="21"/>
              </w:rPr>
            </w:pPr>
            <w:proofErr w:type="gramStart"/>
            <w:r>
              <w:rPr>
                <w:rFonts w:hint="eastAsia"/>
                <w:color w:val="000000"/>
                <w:kern w:val="0"/>
                <w:szCs w:val="21"/>
              </w:rPr>
              <w:t>修改移液器</w:t>
            </w:r>
            <w:proofErr w:type="gramEnd"/>
            <w:r>
              <w:rPr>
                <w:rFonts w:hint="eastAsia"/>
                <w:color w:val="000000"/>
                <w:kern w:val="0"/>
                <w:szCs w:val="21"/>
              </w:rPr>
              <w:t>计量性能要求</w:t>
            </w:r>
          </w:p>
        </w:tc>
        <w:tc>
          <w:tcPr>
            <w:tcW w:w="772" w:type="pct"/>
            <w:tcBorders>
              <w:top w:val="single" w:sz="4" w:space="0" w:color="auto"/>
              <w:left w:val="nil"/>
              <w:bottom w:val="single" w:sz="4" w:space="0" w:color="auto"/>
              <w:right w:val="single" w:sz="4" w:space="0" w:color="auto"/>
            </w:tcBorders>
            <w:shd w:val="clear" w:color="auto" w:fill="auto"/>
            <w:noWrap/>
            <w:vAlign w:val="center"/>
          </w:tcPr>
          <w:p w:rsidR="00BC2D91" w:rsidRDefault="00BC2D91" w:rsidP="00B761D5">
            <w:pPr>
              <w:widowControl/>
              <w:jc w:val="left"/>
              <w:rPr>
                <w:color w:val="000000"/>
                <w:kern w:val="0"/>
                <w:szCs w:val="21"/>
              </w:rPr>
            </w:pPr>
            <w:r>
              <w:rPr>
                <w:rFonts w:cs="宋体" w:hint="eastAsia"/>
                <w:color w:val="000000"/>
                <w:kern w:val="0"/>
                <w:szCs w:val="21"/>
              </w:rPr>
              <w:t>国标（北京）检验认证有限公司</w:t>
            </w:r>
          </w:p>
        </w:tc>
        <w:tc>
          <w:tcPr>
            <w:tcW w:w="778" w:type="pct"/>
            <w:tcBorders>
              <w:top w:val="single" w:sz="4" w:space="0" w:color="auto"/>
              <w:left w:val="nil"/>
              <w:bottom w:val="single" w:sz="4" w:space="0" w:color="auto"/>
              <w:right w:val="single" w:sz="4" w:space="0" w:color="auto"/>
            </w:tcBorders>
            <w:shd w:val="clear" w:color="auto" w:fill="auto"/>
            <w:noWrap/>
            <w:vAlign w:val="center"/>
          </w:tcPr>
          <w:p w:rsidR="00BC2D91" w:rsidRDefault="00BC2D91" w:rsidP="00B761D5">
            <w:pPr>
              <w:widowControl/>
              <w:jc w:val="center"/>
              <w:rPr>
                <w:color w:val="000000"/>
                <w:kern w:val="0"/>
                <w:szCs w:val="21"/>
              </w:rPr>
            </w:pPr>
            <w:r>
              <w:rPr>
                <w:rFonts w:hint="eastAsia"/>
                <w:color w:val="000000"/>
                <w:kern w:val="0"/>
                <w:szCs w:val="21"/>
              </w:rPr>
              <w:t>采纳</w:t>
            </w:r>
          </w:p>
        </w:tc>
      </w:tr>
      <w:tr w:rsidR="00BC2D91" w:rsidTr="00BC2D91">
        <w:trPr>
          <w:trHeight w:val="567"/>
        </w:trPr>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2D91" w:rsidRDefault="00BC2D91" w:rsidP="0088135C">
            <w:pPr>
              <w:pStyle w:val="afffffa"/>
              <w:widowControl/>
              <w:numPr>
                <w:ilvl w:val="0"/>
                <w:numId w:val="12"/>
              </w:numPr>
              <w:ind w:firstLineChars="0"/>
              <w:jc w:val="center"/>
              <w:rPr>
                <w:color w:val="000000"/>
                <w:kern w:val="0"/>
                <w:szCs w:val="21"/>
              </w:rPr>
            </w:pPr>
          </w:p>
        </w:tc>
        <w:tc>
          <w:tcPr>
            <w:tcW w:w="561" w:type="pct"/>
            <w:tcBorders>
              <w:top w:val="single" w:sz="4" w:space="0" w:color="auto"/>
              <w:left w:val="nil"/>
              <w:bottom w:val="single" w:sz="4" w:space="0" w:color="auto"/>
              <w:right w:val="single" w:sz="4" w:space="0" w:color="auto"/>
            </w:tcBorders>
            <w:shd w:val="clear" w:color="auto" w:fill="auto"/>
            <w:noWrap/>
            <w:vAlign w:val="center"/>
          </w:tcPr>
          <w:p w:rsidR="00BC2D91" w:rsidRDefault="00BC2D91" w:rsidP="0088135C">
            <w:pPr>
              <w:widowControl/>
              <w:jc w:val="center"/>
              <w:rPr>
                <w:color w:val="000000"/>
                <w:kern w:val="0"/>
                <w:szCs w:val="21"/>
              </w:rPr>
            </w:pPr>
            <w:r>
              <w:rPr>
                <w:rFonts w:hint="eastAsia"/>
                <w:color w:val="000000"/>
                <w:kern w:val="0"/>
                <w:szCs w:val="21"/>
              </w:rPr>
              <w:t>6.1</w:t>
            </w:r>
          </w:p>
        </w:tc>
        <w:tc>
          <w:tcPr>
            <w:tcW w:w="2427" w:type="pct"/>
            <w:tcBorders>
              <w:top w:val="single" w:sz="4" w:space="0" w:color="auto"/>
              <w:left w:val="nil"/>
              <w:bottom w:val="single" w:sz="4" w:space="0" w:color="auto"/>
              <w:right w:val="single" w:sz="4" w:space="0" w:color="auto"/>
            </w:tcBorders>
            <w:shd w:val="clear" w:color="auto" w:fill="auto"/>
            <w:noWrap/>
            <w:vAlign w:val="center"/>
          </w:tcPr>
          <w:p w:rsidR="00BC2D91" w:rsidRDefault="00BC2D91" w:rsidP="0088135C">
            <w:pPr>
              <w:widowControl/>
              <w:jc w:val="center"/>
              <w:rPr>
                <w:color w:val="000000"/>
                <w:kern w:val="0"/>
                <w:szCs w:val="21"/>
              </w:rPr>
            </w:pPr>
            <w:r>
              <w:rPr>
                <w:rFonts w:hint="eastAsia"/>
                <w:color w:val="000000"/>
                <w:kern w:val="0"/>
                <w:szCs w:val="21"/>
              </w:rPr>
              <w:t>增加校准项目</w:t>
            </w:r>
          </w:p>
        </w:tc>
        <w:tc>
          <w:tcPr>
            <w:tcW w:w="772" w:type="pct"/>
            <w:tcBorders>
              <w:top w:val="single" w:sz="4" w:space="0" w:color="auto"/>
              <w:left w:val="nil"/>
              <w:bottom w:val="single" w:sz="4" w:space="0" w:color="auto"/>
              <w:right w:val="single" w:sz="4" w:space="0" w:color="auto"/>
            </w:tcBorders>
            <w:shd w:val="clear" w:color="auto" w:fill="auto"/>
            <w:noWrap/>
            <w:vAlign w:val="center"/>
          </w:tcPr>
          <w:p w:rsidR="00BC2D91" w:rsidRDefault="00BC2D91" w:rsidP="00B761D5">
            <w:pPr>
              <w:widowControl/>
              <w:jc w:val="left"/>
              <w:rPr>
                <w:color w:val="000000"/>
                <w:kern w:val="0"/>
                <w:szCs w:val="21"/>
              </w:rPr>
            </w:pPr>
            <w:r>
              <w:rPr>
                <w:rFonts w:cs="宋体" w:hint="eastAsia"/>
                <w:color w:val="000000"/>
                <w:kern w:val="0"/>
                <w:szCs w:val="21"/>
              </w:rPr>
              <w:t>国标（北京）检验认证有限公司</w:t>
            </w:r>
          </w:p>
        </w:tc>
        <w:tc>
          <w:tcPr>
            <w:tcW w:w="778" w:type="pct"/>
            <w:tcBorders>
              <w:top w:val="single" w:sz="4" w:space="0" w:color="auto"/>
              <w:left w:val="nil"/>
              <w:bottom w:val="single" w:sz="4" w:space="0" w:color="auto"/>
              <w:right w:val="single" w:sz="4" w:space="0" w:color="auto"/>
            </w:tcBorders>
            <w:shd w:val="clear" w:color="auto" w:fill="auto"/>
            <w:noWrap/>
            <w:vAlign w:val="center"/>
          </w:tcPr>
          <w:p w:rsidR="00BC2D91" w:rsidRDefault="00BC2D91" w:rsidP="00B761D5">
            <w:pPr>
              <w:widowControl/>
              <w:jc w:val="center"/>
              <w:rPr>
                <w:color w:val="000000"/>
                <w:kern w:val="0"/>
                <w:szCs w:val="21"/>
              </w:rPr>
            </w:pPr>
            <w:r>
              <w:rPr>
                <w:rFonts w:hint="eastAsia"/>
                <w:color w:val="000000"/>
                <w:kern w:val="0"/>
                <w:szCs w:val="21"/>
              </w:rPr>
              <w:t>采纳</w:t>
            </w:r>
          </w:p>
        </w:tc>
      </w:tr>
    </w:tbl>
    <w:p w:rsidR="00E234B6" w:rsidRDefault="00684862">
      <w:pPr>
        <w:pStyle w:val="1"/>
        <w:spacing w:before="156" w:after="156"/>
        <w:rPr>
          <w:b w:val="0"/>
          <w:bCs w:val="0"/>
        </w:rPr>
      </w:pPr>
      <w:r>
        <w:rPr>
          <w:rFonts w:hint="eastAsia"/>
          <w:b w:val="0"/>
          <w:bCs w:val="0"/>
        </w:rPr>
        <w:lastRenderedPageBreak/>
        <w:t>二、编制原则和依据</w:t>
      </w:r>
    </w:p>
    <w:p w:rsidR="00E234B6" w:rsidRDefault="00684862">
      <w:pPr>
        <w:pStyle w:val="2"/>
        <w:spacing w:before="156" w:after="156"/>
        <w:rPr>
          <w:b w:val="0"/>
          <w:bCs w:val="0"/>
        </w:rPr>
      </w:pPr>
      <w:bookmarkStart w:id="14" w:name="_Toc464728925"/>
      <w:r>
        <w:rPr>
          <w:rFonts w:hint="eastAsia"/>
          <w:b w:val="0"/>
          <w:bCs w:val="0"/>
        </w:rPr>
        <w:t>（一）编制原则</w:t>
      </w:r>
      <w:bookmarkEnd w:id="14"/>
    </w:p>
    <w:p w:rsidR="00E234B6" w:rsidRDefault="00684862">
      <w:pPr>
        <w:spacing w:line="400" w:lineRule="exact"/>
        <w:ind w:firstLineChars="200" w:firstLine="420"/>
        <w:rPr>
          <w:szCs w:val="21"/>
        </w:rPr>
      </w:pPr>
      <w:bookmarkStart w:id="15" w:name="_Toc464728926"/>
      <w:r>
        <w:rPr>
          <w:rFonts w:hint="eastAsia"/>
          <w:szCs w:val="21"/>
        </w:rPr>
        <w:t>本规范是以</w:t>
      </w:r>
      <w:r>
        <w:rPr>
          <w:rFonts w:hint="eastAsia"/>
          <w:szCs w:val="21"/>
        </w:rPr>
        <w:t>JJF 1071-2010</w:t>
      </w:r>
      <w:r>
        <w:rPr>
          <w:rFonts w:hint="eastAsia"/>
          <w:szCs w:val="21"/>
        </w:rPr>
        <w:t>《国家计量校准规范编写规则》、</w:t>
      </w:r>
      <w:r>
        <w:rPr>
          <w:rFonts w:hint="eastAsia"/>
          <w:szCs w:val="21"/>
        </w:rPr>
        <w:t>JJF 1001-2011</w:t>
      </w:r>
      <w:r>
        <w:rPr>
          <w:rFonts w:hint="eastAsia"/>
          <w:szCs w:val="21"/>
        </w:rPr>
        <w:t>《通用计量术语及定义》和</w:t>
      </w:r>
      <w:r>
        <w:rPr>
          <w:rFonts w:hint="eastAsia"/>
          <w:szCs w:val="21"/>
        </w:rPr>
        <w:t>JJF 1059.1-2012</w:t>
      </w:r>
      <w:r>
        <w:rPr>
          <w:rFonts w:hint="eastAsia"/>
          <w:szCs w:val="21"/>
        </w:rPr>
        <w:t>《测量不确定度评定与表示》为基础性系列规范进行编写。</w:t>
      </w:r>
    </w:p>
    <w:p w:rsidR="00E234B6" w:rsidRDefault="00684862">
      <w:pPr>
        <w:spacing w:line="400" w:lineRule="exact"/>
        <w:ind w:firstLineChars="200" w:firstLine="420"/>
        <w:rPr>
          <w:szCs w:val="21"/>
        </w:rPr>
      </w:pPr>
      <w:r>
        <w:rPr>
          <w:szCs w:val="21"/>
        </w:rPr>
        <w:t>参考了</w:t>
      </w:r>
      <w:r>
        <w:rPr>
          <w:szCs w:val="21"/>
        </w:rPr>
        <w:t>JJG 548-2018</w:t>
      </w:r>
      <w:r>
        <w:rPr>
          <w:szCs w:val="21"/>
        </w:rPr>
        <w:t>《测汞仪》、</w:t>
      </w:r>
      <w:r>
        <w:rPr>
          <w:szCs w:val="21"/>
        </w:rPr>
        <w:t>JJG 700-2016</w:t>
      </w:r>
      <w:r>
        <w:rPr>
          <w:szCs w:val="21"/>
        </w:rPr>
        <w:t>《气相色谱仪》、</w:t>
      </w:r>
      <w:r>
        <w:rPr>
          <w:szCs w:val="21"/>
        </w:rPr>
        <w:t>HJ 977-2018</w:t>
      </w:r>
      <w:r>
        <w:rPr>
          <w:szCs w:val="21"/>
        </w:rPr>
        <w:t>《水质</w:t>
      </w:r>
      <w:r>
        <w:rPr>
          <w:szCs w:val="21"/>
        </w:rPr>
        <w:t xml:space="preserve"> </w:t>
      </w:r>
      <w:r>
        <w:rPr>
          <w:szCs w:val="21"/>
        </w:rPr>
        <w:t>烷基汞的测定</w:t>
      </w:r>
      <w:r>
        <w:rPr>
          <w:szCs w:val="21"/>
        </w:rPr>
        <w:t xml:space="preserve"> </w:t>
      </w:r>
      <w:r>
        <w:rPr>
          <w:szCs w:val="21"/>
        </w:rPr>
        <w:t>吹扫捕集</w:t>
      </w:r>
      <w:r>
        <w:rPr>
          <w:szCs w:val="21"/>
        </w:rPr>
        <w:t>/</w:t>
      </w:r>
      <w:r>
        <w:rPr>
          <w:szCs w:val="21"/>
        </w:rPr>
        <w:t>气相色谱</w:t>
      </w:r>
      <w:r>
        <w:rPr>
          <w:szCs w:val="21"/>
        </w:rPr>
        <w:t>-</w:t>
      </w:r>
      <w:r>
        <w:rPr>
          <w:szCs w:val="21"/>
        </w:rPr>
        <w:t>冷原子荧光光谱法》相关内容。</w:t>
      </w:r>
    </w:p>
    <w:p w:rsidR="00E234B6" w:rsidRDefault="00684862">
      <w:pPr>
        <w:pStyle w:val="2"/>
        <w:spacing w:before="156" w:after="156"/>
        <w:rPr>
          <w:rFonts w:ascii="宋体" w:hAnsi="宋体"/>
          <w:b w:val="0"/>
          <w:bCs w:val="0"/>
        </w:rPr>
      </w:pPr>
      <w:r>
        <w:rPr>
          <w:rFonts w:hint="eastAsia"/>
          <w:b w:val="0"/>
          <w:bCs w:val="0"/>
        </w:rPr>
        <w:t>（二）确定主要内</w:t>
      </w:r>
      <w:bookmarkEnd w:id="15"/>
      <w:r>
        <w:rPr>
          <w:rFonts w:hint="eastAsia"/>
          <w:b w:val="0"/>
          <w:bCs w:val="0"/>
        </w:rPr>
        <w:t>容</w:t>
      </w:r>
    </w:p>
    <w:p w:rsidR="00E234B6" w:rsidRDefault="00684862">
      <w:pPr>
        <w:pStyle w:val="3"/>
        <w:spacing w:before="156" w:after="156"/>
        <w:rPr>
          <w:b w:val="0"/>
          <w:bCs w:val="0"/>
        </w:rPr>
      </w:pPr>
      <w:bookmarkStart w:id="16" w:name="_Toc23837_WPSOffice_Level1"/>
      <w:bookmarkStart w:id="17" w:name="_Toc193860027"/>
      <w:bookmarkStart w:id="18" w:name="_Toc500258929"/>
      <w:bookmarkStart w:id="19" w:name="_Toc193860177"/>
      <w:bookmarkStart w:id="20" w:name="_Toc193860208"/>
      <w:bookmarkStart w:id="21" w:name="_Toc464728964"/>
      <w:r>
        <w:rPr>
          <w:rFonts w:hint="eastAsia"/>
          <w:b w:val="0"/>
          <w:bCs w:val="0"/>
        </w:rPr>
        <w:t>1</w:t>
      </w:r>
      <w:r>
        <w:rPr>
          <w:rFonts w:hint="eastAsia"/>
          <w:b w:val="0"/>
          <w:bCs w:val="0"/>
        </w:rPr>
        <w:t>范围</w:t>
      </w:r>
      <w:bookmarkEnd w:id="16"/>
      <w:bookmarkEnd w:id="17"/>
      <w:bookmarkEnd w:id="18"/>
      <w:bookmarkEnd w:id="19"/>
      <w:bookmarkEnd w:id="20"/>
    </w:p>
    <w:p w:rsidR="00E234B6" w:rsidRDefault="00684862">
      <w:pPr>
        <w:spacing w:line="400" w:lineRule="exact"/>
        <w:ind w:firstLineChars="200" w:firstLine="420"/>
        <w:rPr>
          <w:rFonts w:eastAsiaTheme="minorEastAsia"/>
          <w:kern w:val="0"/>
          <w:szCs w:val="21"/>
        </w:rPr>
      </w:pPr>
      <w:r>
        <w:rPr>
          <w:color w:val="000000" w:themeColor="text1"/>
        </w:rPr>
        <w:t>本规范</w:t>
      </w:r>
      <w:r>
        <w:t>适用于</w:t>
      </w:r>
      <w:r>
        <w:rPr>
          <w:rFonts w:hint="eastAsia"/>
        </w:rPr>
        <w:t>烷基</w:t>
      </w:r>
      <w:proofErr w:type="gramStart"/>
      <w:r>
        <w:rPr>
          <w:rFonts w:hint="eastAsia"/>
        </w:rPr>
        <w:t>汞分析</w:t>
      </w:r>
      <w:proofErr w:type="gramEnd"/>
      <w:r>
        <w:rPr>
          <w:rFonts w:hint="eastAsia"/>
        </w:rPr>
        <w:t>仪</w:t>
      </w:r>
      <w:r>
        <w:t>的校准</w:t>
      </w:r>
      <w:r>
        <w:rPr>
          <w:rFonts w:eastAsiaTheme="minorEastAsia" w:hint="eastAsia"/>
          <w:kern w:val="0"/>
          <w:szCs w:val="21"/>
        </w:rPr>
        <w:t>。</w:t>
      </w:r>
      <w:r>
        <w:rPr>
          <w:rFonts w:hint="eastAsia"/>
        </w:rPr>
        <w:t>该设备</w:t>
      </w:r>
      <w:r>
        <w:t>用于检测有色金属冶金厂含汞废水、贵金属回收加工含汞废水、土壤中的烷基汞（甲基汞和乙基汞）。</w:t>
      </w:r>
    </w:p>
    <w:p w:rsidR="00E234B6" w:rsidRDefault="00684862">
      <w:pPr>
        <w:pStyle w:val="3"/>
        <w:spacing w:before="156" w:after="156"/>
        <w:rPr>
          <w:b w:val="0"/>
          <w:bCs w:val="0"/>
        </w:rPr>
      </w:pPr>
      <w:bookmarkStart w:id="22" w:name="_Toc193860209"/>
      <w:bookmarkStart w:id="23" w:name="_Toc193860178"/>
      <w:bookmarkStart w:id="24" w:name="_Toc193860028"/>
      <w:bookmarkStart w:id="25" w:name="_Toc7848_WPSOffice_Level1"/>
      <w:bookmarkStart w:id="26" w:name="_Toc500258930"/>
      <w:r>
        <w:rPr>
          <w:rFonts w:hint="eastAsia"/>
          <w:b w:val="0"/>
          <w:bCs w:val="0"/>
        </w:rPr>
        <w:t xml:space="preserve">2 </w:t>
      </w:r>
      <w:r>
        <w:rPr>
          <w:rFonts w:hint="eastAsia"/>
          <w:b w:val="0"/>
          <w:bCs w:val="0"/>
        </w:rPr>
        <w:t>引用文</w:t>
      </w:r>
      <w:bookmarkEnd w:id="22"/>
      <w:bookmarkEnd w:id="23"/>
      <w:bookmarkEnd w:id="24"/>
      <w:r>
        <w:rPr>
          <w:rFonts w:hint="eastAsia"/>
          <w:b w:val="0"/>
          <w:bCs w:val="0"/>
        </w:rPr>
        <w:t>件</w:t>
      </w:r>
      <w:bookmarkEnd w:id="25"/>
      <w:bookmarkEnd w:id="26"/>
    </w:p>
    <w:p w:rsidR="00E234B6" w:rsidRDefault="00684862">
      <w:pPr>
        <w:pStyle w:val="3"/>
        <w:spacing w:before="156" w:after="156"/>
        <w:ind w:firstLineChars="200" w:firstLine="420"/>
        <w:rPr>
          <w:rFonts w:eastAsia="宋体"/>
          <w:b w:val="0"/>
          <w:bCs w:val="0"/>
          <w:szCs w:val="24"/>
        </w:rPr>
      </w:pPr>
      <w:bookmarkStart w:id="27" w:name="_Toc193618952"/>
      <w:bookmarkStart w:id="28" w:name="_Toc193860211"/>
      <w:bookmarkStart w:id="29" w:name="_Toc193860030"/>
      <w:bookmarkStart w:id="30" w:name="_Toc193619055"/>
      <w:bookmarkStart w:id="31" w:name="_Toc193619097"/>
      <w:bookmarkStart w:id="32" w:name="_Toc13054_WPSOffice_Level1"/>
      <w:bookmarkStart w:id="33" w:name="_Toc193860180"/>
      <w:bookmarkStart w:id="34" w:name="_Toc500258937"/>
      <w:r>
        <w:rPr>
          <w:rFonts w:eastAsia="宋体"/>
          <w:b w:val="0"/>
          <w:bCs w:val="0"/>
          <w:szCs w:val="24"/>
        </w:rPr>
        <w:t>HJ 977-2018</w:t>
      </w:r>
      <w:r>
        <w:rPr>
          <w:rFonts w:eastAsia="宋体"/>
          <w:b w:val="0"/>
          <w:bCs w:val="0"/>
          <w:szCs w:val="24"/>
        </w:rPr>
        <w:t>《水质</w:t>
      </w:r>
      <w:r>
        <w:rPr>
          <w:rFonts w:eastAsia="宋体"/>
          <w:b w:val="0"/>
          <w:bCs w:val="0"/>
          <w:szCs w:val="24"/>
        </w:rPr>
        <w:t xml:space="preserve"> </w:t>
      </w:r>
      <w:r>
        <w:rPr>
          <w:rFonts w:eastAsia="宋体"/>
          <w:b w:val="0"/>
          <w:bCs w:val="0"/>
          <w:szCs w:val="24"/>
        </w:rPr>
        <w:t>烷基汞的测定</w:t>
      </w:r>
      <w:r>
        <w:rPr>
          <w:rFonts w:eastAsia="宋体"/>
          <w:b w:val="0"/>
          <w:bCs w:val="0"/>
          <w:szCs w:val="24"/>
        </w:rPr>
        <w:t xml:space="preserve"> </w:t>
      </w:r>
      <w:r>
        <w:rPr>
          <w:rFonts w:eastAsia="宋体"/>
          <w:b w:val="0"/>
          <w:bCs w:val="0"/>
          <w:szCs w:val="24"/>
        </w:rPr>
        <w:t>吹扫捕集</w:t>
      </w:r>
      <w:r>
        <w:rPr>
          <w:rFonts w:eastAsia="宋体"/>
          <w:b w:val="0"/>
          <w:bCs w:val="0"/>
          <w:szCs w:val="24"/>
        </w:rPr>
        <w:t>/</w:t>
      </w:r>
      <w:r>
        <w:rPr>
          <w:rFonts w:eastAsia="宋体"/>
          <w:b w:val="0"/>
          <w:bCs w:val="0"/>
          <w:szCs w:val="24"/>
        </w:rPr>
        <w:t>气相色谱</w:t>
      </w:r>
      <w:r>
        <w:rPr>
          <w:rFonts w:eastAsia="宋体"/>
          <w:b w:val="0"/>
          <w:bCs w:val="0"/>
          <w:szCs w:val="24"/>
        </w:rPr>
        <w:t>-</w:t>
      </w:r>
      <w:r>
        <w:rPr>
          <w:rFonts w:eastAsia="宋体"/>
          <w:b w:val="0"/>
          <w:bCs w:val="0"/>
          <w:szCs w:val="24"/>
        </w:rPr>
        <w:t>冷原子荧光光谱法》</w:t>
      </w:r>
    </w:p>
    <w:p w:rsidR="00E234B6" w:rsidRDefault="00684862">
      <w:pPr>
        <w:pStyle w:val="3"/>
        <w:spacing w:before="156" w:after="156"/>
        <w:rPr>
          <w:b w:val="0"/>
          <w:bCs w:val="0"/>
        </w:rPr>
      </w:pPr>
      <w:r>
        <w:rPr>
          <w:rFonts w:hint="eastAsia"/>
          <w:b w:val="0"/>
          <w:bCs w:val="0"/>
        </w:rPr>
        <w:t xml:space="preserve">3 </w:t>
      </w:r>
      <w:r>
        <w:rPr>
          <w:rFonts w:hint="eastAsia"/>
          <w:b w:val="0"/>
          <w:bCs w:val="0"/>
        </w:rPr>
        <w:t>概述</w:t>
      </w:r>
      <w:bookmarkEnd w:id="27"/>
      <w:bookmarkEnd w:id="28"/>
      <w:bookmarkEnd w:id="29"/>
      <w:bookmarkEnd w:id="30"/>
      <w:bookmarkEnd w:id="31"/>
      <w:bookmarkEnd w:id="32"/>
      <w:bookmarkEnd w:id="33"/>
      <w:bookmarkEnd w:id="34"/>
    </w:p>
    <w:p w:rsidR="00E234B6" w:rsidRDefault="00684862">
      <w:pPr>
        <w:autoSpaceDE w:val="0"/>
        <w:autoSpaceDN w:val="0"/>
        <w:adjustRightInd w:val="0"/>
        <w:spacing w:line="440" w:lineRule="exact"/>
        <w:ind w:firstLineChars="200" w:firstLine="420"/>
      </w:pPr>
      <w:r>
        <w:rPr>
          <w:rFonts w:hint="eastAsia"/>
        </w:rPr>
        <w:t>本部</w:t>
      </w:r>
      <w:proofErr w:type="gramStart"/>
      <w:r>
        <w:rPr>
          <w:rFonts w:hint="eastAsia"/>
        </w:rPr>
        <w:t>分介绍</w:t>
      </w:r>
      <w:proofErr w:type="gramEnd"/>
      <w:r>
        <w:rPr>
          <w:rFonts w:hint="eastAsia"/>
        </w:rPr>
        <w:t>了烷基</w:t>
      </w:r>
      <w:proofErr w:type="gramStart"/>
      <w:r>
        <w:rPr>
          <w:rFonts w:hint="eastAsia"/>
        </w:rPr>
        <w:t>汞分析</w:t>
      </w:r>
      <w:proofErr w:type="gramEnd"/>
      <w:r>
        <w:rPr>
          <w:rFonts w:hint="eastAsia"/>
        </w:rPr>
        <w:t>仪的结构等内容：</w:t>
      </w:r>
      <w:bookmarkStart w:id="35" w:name="_Toc193860031"/>
      <w:bookmarkStart w:id="36" w:name="_Toc193860212"/>
      <w:bookmarkStart w:id="37" w:name="_Toc500258938"/>
      <w:bookmarkStart w:id="38" w:name="_Toc193619056"/>
      <w:bookmarkStart w:id="39" w:name="_Toc193860181"/>
      <w:bookmarkStart w:id="40" w:name="_Toc193618953"/>
      <w:bookmarkStart w:id="41" w:name="_Toc193619098"/>
      <w:bookmarkStart w:id="42" w:name="_Toc19851_WPSOffice_Level1"/>
      <w:r>
        <w:t>有色金属行业中烷基</w:t>
      </w:r>
      <w:proofErr w:type="gramStart"/>
      <w:r>
        <w:t>汞分析仪用于</w:t>
      </w:r>
      <w:proofErr w:type="gramEnd"/>
      <w:r>
        <w:t>检测有色金属冶金厂含汞废水、贵金属回收加工含汞废水、土壤中的烷基汞（甲基汞和乙基汞）。仪器主要由气路单元、进样单元、吹扫捕集单元、分离裂解单元、检测单元和数据处理单元组成。</w:t>
      </w:r>
    </w:p>
    <w:p w:rsidR="00E234B6" w:rsidRDefault="00684862">
      <w:pPr>
        <w:autoSpaceDE w:val="0"/>
        <w:autoSpaceDN w:val="0"/>
        <w:adjustRightInd w:val="0"/>
        <w:spacing w:line="440" w:lineRule="exact"/>
        <w:ind w:firstLineChars="200" w:firstLine="420"/>
      </w:pPr>
      <w:r>
        <w:t>烷基</w:t>
      </w:r>
      <w:proofErr w:type="gramStart"/>
      <w:r>
        <w:t>汞分析</w:t>
      </w:r>
      <w:proofErr w:type="gramEnd"/>
      <w:r>
        <w:t>仪是将液体中的烷基</w:t>
      </w:r>
      <w:proofErr w:type="gramStart"/>
      <w:r>
        <w:t>汞进行</w:t>
      </w:r>
      <w:proofErr w:type="gramEnd"/>
      <w:r>
        <w:t>吹扫并通过捕集</w:t>
      </w:r>
      <w:proofErr w:type="gramStart"/>
      <w:r>
        <w:t>阱</w:t>
      </w:r>
      <w:proofErr w:type="gramEnd"/>
      <w:r>
        <w:t>富集，然后对捕集</w:t>
      </w:r>
      <w:proofErr w:type="gramStart"/>
      <w:r>
        <w:t>阱</w:t>
      </w:r>
      <w:proofErr w:type="gramEnd"/>
      <w:r>
        <w:t>进行快速加热，</w:t>
      </w:r>
      <w:proofErr w:type="gramStart"/>
      <w:r>
        <w:t>烷基汞被解析</w:t>
      </w:r>
      <w:proofErr w:type="gramEnd"/>
      <w:r>
        <w:t>随载气进入气相色谱进行分离和高温裂解还原，后通过冷原子荧光检测器，检测烷基汞的含量。</w:t>
      </w:r>
    </w:p>
    <w:p w:rsidR="00E234B6" w:rsidRDefault="00684862">
      <w:pPr>
        <w:pStyle w:val="3"/>
        <w:spacing w:before="156" w:after="156"/>
        <w:rPr>
          <w:b w:val="0"/>
          <w:bCs w:val="0"/>
        </w:rPr>
      </w:pPr>
      <w:r>
        <w:rPr>
          <w:rFonts w:hint="eastAsia"/>
          <w:b w:val="0"/>
          <w:bCs w:val="0"/>
        </w:rPr>
        <w:t>4</w:t>
      </w:r>
      <w:r>
        <w:rPr>
          <w:rFonts w:hint="eastAsia"/>
          <w:b w:val="0"/>
          <w:bCs w:val="0"/>
        </w:rPr>
        <w:t>计量特性</w:t>
      </w:r>
      <w:bookmarkStart w:id="43" w:name="_Toc25829_WPSOffice_Level1"/>
      <w:bookmarkEnd w:id="35"/>
      <w:bookmarkEnd w:id="36"/>
      <w:bookmarkEnd w:id="37"/>
      <w:bookmarkEnd w:id="38"/>
      <w:bookmarkEnd w:id="39"/>
      <w:bookmarkEnd w:id="40"/>
      <w:bookmarkEnd w:id="41"/>
      <w:bookmarkEnd w:id="42"/>
    </w:p>
    <w:p w:rsidR="00E234B6" w:rsidRDefault="00684862">
      <w:pPr>
        <w:spacing w:line="400" w:lineRule="exact"/>
        <w:ind w:firstLineChars="200" w:firstLine="420"/>
      </w:pPr>
      <w:r>
        <w:rPr>
          <w:rFonts w:cstheme="majorBidi" w:hint="eastAsia"/>
          <w:kern w:val="44"/>
        </w:rPr>
        <w:t>根据实际使用情况，并与设备生厂商、设备使用单位沟通，确定了</w:t>
      </w:r>
      <w:r>
        <w:t>烷基</w:t>
      </w:r>
      <w:proofErr w:type="gramStart"/>
      <w:r>
        <w:t>汞分析</w:t>
      </w:r>
      <w:proofErr w:type="gramEnd"/>
      <w:r>
        <w:t>仪</w:t>
      </w:r>
      <w:r>
        <w:rPr>
          <w:rFonts w:hint="eastAsia"/>
        </w:rPr>
        <w:t>的计量特性有：线性误差、检出限、测量线性、重复性、分离度。</w:t>
      </w:r>
      <w:r>
        <w:t>计量特性见表</w:t>
      </w:r>
      <w:r>
        <w:t>1</w:t>
      </w:r>
      <w:r>
        <w:t>。</w:t>
      </w:r>
    </w:p>
    <w:p w:rsidR="00E234B6" w:rsidRPr="006C36BD" w:rsidRDefault="00684862" w:rsidP="006C36BD">
      <w:pPr>
        <w:spacing w:line="360" w:lineRule="auto"/>
        <w:ind w:firstLineChars="200" w:firstLine="420"/>
        <w:jc w:val="center"/>
      </w:pPr>
      <w:r w:rsidRPr="006C36BD">
        <w:t>表</w:t>
      </w:r>
      <w:r w:rsidRPr="006C36BD">
        <w:t xml:space="preserve">1 </w:t>
      </w:r>
      <w:r w:rsidRPr="006C36BD">
        <w:t>计量特性</w:t>
      </w:r>
    </w:p>
    <w:tbl>
      <w:tblPr>
        <w:tblStyle w:val="affd"/>
        <w:tblpPr w:leftFromText="180" w:rightFromText="180" w:vertAnchor="text" w:horzAnchor="page" w:tblpXSpec="center" w:tblpY="123"/>
        <w:tblOverlap w:val="never"/>
        <w:tblW w:w="7108" w:type="dxa"/>
        <w:jc w:val="center"/>
        <w:tblLayout w:type="fixed"/>
        <w:tblLook w:val="04A0" w:firstRow="1" w:lastRow="0" w:firstColumn="1" w:lastColumn="0" w:noHBand="0" w:noVBand="1"/>
      </w:tblPr>
      <w:tblGrid>
        <w:gridCol w:w="3554"/>
        <w:gridCol w:w="3554"/>
      </w:tblGrid>
      <w:tr w:rsidR="00E234B6">
        <w:trPr>
          <w:trHeight w:val="360"/>
          <w:jc w:val="center"/>
        </w:trPr>
        <w:tc>
          <w:tcPr>
            <w:tcW w:w="3554" w:type="dxa"/>
          </w:tcPr>
          <w:p w:rsidR="00E234B6" w:rsidRDefault="00684862">
            <w:pPr>
              <w:jc w:val="center"/>
            </w:pPr>
            <w:r>
              <w:t>计量性能</w:t>
            </w:r>
          </w:p>
        </w:tc>
        <w:tc>
          <w:tcPr>
            <w:tcW w:w="3554" w:type="dxa"/>
          </w:tcPr>
          <w:p w:rsidR="00E234B6" w:rsidRDefault="00684862">
            <w:pPr>
              <w:jc w:val="center"/>
            </w:pPr>
            <w:r>
              <w:t>计量性能指标</w:t>
            </w:r>
          </w:p>
        </w:tc>
      </w:tr>
      <w:tr w:rsidR="00E234B6">
        <w:trPr>
          <w:trHeight w:val="372"/>
          <w:jc w:val="center"/>
        </w:trPr>
        <w:tc>
          <w:tcPr>
            <w:tcW w:w="3554" w:type="dxa"/>
            <w:shd w:val="clear" w:color="auto" w:fill="auto"/>
          </w:tcPr>
          <w:p w:rsidR="00E234B6" w:rsidRDefault="00684862">
            <w:pPr>
              <w:jc w:val="center"/>
            </w:pPr>
            <w:r>
              <w:t>线性误差</w:t>
            </w:r>
          </w:p>
        </w:tc>
        <w:tc>
          <w:tcPr>
            <w:tcW w:w="3554" w:type="dxa"/>
            <w:shd w:val="clear" w:color="auto" w:fill="auto"/>
          </w:tcPr>
          <w:p w:rsidR="00E234B6" w:rsidRDefault="00684862">
            <w:pPr>
              <w:jc w:val="center"/>
            </w:pPr>
            <w:r>
              <w:t>±15%</w:t>
            </w:r>
          </w:p>
        </w:tc>
      </w:tr>
      <w:tr w:rsidR="00E234B6">
        <w:trPr>
          <w:trHeight w:val="372"/>
          <w:jc w:val="center"/>
        </w:trPr>
        <w:tc>
          <w:tcPr>
            <w:tcW w:w="3554" w:type="dxa"/>
          </w:tcPr>
          <w:p w:rsidR="00E234B6" w:rsidRDefault="00684862">
            <w:pPr>
              <w:jc w:val="center"/>
            </w:pPr>
            <w:r>
              <w:t>甲基汞检出限</w:t>
            </w:r>
          </w:p>
        </w:tc>
        <w:tc>
          <w:tcPr>
            <w:tcW w:w="3554" w:type="dxa"/>
          </w:tcPr>
          <w:p w:rsidR="00E234B6" w:rsidRDefault="00684862">
            <w:pPr>
              <w:jc w:val="center"/>
            </w:pPr>
            <w:r w:rsidRPr="0003050F">
              <w:rPr>
                <w:rFonts w:asciiTheme="majorEastAsia" w:eastAsiaTheme="majorEastAsia" w:hAnsiTheme="majorEastAsia"/>
              </w:rPr>
              <w:t>≤</w:t>
            </w:r>
            <w:r>
              <w:t xml:space="preserve">0.9 </w:t>
            </w:r>
            <w:proofErr w:type="spellStart"/>
            <w:r>
              <w:t>pg</w:t>
            </w:r>
            <w:proofErr w:type="spellEnd"/>
          </w:p>
        </w:tc>
      </w:tr>
      <w:tr w:rsidR="00E234B6">
        <w:trPr>
          <w:trHeight w:val="372"/>
          <w:jc w:val="center"/>
        </w:trPr>
        <w:tc>
          <w:tcPr>
            <w:tcW w:w="3554" w:type="dxa"/>
          </w:tcPr>
          <w:p w:rsidR="00E234B6" w:rsidRDefault="00684862">
            <w:pPr>
              <w:jc w:val="center"/>
            </w:pPr>
            <w:r>
              <w:t>乙基汞检出限</w:t>
            </w:r>
          </w:p>
        </w:tc>
        <w:tc>
          <w:tcPr>
            <w:tcW w:w="3554" w:type="dxa"/>
          </w:tcPr>
          <w:p w:rsidR="00E234B6" w:rsidRDefault="00684862">
            <w:pPr>
              <w:jc w:val="center"/>
            </w:pPr>
            <w:r w:rsidRPr="0003050F">
              <w:rPr>
                <w:rFonts w:asciiTheme="majorEastAsia" w:eastAsiaTheme="majorEastAsia" w:hAnsiTheme="majorEastAsia"/>
              </w:rPr>
              <w:t>≤</w:t>
            </w:r>
            <w:r>
              <w:t xml:space="preserve">0.9 </w:t>
            </w:r>
            <w:proofErr w:type="spellStart"/>
            <w:r>
              <w:t>pg</w:t>
            </w:r>
            <w:proofErr w:type="spellEnd"/>
          </w:p>
        </w:tc>
      </w:tr>
      <w:tr w:rsidR="00E234B6">
        <w:trPr>
          <w:trHeight w:val="372"/>
          <w:jc w:val="center"/>
        </w:trPr>
        <w:tc>
          <w:tcPr>
            <w:tcW w:w="3554" w:type="dxa"/>
          </w:tcPr>
          <w:p w:rsidR="00E234B6" w:rsidRDefault="00684862">
            <w:pPr>
              <w:jc w:val="center"/>
            </w:pPr>
            <w:r>
              <w:t>测量线性</w:t>
            </w:r>
          </w:p>
        </w:tc>
        <w:tc>
          <w:tcPr>
            <w:tcW w:w="3554" w:type="dxa"/>
          </w:tcPr>
          <w:p w:rsidR="00E234B6" w:rsidRDefault="00684862">
            <w:pPr>
              <w:jc w:val="center"/>
            </w:pPr>
            <w:r w:rsidRPr="0003050F">
              <w:rPr>
                <w:rFonts w:asciiTheme="minorEastAsia" w:eastAsiaTheme="minorEastAsia" w:hAnsiTheme="minorEastAsia"/>
              </w:rPr>
              <w:t>≥</w:t>
            </w:r>
            <w:r>
              <w:t>0.99</w:t>
            </w:r>
            <w:r>
              <w:rPr>
                <w:rFonts w:hint="eastAsia"/>
              </w:rPr>
              <w:t>6</w:t>
            </w:r>
          </w:p>
        </w:tc>
      </w:tr>
      <w:tr w:rsidR="00E234B6">
        <w:trPr>
          <w:trHeight w:val="379"/>
          <w:jc w:val="center"/>
        </w:trPr>
        <w:tc>
          <w:tcPr>
            <w:tcW w:w="3554" w:type="dxa"/>
          </w:tcPr>
          <w:p w:rsidR="00E234B6" w:rsidRDefault="00684862">
            <w:pPr>
              <w:jc w:val="center"/>
            </w:pPr>
            <w:r>
              <w:t>重复性</w:t>
            </w:r>
          </w:p>
        </w:tc>
        <w:tc>
          <w:tcPr>
            <w:tcW w:w="3554" w:type="dxa"/>
          </w:tcPr>
          <w:p w:rsidR="00E234B6" w:rsidRDefault="00684862">
            <w:pPr>
              <w:jc w:val="center"/>
            </w:pPr>
            <w:r w:rsidRPr="0003050F">
              <w:rPr>
                <w:rFonts w:asciiTheme="minorEastAsia" w:eastAsiaTheme="minorEastAsia" w:hAnsiTheme="minorEastAsia"/>
              </w:rPr>
              <w:t>≤</w:t>
            </w:r>
            <w:r>
              <w:t>5%</w:t>
            </w:r>
          </w:p>
        </w:tc>
      </w:tr>
      <w:tr w:rsidR="00E234B6">
        <w:trPr>
          <w:trHeight w:val="379"/>
          <w:jc w:val="center"/>
        </w:trPr>
        <w:tc>
          <w:tcPr>
            <w:tcW w:w="3554" w:type="dxa"/>
          </w:tcPr>
          <w:p w:rsidR="00E234B6" w:rsidRDefault="00684862">
            <w:pPr>
              <w:jc w:val="center"/>
            </w:pPr>
            <w:r>
              <w:t>分离度</w:t>
            </w:r>
          </w:p>
        </w:tc>
        <w:tc>
          <w:tcPr>
            <w:tcW w:w="3554" w:type="dxa"/>
          </w:tcPr>
          <w:p w:rsidR="00E234B6" w:rsidRDefault="00684862">
            <w:pPr>
              <w:jc w:val="center"/>
            </w:pPr>
            <w:r>
              <w:t>＞</w:t>
            </w:r>
            <w:r>
              <w:t>1.5</w:t>
            </w:r>
          </w:p>
        </w:tc>
      </w:tr>
    </w:tbl>
    <w:p w:rsidR="00E234B6" w:rsidRDefault="00E234B6">
      <w:pPr>
        <w:pStyle w:val="3"/>
        <w:spacing w:before="156" w:after="156"/>
        <w:rPr>
          <w:rFonts w:eastAsia="宋体"/>
          <w:b w:val="0"/>
          <w:bCs w:val="0"/>
          <w:szCs w:val="24"/>
        </w:rPr>
      </w:pPr>
    </w:p>
    <w:p w:rsidR="00E234B6" w:rsidRDefault="00E234B6">
      <w:pPr>
        <w:pStyle w:val="3"/>
        <w:spacing w:before="156" w:after="156"/>
        <w:rPr>
          <w:rFonts w:eastAsia="宋体"/>
          <w:b w:val="0"/>
          <w:bCs w:val="0"/>
          <w:szCs w:val="24"/>
        </w:rPr>
      </w:pPr>
    </w:p>
    <w:p w:rsidR="00E234B6" w:rsidRDefault="00E234B6">
      <w:pPr>
        <w:pStyle w:val="3"/>
        <w:spacing w:before="156" w:after="156"/>
        <w:rPr>
          <w:rFonts w:eastAsia="宋体"/>
          <w:b w:val="0"/>
          <w:bCs w:val="0"/>
          <w:szCs w:val="24"/>
        </w:rPr>
      </w:pPr>
    </w:p>
    <w:p w:rsidR="00603894" w:rsidRDefault="00603894" w:rsidP="00603894"/>
    <w:p w:rsidR="00603894" w:rsidRDefault="00603894" w:rsidP="00603894"/>
    <w:p w:rsidR="00603894" w:rsidRPr="00603894" w:rsidRDefault="00603894" w:rsidP="00603894"/>
    <w:p w:rsidR="00E234B6" w:rsidRDefault="00684862">
      <w:pPr>
        <w:pStyle w:val="3"/>
        <w:spacing w:before="156" w:after="156"/>
        <w:rPr>
          <w:b w:val="0"/>
          <w:bCs w:val="0"/>
        </w:rPr>
      </w:pPr>
      <w:r>
        <w:rPr>
          <w:rFonts w:hint="eastAsia"/>
          <w:b w:val="0"/>
          <w:bCs w:val="0"/>
        </w:rPr>
        <w:lastRenderedPageBreak/>
        <w:t xml:space="preserve">5 </w:t>
      </w:r>
      <w:r>
        <w:rPr>
          <w:rFonts w:hint="eastAsia"/>
          <w:b w:val="0"/>
          <w:bCs w:val="0"/>
        </w:rPr>
        <w:t>校准条件</w:t>
      </w:r>
      <w:bookmarkStart w:id="44" w:name="_Toc193860033"/>
      <w:bookmarkStart w:id="45" w:name="_Toc193860183"/>
      <w:bookmarkStart w:id="46" w:name="_Toc193860214"/>
      <w:bookmarkStart w:id="47" w:name="_Toc500258942"/>
      <w:bookmarkEnd w:id="43"/>
    </w:p>
    <w:p w:rsidR="00E234B6" w:rsidRDefault="00684862">
      <w:pPr>
        <w:spacing w:line="400" w:lineRule="exact"/>
        <w:rPr>
          <w:rFonts w:cstheme="majorBidi"/>
          <w:kern w:val="44"/>
        </w:rPr>
      </w:pPr>
      <w:bookmarkStart w:id="48" w:name="_Toc533963948"/>
      <w:bookmarkStart w:id="49" w:name="_Toc161838411"/>
      <w:r>
        <w:rPr>
          <w:rFonts w:cstheme="majorBidi"/>
          <w:kern w:val="44"/>
        </w:rPr>
        <w:t xml:space="preserve">5.1 </w:t>
      </w:r>
      <w:r>
        <w:rPr>
          <w:rFonts w:cstheme="majorBidi"/>
          <w:kern w:val="44"/>
        </w:rPr>
        <w:t>环境条件</w:t>
      </w:r>
      <w:bookmarkEnd w:id="48"/>
      <w:bookmarkEnd w:id="49"/>
    </w:p>
    <w:p w:rsidR="00E234B6" w:rsidRPr="00D21938" w:rsidRDefault="00D21938" w:rsidP="00D21938">
      <w:pPr>
        <w:spacing w:line="400" w:lineRule="exact"/>
        <w:ind w:firstLineChars="200" w:firstLine="420"/>
        <w:rPr>
          <w:rFonts w:eastAsiaTheme="minorEastAsia"/>
          <w:szCs w:val="21"/>
        </w:rPr>
      </w:pPr>
      <w:bookmarkStart w:id="50" w:name="_Toc533963949"/>
      <w:bookmarkStart w:id="51" w:name="_Toc161838412"/>
      <w:r>
        <w:t>参照</w:t>
      </w:r>
      <w:r>
        <w:t>JJG 548-2018</w:t>
      </w:r>
      <w:r>
        <w:t>《测汞仪》检定规程、</w:t>
      </w:r>
      <w:r>
        <w:t xml:space="preserve">JJG 700-2016 </w:t>
      </w:r>
      <w:r>
        <w:t>《气相色谱仪》检定规程</w:t>
      </w:r>
      <w:r>
        <w:rPr>
          <w:rFonts w:eastAsiaTheme="minorEastAsia" w:hint="eastAsia"/>
          <w:szCs w:val="21"/>
        </w:rPr>
        <w:t>，</w:t>
      </w:r>
      <w:r w:rsidR="00684862">
        <w:rPr>
          <w:szCs w:val="21"/>
        </w:rPr>
        <w:t>环境温度</w:t>
      </w:r>
      <w:r>
        <w:rPr>
          <w:szCs w:val="21"/>
        </w:rPr>
        <w:t>确定为</w:t>
      </w:r>
      <w:r w:rsidR="00684862">
        <w:rPr>
          <w:szCs w:val="21"/>
        </w:rPr>
        <w:t>（</w:t>
      </w:r>
      <w:r w:rsidR="00684862">
        <w:rPr>
          <w:szCs w:val="21"/>
        </w:rPr>
        <w:t>20±5</w:t>
      </w:r>
      <w:r w:rsidR="00684862">
        <w:rPr>
          <w:szCs w:val="21"/>
        </w:rPr>
        <w:t>）</w:t>
      </w:r>
      <w:r w:rsidR="00684862">
        <w:rPr>
          <w:szCs w:val="21"/>
        </w:rPr>
        <w:t>℃</w:t>
      </w:r>
      <w:r>
        <w:rPr>
          <w:rFonts w:eastAsiaTheme="minorEastAsia" w:hint="eastAsia"/>
          <w:szCs w:val="21"/>
        </w:rPr>
        <w:t>，</w:t>
      </w:r>
      <w:bookmarkStart w:id="52" w:name="_GoBack"/>
      <w:bookmarkEnd w:id="52"/>
      <w:r w:rsidR="00684862">
        <w:rPr>
          <w:szCs w:val="21"/>
        </w:rPr>
        <w:t>相对湿度：</w:t>
      </w:r>
      <w:r w:rsidR="00684862">
        <w:rPr>
          <w:color w:val="000000"/>
          <w:szCs w:val="21"/>
        </w:rPr>
        <w:t>不大于</w:t>
      </w:r>
      <w:r w:rsidR="00684862">
        <w:rPr>
          <w:color w:val="000000"/>
          <w:szCs w:val="21"/>
        </w:rPr>
        <w:t>80%</w:t>
      </w:r>
      <w:r w:rsidR="00684862">
        <w:rPr>
          <w:szCs w:val="21"/>
        </w:rPr>
        <w:t>。</w:t>
      </w:r>
    </w:p>
    <w:p w:rsidR="00E234B6" w:rsidRDefault="00684862">
      <w:pPr>
        <w:spacing w:line="400" w:lineRule="exact"/>
        <w:rPr>
          <w:rFonts w:cstheme="majorBidi"/>
          <w:kern w:val="44"/>
        </w:rPr>
      </w:pPr>
      <w:r>
        <w:rPr>
          <w:rFonts w:cstheme="majorBidi"/>
          <w:kern w:val="44"/>
        </w:rPr>
        <w:t>5.2</w:t>
      </w:r>
      <w:bookmarkEnd w:id="50"/>
      <w:r>
        <w:rPr>
          <w:rFonts w:cstheme="majorBidi"/>
          <w:kern w:val="44"/>
        </w:rPr>
        <w:t xml:space="preserve"> </w:t>
      </w:r>
      <w:r>
        <w:rPr>
          <w:rFonts w:cstheme="majorBidi"/>
          <w:kern w:val="44"/>
        </w:rPr>
        <w:t>测量标准</w:t>
      </w:r>
      <w:bookmarkEnd w:id="51"/>
    </w:p>
    <w:p w:rsidR="00E234B6" w:rsidRDefault="00684862">
      <w:pPr>
        <w:spacing w:line="324" w:lineRule="auto"/>
        <w:ind w:firstLineChars="200" w:firstLine="420"/>
        <w:outlineLvl w:val="1"/>
        <w:rPr>
          <w:kern w:val="0"/>
        </w:rPr>
      </w:pPr>
      <w:r>
        <w:rPr>
          <w:bCs/>
          <w:color w:val="000000" w:themeColor="text1"/>
        </w:rPr>
        <w:t>测量标准的技术要求应符合</w:t>
      </w:r>
      <w:r>
        <w:rPr>
          <w:rFonts w:hint="eastAsia"/>
          <w:bCs/>
          <w:color w:val="000000" w:themeColor="text1"/>
        </w:rPr>
        <w:t>正文中</w:t>
      </w:r>
      <w:r>
        <w:rPr>
          <w:rFonts w:hint="eastAsia"/>
          <w:bCs/>
          <w:color w:val="000000" w:themeColor="text1"/>
        </w:rPr>
        <w:t>5.2.1~5.2.6</w:t>
      </w:r>
      <w:r>
        <w:rPr>
          <w:bCs/>
          <w:color w:val="000000" w:themeColor="text1"/>
        </w:rPr>
        <w:t>的规定</w:t>
      </w:r>
      <w:r>
        <w:rPr>
          <w:kern w:val="0"/>
        </w:rPr>
        <w:t>。</w:t>
      </w:r>
    </w:p>
    <w:p w:rsidR="00E234B6" w:rsidRDefault="00684862">
      <w:pPr>
        <w:spacing w:line="324" w:lineRule="auto"/>
        <w:ind w:firstLineChars="200" w:firstLine="420"/>
        <w:outlineLvl w:val="1"/>
        <w:rPr>
          <w:szCs w:val="21"/>
        </w:rPr>
      </w:pPr>
      <w:r>
        <w:rPr>
          <w:rFonts w:hint="eastAsia"/>
          <w:szCs w:val="21"/>
        </w:rPr>
        <w:t>测量标准及其他设备包括甲基汞、乙基汞标准物质、容量瓶、单标线吸量管、</w:t>
      </w:r>
      <w:proofErr w:type="gramStart"/>
      <w:r>
        <w:rPr>
          <w:rFonts w:hint="eastAsia"/>
          <w:szCs w:val="21"/>
        </w:rPr>
        <w:t>移液器</w:t>
      </w:r>
      <w:proofErr w:type="gramEnd"/>
      <w:r>
        <w:rPr>
          <w:rFonts w:hint="eastAsia"/>
          <w:szCs w:val="21"/>
        </w:rPr>
        <w:t>、电子天平、试剂。</w:t>
      </w:r>
    </w:p>
    <w:p w:rsidR="00E234B6" w:rsidRDefault="00684862">
      <w:pPr>
        <w:pStyle w:val="3"/>
        <w:spacing w:before="156" w:after="156"/>
        <w:rPr>
          <w:b w:val="0"/>
          <w:bCs w:val="0"/>
        </w:rPr>
      </w:pPr>
      <w:bookmarkStart w:id="53" w:name="_Toc193619100"/>
      <w:bookmarkStart w:id="54" w:name="_Toc193618955"/>
      <w:bookmarkStart w:id="55" w:name="_Toc193619058"/>
      <w:bookmarkStart w:id="56" w:name="_Toc193860035"/>
      <w:bookmarkStart w:id="57" w:name="_Toc193860216"/>
      <w:bookmarkStart w:id="58" w:name="_Toc193860185"/>
      <w:bookmarkStart w:id="59" w:name="_Toc2741_WPSOffice_Level1"/>
      <w:bookmarkStart w:id="60" w:name="_Toc500258944"/>
      <w:bookmarkEnd w:id="44"/>
      <w:bookmarkEnd w:id="45"/>
      <w:bookmarkEnd w:id="46"/>
      <w:bookmarkEnd w:id="47"/>
      <w:r>
        <w:rPr>
          <w:rFonts w:hint="eastAsia"/>
          <w:b w:val="0"/>
          <w:bCs w:val="0"/>
        </w:rPr>
        <w:t xml:space="preserve">6 </w:t>
      </w:r>
      <w:r>
        <w:rPr>
          <w:rFonts w:hint="eastAsia"/>
          <w:b w:val="0"/>
          <w:bCs w:val="0"/>
        </w:rPr>
        <w:t>校准项目和校准方法</w:t>
      </w:r>
      <w:bookmarkEnd w:id="53"/>
      <w:bookmarkEnd w:id="54"/>
      <w:bookmarkEnd w:id="55"/>
      <w:bookmarkEnd w:id="56"/>
      <w:bookmarkEnd w:id="57"/>
      <w:bookmarkEnd w:id="58"/>
      <w:bookmarkEnd w:id="59"/>
      <w:bookmarkEnd w:id="60"/>
    </w:p>
    <w:p w:rsidR="00892AEB" w:rsidRPr="00892AEB" w:rsidRDefault="00684862" w:rsidP="00892AEB">
      <w:pPr>
        <w:spacing w:line="360" w:lineRule="auto"/>
        <w:ind w:firstLineChars="200" w:firstLine="420"/>
        <w:rPr>
          <w:kern w:val="0"/>
          <w:szCs w:val="21"/>
        </w:rPr>
      </w:pPr>
      <w:bookmarkStart w:id="61" w:name="_Toc500258945"/>
      <w:bookmarkStart w:id="62" w:name="_Toc22718_WPSOffice_Level2"/>
      <w:r>
        <w:rPr>
          <w:rFonts w:hint="eastAsia"/>
          <w:kern w:val="0"/>
          <w:szCs w:val="21"/>
        </w:rPr>
        <w:t>校准项目包含</w:t>
      </w:r>
      <w:r>
        <w:rPr>
          <w:kern w:val="0"/>
          <w:szCs w:val="21"/>
        </w:rPr>
        <w:t>线性误差、测量线性、检出限、重复性、分离度</w:t>
      </w:r>
      <w:r w:rsidR="00892AEB">
        <w:rPr>
          <w:kern w:val="0"/>
          <w:szCs w:val="21"/>
        </w:rPr>
        <w:t>以及具体的校准方法</w:t>
      </w:r>
      <w:r>
        <w:rPr>
          <w:kern w:val="0"/>
          <w:szCs w:val="21"/>
        </w:rPr>
        <w:t>。</w:t>
      </w:r>
    </w:p>
    <w:p w:rsidR="00892AEB" w:rsidRDefault="00892AEB" w:rsidP="00892AEB">
      <w:pPr>
        <w:spacing w:line="360" w:lineRule="auto"/>
      </w:pPr>
      <w:r>
        <w:rPr>
          <w:rFonts w:hint="eastAsia"/>
        </w:rPr>
        <w:t>6.1</w:t>
      </w:r>
      <w:r>
        <w:rPr>
          <w:rFonts w:hint="eastAsia"/>
        </w:rPr>
        <w:t>线性误差</w:t>
      </w:r>
    </w:p>
    <w:p w:rsidR="00892AEB" w:rsidRDefault="00892AEB" w:rsidP="00892AEB">
      <w:pPr>
        <w:spacing w:line="360" w:lineRule="auto"/>
        <w:ind w:firstLineChars="200" w:firstLine="420"/>
        <w:rPr>
          <w:rFonts w:ascii="Arial" w:eastAsiaTheme="minorEastAsia" w:hAnsi="Arial" w:cs="Arial"/>
          <w:color w:val="333333"/>
          <w:sz w:val="10"/>
          <w:szCs w:val="10"/>
          <w:shd w:val="clear" w:color="auto" w:fill="FFFFFF"/>
        </w:rPr>
      </w:pPr>
      <w:r>
        <w:t>仪器的线性误差反映了实测曲线与理想直线之间的偏差，是衡量仪器性能的一个重要指标，线性误差的存在意味着仪器在测量过程中，其输出与输入之间的关系并非完全线性，这可能会导致测量结果的偏差，尤其是在需要高精度测量的应用场景中，这种偏差可能会对结果产生显著影响。对于</w:t>
      </w:r>
      <w:r>
        <w:rPr>
          <w:rFonts w:hint="eastAsia"/>
        </w:rPr>
        <w:t>设备的使用者</w:t>
      </w:r>
      <w:r>
        <w:t>而言，仪器的线性误差特性有助于正确使用和校准仪器，从而获得更准确的测量结果</w:t>
      </w:r>
      <w:r>
        <w:rPr>
          <w:rFonts w:hint="eastAsia"/>
        </w:rPr>
        <w:t>。</w:t>
      </w:r>
      <w:r>
        <w:rPr>
          <w:rFonts w:ascii="Arial" w:eastAsia="Arial" w:hAnsi="Arial" w:cs="Arial"/>
          <w:color w:val="333333"/>
          <w:sz w:val="10"/>
          <w:szCs w:val="10"/>
          <w:shd w:val="clear" w:color="auto" w:fill="FFFFFF"/>
        </w:rPr>
        <w:t>‌</w:t>
      </w:r>
    </w:p>
    <w:p w:rsidR="00892AEB" w:rsidRDefault="00892AEB" w:rsidP="00892AEB">
      <w:pPr>
        <w:spacing w:line="360" w:lineRule="auto"/>
        <w:ind w:firstLineChars="200" w:firstLine="420"/>
      </w:pPr>
      <w:r>
        <w:rPr>
          <w:rFonts w:hint="eastAsia"/>
        </w:rPr>
        <w:t>线性误差的校准主要参照了</w:t>
      </w:r>
      <w:r>
        <w:t>JJG 548-2018</w:t>
      </w:r>
      <w:r>
        <w:t>《测汞仪》第</w:t>
      </w:r>
      <w:r>
        <w:rPr>
          <w:rFonts w:hint="eastAsia"/>
        </w:rPr>
        <w:t>6.3.3</w:t>
      </w:r>
      <w:r>
        <w:rPr>
          <w:rFonts w:hint="eastAsia"/>
        </w:rPr>
        <w:t>线性误差的校准方法，技术要求则参照了</w:t>
      </w:r>
      <w:r>
        <w:t>第</w:t>
      </w:r>
      <w:r>
        <w:rPr>
          <w:rFonts w:hint="eastAsia"/>
        </w:rPr>
        <w:t>4</w:t>
      </w:r>
      <w:r>
        <w:rPr>
          <w:rFonts w:hint="eastAsia"/>
        </w:rPr>
        <w:t>章计量特性对</w:t>
      </w:r>
      <w:r w:rsidRPr="007A098B">
        <w:rPr>
          <w:rFonts w:hint="eastAsia"/>
        </w:rPr>
        <w:t>冷原子荧光测汞仪</w:t>
      </w:r>
      <w:r>
        <w:rPr>
          <w:rFonts w:hint="eastAsia"/>
        </w:rPr>
        <w:t>的计量要求</w:t>
      </w:r>
      <w:r>
        <w:t>，</w:t>
      </w:r>
      <w:r>
        <w:rPr>
          <w:rFonts w:hint="eastAsia"/>
        </w:rPr>
        <w:t>确定其技术要求为±</w:t>
      </w:r>
      <w:r>
        <w:rPr>
          <w:rFonts w:hint="eastAsia"/>
        </w:rPr>
        <w:t>15%</w:t>
      </w:r>
      <w:r>
        <w:rPr>
          <w:rFonts w:hint="eastAsia"/>
        </w:rPr>
        <w:t>。</w:t>
      </w:r>
    </w:p>
    <w:p w:rsidR="00892AEB" w:rsidRPr="00892AEB" w:rsidRDefault="00892AEB" w:rsidP="00892AEB">
      <w:pPr>
        <w:spacing w:line="360" w:lineRule="auto"/>
        <w:rPr>
          <w:rFonts w:eastAsiaTheme="minorEastAsia"/>
        </w:rPr>
      </w:pPr>
      <w:r>
        <w:rPr>
          <w:rFonts w:eastAsiaTheme="minorEastAsia" w:hint="eastAsia"/>
        </w:rPr>
        <w:t xml:space="preserve">6.2 </w:t>
      </w:r>
      <w:r>
        <w:rPr>
          <w:rFonts w:eastAsiaTheme="minorEastAsia" w:hint="eastAsia"/>
        </w:rPr>
        <w:t>测量线性</w:t>
      </w:r>
    </w:p>
    <w:p w:rsidR="009F1F6A" w:rsidRDefault="00892AEB">
      <w:pPr>
        <w:spacing w:line="360" w:lineRule="auto"/>
        <w:ind w:firstLineChars="200" w:firstLine="420"/>
      </w:pPr>
      <w:r>
        <w:rPr>
          <w:rFonts w:hint="eastAsia"/>
        </w:rPr>
        <w:t>仪器的测量线性反映了测量仪器在整个量程范围内性能的一致性，如果线性度良好，说明仪器的输出与输入之间保持着良好的比例关系，从而能够提供准确的测量结果。</w:t>
      </w:r>
    </w:p>
    <w:p w:rsidR="00E234B6" w:rsidRDefault="00684862" w:rsidP="00892AEB">
      <w:pPr>
        <w:spacing w:line="360" w:lineRule="auto"/>
        <w:ind w:firstLine="435"/>
      </w:pPr>
      <w:r>
        <w:rPr>
          <w:rFonts w:hint="eastAsia"/>
        </w:rPr>
        <w:t>测量线性的技术要求主要参考了</w:t>
      </w:r>
      <w:r>
        <w:t>HJ 977-2018</w:t>
      </w:r>
      <w:r>
        <w:t>《水质</w:t>
      </w:r>
      <w:r>
        <w:t xml:space="preserve"> </w:t>
      </w:r>
      <w:r>
        <w:t>烷基汞的测定</w:t>
      </w:r>
      <w:r>
        <w:t xml:space="preserve"> </w:t>
      </w:r>
      <w:r>
        <w:t>吹扫捕集</w:t>
      </w:r>
      <w:r>
        <w:t>/</w:t>
      </w:r>
      <w:r>
        <w:t>气相色谱</w:t>
      </w:r>
      <w:r>
        <w:t>-</w:t>
      </w:r>
      <w:r>
        <w:t>冷原子荧光光谱法》</w:t>
      </w:r>
      <w:r>
        <w:rPr>
          <w:rFonts w:hint="eastAsia"/>
        </w:rPr>
        <w:t>11.2</w:t>
      </w:r>
      <w:r>
        <w:rPr>
          <w:rFonts w:hint="eastAsia"/>
        </w:rPr>
        <w:t>中曲线相关系数≥</w:t>
      </w:r>
      <w:r>
        <w:rPr>
          <w:rFonts w:hint="eastAsia"/>
        </w:rPr>
        <w:t>996</w:t>
      </w:r>
      <w:r>
        <w:rPr>
          <w:rFonts w:hint="eastAsia"/>
        </w:rPr>
        <w:t>。</w:t>
      </w:r>
    </w:p>
    <w:p w:rsidR="00892AEB" w:rsidRPr="00892AEB" w:rsidRDefault="00892AEB" w:rsidP="00892AEB">
      <w:pPr>
        <w:spacing w:line="360" w:lineRule="auto"/>
      </w:pPr>
      <w:r>
        <w:rPr>
          <w:rFonts w:hint="eastAsia"/>
        </w:rPr>
        <w:t xml:space="preserve">6.3 </w:t>
      </w:r>
      <w:r>
        <w:rPr>
          <w:rFonts w:hint="eastAsia"/>
        </w:rPr>
        <w:t>检出限</w:t>
      </w:r>
    </w:p>
    <w:p w:rsidR="00E234B6" w:rsidRDefault="00684862">
      <w:pPr>
        <w:spacing w:line="360" w:lineRule="auto"/>
        <w:ind w:firstLineChars="200" w:firstLine="420"/>
      </w:pPr>
      <w:r>
        <w:rPr>
          <w:rFonts w:hint="eastAsia"/>
        </w:rPr>
        <w:t>检出限的校准主要参照了</w:t>
      </w:r>
      <w:r>
        <w:t>JJG 548-2018</w:t>
      </w:r>
      <w:r>
        <w:t>《测汞仪》</w:t>
      </w:r>
      <w:r w:rsidR="00892AEB">
        <w:t>第</w:t>
      </w:r>
      <w:r w:rsidR="00892AEB">
        <w:rPr>
          <w:rFonts w:hint="eastAsia"/>
        </w:rPr>
        <w:t>6.3.4</w:t>
      </w:r>
      <w:r w:rsidR="00892AEB">
        <w:rPr>
          <w:rFonts w:hint="eastAsia"/>
        </w:rPr>
        <w:t>的校准方法</w:t>
      </w:r>
      <w:r>
        <w:rPr>
          <w:rFonts w:hint="eastAsia"/>
        </w:rPr>
        <w:t>，</w:t>
      </w:r>
      <w:r>
        <w:rPr>
          <w:rFonts w:eastAsiaTheme="minorEastAsia" w:hint="eastAsia"/>
          <w:kern w:val="0"/>
          <w:szCs w:val="21"/>
        </w:rPr>
        <w:t>并参考了</w:t>
      </w:r>
      <w:r>
        <w:t>HJ 977-2018</w:t>
      </w:r>
      <w:r>
        <w:t>《水质</w:t>
      </w:r>
      <w:r>
        <w:t xml:space="preserve"> </w:t>
      </w:r>
      <w:r>
        <w:t>烷基汞的测定</w:t>
      </w:r>
      <w:r>
        <w:t xml:space="preserve"> </w:t>
      </w:r>
      <w:r>
        <w:t>吹扫捕集</w:t>
      </w:r>
      <w:r>
        <w:t>/</w:t>
      </w:r>
      <w:r>
        <w:t>气相色谱</w:t>
      </w:r>
      <w:r>
        <w:t>-</w:t>
      </w:r>
      <w:r>
        <w:t>冷原子荧光光谱法》</w:t>
      </w:r>
      <w:r>
        <w:rPr>
          <w:rFonts w:hint="eastAsia"/>
        </w:rPr>
        <w:t>中提及“当取样体积为</w:t>
      </w:r>
      <w:r>
        <w:rPr>
          <w:rFonts w:hint="eastAsia"/>
        </w:rPr>
        <w:t>45mL</w:t>
      </w:r>
      <w:r>
        <w:rPr>
          <w:rFonts w:hint="eastAsia"/>
        </w:rPr>
        <w:t>时，甲基汞、乙基汞的方法检出限均为</w:t>
      </w:r>
      <w:r>
        <w:rPr>
          <w:rFonts w:hint="eastAsia"/>
        </w:rPr>
        <w:t>0.02ng/L</w:t>
      </w:r>
      <w:r>
        <w:rPr>
          <w:rFonts w:hint="eastAsia"/>
        </w:rPr>
        <w:t>”</w:t>
      </w:r>
      <w:r w:rsidR="00892AEB">
        <w:rPr>
          <w:rFonts w:hint="eastAsia"/>
        </w:rPr>
        <w:t>，换算成质量表达为甲基汞、乙基汞检出限≤</w:t>
      </w:r>
      <w:r w:rsidR="00892AEB">
        <w:rPr>
          <w:rFonts w:hint="eastAsia"/>
        </w:rPr>
        <w:t>0.9pg</w:t>
      </w:r>
      <w:r w:rsidR="00892AEB">
        <w:rPr>
          <w:rFonts w:hint="eastAsia"/>
        </w:rPr>
        <w:t>。</w:t>
      </w:r>
    </w:p>
    <w:p w:rsidR="00892AEB" w:rsidRPr="00892AEB" w:rsidRDefault="00892AEB" w:rsidP="00892AEB">
      <w:pPr>
        <w:spacing w:line="360" w:lineRule="auto"/>
      </w:pPr>
      <w:r>
        <w:rPr>
          <w:rFonts w:hint="eastAsia"/>
        </w:rPr>
        <w:t xml:space="preserve">6.4 </w:t>
      </w:r>
      <w:r>
        <w:rPr>
          <w:rFonts w:hint="eastAsia"/>
        </w:rPr>
        <w:t>分离度</w:t>
      </w:r>
    </w:p>
    <w:p w:rsidR="00E43911" w:rsidRDefault="00684862">
      <w:pPr>
        <w:spacing w:line="360" w:lineRule="auto"/>
        <w:ind w:firstLineChars="200" w:firstLine="420"/>
        <w:rPr>
          <w:rFonts w:eastAsiaTheme="minorEastAsia"/>
          <w:kern w:val="0"/>
          <w:szCs w:val="21"/>
        </w:rPr>
      </w:pPr>
      <w:r>
        <w:rPr>
          <w:rFonts w:hint="eastAsia"/>
        </w:rPr>
        <w:t>在</w:t>
      </w:r>
      <w:r>
        <w:rPr>
          <w:rFonts w:eastAsiaTheme="minorEastAsia"/>
        </w:rPr>
        <w:t>202</w:t>
      </w:r>
      <w:r>
        <w:rPr>
          <w:rFonts w:eastAsiaTheme="minorEastAsia" w:hint="eastAsia"/>
        </w:rPr>
        <w:t>4</w:t>
      </w:r>
      <w:r>
        <w:rPr>
          <w:rFonts w:eastAsiaTheme="minorEastAsia" w:hint="eastAsia"/>
        </w:rPr>
        <w:t>年</w:t>
      </w:r>
      <w:r>
        <w:rPr>
          <w:rFonts w:eastAsiaTheme="minorEastAsia" w:hint="eastAsia"/>
        </w:rPr>
        <w:t>8</w:t>
      </w:r>
      <w:r>
        <w:rPr>
          <w:rFonts w:eastAsiaTheme="minorEastAsia" w:hint="eastAsia"/>
        </w:rPr>
        <w:t>月</w:t>
      </w:r>
      <w:r>
        <w:rPr>
          <w:rFonts w:eastAsiaTheme="minorEastAsia" w:hint="eastAsia"/>
        </w:rPr>
        <w:t>21</w:t>
      </w:r>
      <w:r>
        <w:rPr>
          <w:rFonts w:eastAsiaTheme="minorEastAsia" w:hint="eastAsia"/>
        </w:rPr>
        <w:t>日在青岛举行有色金属计量技术规范研讨会，专家产生了激烈的讨论，最终</w:t>
      </w:r>
      <w:r>
        <w:rPr>
          <w:rFonts w:eastAsiaTheme="minorEastAsia" w:hint="eastAsia"/>
          <w:kern w:val="0"/>
          <w:szCs w:val="21"/>
        </w:rPr>
        <w:t>根据专家意见，</w:t>
      </w:r>
      <w:r w:rsidR="00892AEB">
        <w:rPr>
          <w:rFonts w:eastAsiaTheme="minorEastAsia" w:hint="eastAsia"/>
          <w:kern w:val="0"/>
          <w:szCs w:val="21"/>
        </w:rPr>
        <w:t>由于该仪器前端是气相色谱仪的功能，对样品起到了分离作用，而对于色谱仪来说，其载气流速以及分离度对测量结果起到重要作业，但仪器本身外置流量计且没有出气口用于测量载气流速，</w:t>
      </w:r>
      <w:r w:rsidR="000719AC">
        <w:rPr>
          <w:rFonts w:eastAsiaTheme="minorEastAsia" w:hint="eastAsia"/>
          <w:kern w:val="0"/>
          <w:szCs w:val="21"/>
        </w:rPr>
        <w:t>故</w:t>
      </w:r>
      <w:r w:rsidR="000719AC">
        <w:rPr>
          <w:rFonts w:eastAsiaTheme="minorEastAsia" w:hint="eastAsia"/>
          <w:kern w:val="0"/>
          <w:szCs w:val="21"/>
        </w:rPr>
        <w:lastRenderedPageBreak/>
        <w:t>排除对流量的校准。</w:t>
      </w:r>
      <w:r w:rsidR="00E43911">
        <w:rPr>
          <w:rFonts w:eastAsiaTheme="minorEastAsia" w:hint="eastAsia"/>
          <w:kern w:val="0"/>
          <w:szCs w:val="21"/>
        </w:rPr>
        <w:t>同时，由于仪器测量的是</w:t>
      </w:r>
      <w:proofErr w:type="gramStart"/>
      <w:r w:rsidR="00E43911">
        <w:rPr>
          <w:rFonts w:eastAsiaTheme="minorEastAsia" w:hint="eastAsia"/>
          <w:kern w:val="0"/>
          <w:szCs w:val="21"/>
        </w:rPr>
        <w:t>甲基汞乙基</w:t>
      </w:r>
      <w:proofErr w:type="gramEnd"/>
      <w:r w:rsidR="00E43911">
        <w:rPr>
          <w:rFonts w:eastAsiaTheme="minorEastAsia" w:hint="eastAsia"/>
          <w:kern w:val="0"/>
          <w:szCs w:val="21"/>
        </w:rPr>
        <w:t>汞混合标准物质，</w:t>
      </w:r>
      <w:r>
        <w:rPr>
          <w:rFonts w:eastAsiaTheme="minorEastAsia" w:hint="eastAsia"/>
          <w:kern w:val="0"/>
          <w:szCs w:val="21"/>
        </w:rPr>
        <w:t>为了更好的反应仪器的性能，增加了分离度的校准项目。</w:t>
      </w:r>
    </w:p>
    <w:p w:rsidR="00E234B6" w:rsidRDefault="00684862">
      <w:pPr>
        <w:spacing w:line="360" w:lineRule="auto"/>
        <w:ind w:firstLineChars="200" w:firstLine="420"/>
        <w:rPr>
          <w:rFonts w:eastAsiaTheme="minorEastAsia"/>
          <w:kern w:val="0"/>
          <w:szCs w:val="21"/>
        </w:rPr>
      </w:pPr>
      <w:r>
        <w:rPr>
          <w:rFonts w:eastAsiaTheme="minorEastAsia" w:hint="eastAsia"/>
          <w:kern w:val="0"/>
          <w:szCs w:val="21"/>
        </w:rPr>
        <w:t>分离度</w:t>
      </w:r>
      <w:r>
        <w:rPr>
          <w:rFonts w:eastAsiaTheme="minorEastAsia"/>
          <w:kern w:val="0"/>
          <w:szCs w:val="21"/>
        </w:rPr>
        <w:t>‌</w:t>
      </w:r>
      <w:r>
        <w:rPr>
          <w:rFonts w:eastAsiaTheme="minorEastAsia"/>
          <w:kern w:val="0"/>
          <w:szCs w:val="21"/>
        </w:rPr>
        <w:t>是指相邻两组份色谱峰</w:t>
      </w:r>
      <w:proofErr w:type="gramStart"/>
      <w:r>
        <w:rPr>
          <w:rFonts w:eastAsiaTheme="minorEastAsia"/>
          <w:kern w:val="0"/>
          <w:szCs w:val="21"/>
        </w:rPr>
        <w:t>保留值</w:t>
      </w:r>
      <w:proofErr w:type="gramEnd"/>
      <w:r>
        <w:rPr>
          <w:rFonts w:eastAsiaTheme="minorEastAsia"/>
          <w:kern w:val="0"/>
          <w:szCs w:val="21"/>
        </w:rPr>
        <w:t>之差与两个组份色谱峰低宽度总和之半的比值。分离度的计算和使用对于确保分析结果的准确性和可靠性至关重要</w:t>
      </w:r>
      <w:r>
        <w:rPr>
          <w:rFonts w:eastAsiaTheme="minorEastAsia" w:hint="eastAsia"/>
          <w:kern w:val="0"/>
          <w:szCs w:val="21"/>
        </w:rPr>
        <w:t>，根据与仪器厂商沟通，以及相关文献记载，分离度至少应大于</w:t>
      </w:r>
      <w:r>
        <w:rPr>
          <w:rFonts w:eastAsiaTheme="minorEastAsia" w:hint="eastAsia"/>
          <w:kern w:val="0"/>
          <w:szCs w:val="21"/>
        </w:rPr>
        <w:t>1.5</w:t>
      </w:r>
      <w:r>
        <w:rPr>
          <w:rFonts w:eastAsiaTheme="minorEastAsia" w:hint="eastAsia"/>
          <w:kern w:val="0"/>
          <w:szCs w:val="21"/>
        </w:rPr>
        <w:t>，以确保两个相邻</w:t>
      </w:r>
      <w:proofErr w:type="gramStart"/>
      <w:r>
        <w:rPr>
          <w:rFonts w:eastAsiaTheme="minorEastAsia" w:hint="eastAsia"/>
          <w:kern w:val="0"/>
          <w:szCs w:val="21"/>
        </w:rPr>
        <w:t>峰能够</w:t>
      </w:r>
      <w:proofErr w:type="gramEnd"/>
      <w:r>
        <w:rPr>
          <w:rFonts w:eastAsiaTheme="minorEastAsia" w:hint="eastAsia"/>
          <w:kern w:val="0"/>
          <w:szCs w:val="21"/>
        </w:rPr>
        <w:t>被清晰地识别和定量，故确定了分离度的技术要求及计算方法。</w:t>
      </w:r>
      <w:r>
        <w:rPr>
          <w:rFonts w:eastAsiaTheme="minorEastAsia"/>
          <w:kern w:val="0"/>
          <w:szCs w:val="21"/>
        </w:rPr>
        <w:t>‌</w:t>
      </w:r>
    </w:p>
    <w:p w:rsidR="00E234B6" w:rsidRDefault="00684862">
      <w:pPr>
        <w:pStyle w:val="3"/>
        <w:spacing w:before="156" w:after="156"/>
        <w:rPr>
          <w:b w:val="0"/>
          <w:bCs w:val="0"/>
        </w:rPr>
      </w:pPr>
      <w:bookmarkStart w:id="63" w:name="_Toc193860038"/>
      <w:bookmarkStart w:id="64" w:name="_Toc193619059"/>
      <w:bookmarkStart w:id="65" w:name="_Toc193860219"/>
      <w:bookmarkStart w:id="66" w:name="_Toc193618956"/>
      <w:bookmarkStart w:id="67" w:name="_Toc193619101"/>
      <w:bookmarkStart w:id="68" w:name="_Toc193860188"/>
      <w:bookmarkStart w:id="69" w:name="_Toc500258947"/>
      <w:bookmarkStart w:id="70" w:name="_Toc25466_WPSOffice_Level1"/>
      <w:bookmarkEnd w:id="61"/>
      <w:bookmarkEnd w:id="62"/>
      <w:r>
        <w:rPr>
          <w:rFonts w:hint="eastAsia"/>
          <w:b w:val="0"/>
          <w:bCs w:val="0"/>
        </w:rPr>
        <w:t xml:space="preserve">7 </w:t>
      </w:r>
      <w:r>
        <w:rPr>
          <w:rFonts w:hint="eastAsia"/>
          <w:b w:val="0"/>
          <w:bCs w:val="0"/>
        </w:rPr>
        <w:t>校准结果</w:t>
      </w:r>
      <w:bookmarkEnd w:id="63"/>
      <w:bookmarkEnd w:id="64"/>
      <w:bookmarkEnd w:id="65"/>
      <w:bookmarkEnd w:id="66"/>
      <w:bookmarkEnd w:id="67"/>
      <w:bookmarkEnd w:id="68"/>
      <w:r>
        <w:rPr>
          <w:rFonts w:hint="eastAsia"/>
          <w:b w:val="0"/>
          <w:bCs w:val="0"/>
        </w:rPr>
        <w:t>表达</w:t>
      </w:r>
      <w:bookmarkEnd w:id="69"/>
      <w:bookmarkEnd w:id="70"/>
    </w:p>
    <w:p w:rsidR="00E234B6" w:rsidRDefault="00684862">
      <w:pPr>
        <w:pStyle w:val="afff4"/>
        <w:spacing w:line="360" w:lineRule="auto"/>
        <w:ind w:firstLine="420"/>
        <w:rPr>
          <w:rFonts w:ascii="Times New Roman" w:eastAsiaTheme="minorEastAsia" w:hAnsi="Times New Roman"/>
          <w:kern w:val="2"/>
          <w:szCs w:val="21"/>
        </w:rPr>
      </w:pPr>
      <w:r>
        <w:rPr>
          <w:rFonts w:ascii="Times New Roman" w:eastAsiaTheme="minorEastAsia" w:hAnsi="Times New Roman" w:hint="eastAsia"/>
          <w:kern w:val="2"/>
          <w:szCs w:val="21"/>
        </w:rPr>
        <w:t>根据实验室环境要求、校准项目校准结果、测量不确定度评定结果等，按照</w:t>
      </w:r>
      <w:r>
        <w:rPr>
          <w:rFonts w:ascii="Times New Roman" w:eastAsiaTheme="minorEastAsia" w:hAnsi="Times New Roman" w:hint="eastAsia"/>
          <w:kern w:val="2"/>
          <w:szCs w:val="21"/>
        </w:rPr>
        <w:t>JJF 1071-2010</w:t>
      </w:r>
      <w:r>
        <w:rPr>
          <w:rFonts w:ascii="Times New Roman" w:eastAsiaTheme="minorEastAsia" w:hAnsi="Times New Roman" w:hint="eastAsia"/>
          <w:kern w:val="2"/>
          <w:szCs w:val="21"/>
        </w:rPr>
        <w:t>推荐的校准报告格式，出具校准证书。</w:t>
      </w:r>
    </w:p>
    <w:p w:rsidR="00E234B6" w:rsidRDefault="00684862">
      <w:pPr>
        <w:pStyle w:val="3"/>
        <w:spacing w:before="156" w:after="156"/>
        <w:rPr>
          <w:b w:val="0"/>
          <w:bCs w:val="0"/>
        </w:rPr>
      </w:pPr>
      <w:bookmarkStart w:id="71" w:name="_Toc193860220"/>
      <w:bookmarkStart w:id="72" w:name="_Toc193860040"/>
      <w:bookmarkStart w:id="73" w:name="_Toc14803_WPSOffice_Level1"/>
      <w:bookmarkStart w:id="74" w:name="_Toc5529"/>
      <w:bookmarkStart w:id="75" w:name="_Toc193860189"/>
      <w:bookmarkStart w:id="76" w:name="_Toc193860041"/>
      <w:r>
        <w:rPr>
          <w:rFonts w:hint="eastAsia"/>
          <w:b w:val="0"/>
          <w:bCs w:val="0"/>
        </w:rPr>
        <w:t xml:space="preserve">8 </w:t>
      </w:r>
      <w:r>
        <w:rPr>
          <w:rFonts w:hint="eastAsia"/>
          <w:b w:val="0"/>
          <w:bCs w:val="0"/>
        </w:rPr>
        <w:t>复校</w:t>
      </w:r>
      <w:bookmarkEnd w:id="71"/>
      <w:bookmarkEnd w:id="72"/>
      <w:bookmarkEnd w:id="73"/>
      <w:bookmarkEnd w:id="74"/>
      <w:bookmarkEnd w:id="75"/>
      <w:r>
        <w:rPr>
          <w:rFonts w:hint="eastAsia"/>
          <w:b w:val="0"/>
          <w:bCs w:val="0"/>
        </w:rPr>
        <w:t>时间间隔</w:t>
      </w:r>
    </w:p>
    <w:bookmarkEnd w:id="76"/>
    <w:p w:rsidR="00E234B6" w:rsidRDefault="00684862">
      <w:pPr>
        <w:pStyle w:val="afff4"/>
        <w:spacing w:line="360" w:lineRule="auto"/>
        <w:ind w:firstLine="420"/>
        <w:rPr>
          <w:rFonts w:ascii="Times New Roman" w:eastAsiaTheme="minorEastAsia" w:hAnsi="Times New Roman"/>
          <w:kern w:val="2"/>
          <w:szCs w:val="21"/>
        </w:rPr>
      </w:pPr>
      <w:r>
        <w:rPr>
          <w:rFonts w:ascii="Times New Roman" w:eastAsiaTheme="minorEastAsia" w:hAnsi="Times New Roman" w:hint="eastAsia"/>
          <w:kern w:val="2"/>
          <w:szCs w:val="21"/>
        </w:rPr>
        <w:t>可根据实际使用情况自主决定，建议复校时间间隔为</w:t>
      </w:r>
      <w:r>
        <w:rPr>
          <w:rFonts w:ascii="Times New Roman" w:eastAsiaTheme="minorEastAsia" w:hAnsi="Times New Roman" w:hint="eastAsia"/>
          <w:kern w:val="2"/>
          <w:szCs w:val="21"/>
        </w:rPr>
        <w:t>1</w:t>
      </w:r>
      <w:r>
        <w:rPr>
          <w:rFonts w:ascii="Times New Roman" w:eastAsiaTheme="minorEastAsia" w:hAnsi="Times New Roman" w:hint="eastAsia"/>
          <w:kern w:val="2"/>
          <w:szCs w:val="21"/>
        </w:rPr>
        <w:t>年。在相邻两次校准期间，如果对仪器的检测数据有怀疑或仪器更换主要部件及维修后应对仪器重新校准。</w:t>
      </w:r>
    </w:p>
    <w:p w:rsidR="00E234B6" w:rsidRDefault="00684862">
      <w:pPr>
        <w:pStyle w:val="3"/>
        <w:spacing w:before="156" w:after="156"/>
        <w:rPr>
          <w:b w:val="0"/>
          <w:bCs w:val="0"/>
        </w:rPr>
      </w:pPr>
      <w:r>
        <w:rPr>
          <w:rFonts w:hint="eastAsia"/>
          <w:b w:val="0"/>
          <w:bCs w:val="0"/>
        </w:rPr>
        <w:t>9</w:t>
      </w:r>
      <w:r>
        <w:rPr>
          <w:rFonts w:hint="eastAsia"/>
          <w:b w:val="0"/>
          <w:bCs w:val="0"/>
        </w:rPr>
        <w:t>附录</w:t>
      </w:r>
    </w:p>
    <w:p w:rsidR="00E234B6" w:rsidRDefault="00684862">
      <w:pPr>
        <w:adjustRightInd w:val="0"/>
        <w:snapToGrid w:val="0"/>
        <w:spacing w:line="360" w:lineRule="auto"/>
        <w:ind w:firstLineChars="200" w:firstLine="420"/>
      </w:pPr>
      <w:r>
        <w:rPr>
          <w:rFonts w:hint="eastAsia"/>
        </w:rPr>
        <w:t>本规范设置了</w:t>
      </w:r>
      <w:r>
        <w:rPr>
          <w:rFonts w:hint="eastAsia"/>
        </w:rPr>
        <w:t>5</w:t>
      </w:r>
      <w:r>
        <w:rPr>
          <w:rFonts w:hint="eastAsia"/>
        </w:rPr>
        <w:t>个附录，便于校准时参考和规范化。</w:t>
      </w:r>
    </w:p>
    <w:p w:rsidR="00E234B6" w:rsidRDefault="00684862">
      <w:pPr>
        <w:adjustRightInd w:val="0"/>
        <w:snapToGrid w:val="0"/>
        <w:spacing w:line="360" w:lineRule="auto"/>
        <w:ind w:firstLineChars="200" w:firstLine="420"/>
      </w:pPr>
      <w:r>
        <w:rPr>
          <w:rFonts w:hint="eastAsia"/>
        </w:rPr>
        <w:t>附录</w:t>
      </w:r>
      <w:r>
        <w:rPr>
          <w:rFonts w:hint="eastAsia"/>
        </w:rPr>
        <w:t>A</w:t>
      </w:r>
      <w:r>
        <w:rPr>
          <w:rFonts w:hint="eastAsia"/>
        </w:rPr>
        <w:t>试剂和标准溶液配制方法</w:t>
      </w:r>
    </w:p>
    <w:p w:rsidR="00E234B6" w:rsidRDefault="00684862">
      <w:pPr>
        <w:adjustRightInd w:val="0"/>
        <w:snapToGrid w:val="0"/>
        <w:spacing w:line="360" w:lineRule="auto"/>
        <w:ind w:firstLineChars="200" w:firstLine="420"/>
      </w:pPr>
      <w:r>
        <w:rPr>
          <w:rFonts w:hint="eastAsia"/>
        </w:rPr>
        <w:t>附录</w:t>
      </w:r>
      <w:r>
        <w:rPr>
          <w:rFonts w:hint="eastAsia"/>
        </w:rPr>
        <w:t xml:space="preserve">B </w:t>
      </w:r>
      <w:r>
        <w:rPr>
          <w:rFonts w:hint="eastAsia"/>
        </w:rPr>
        <w:t>校准原始记录参考格式</w:t>
      </w:r>
    </w:p>
    <w:p w:rsidR="00E234B6" w:rsidRDefault="00684862">
      <w:pPr>
        <w:adjustRightInd w:val="0"/>
        <w:snapToGrid w:val="0"/>
        <w:spacing w:line="360" w:lineRule="auto"/>
        <w:ind w:firstLineChars="200" w:firstLine="420"/>
      </w:pPr>
      <w:r>
        <w:rPr>
          <w:rFonts w:hint="eastAsia"/>
        </w:rPr>
        <w:t>附录</w:t>
      </w:r>
      <w:r>
        <w:rPr>
          <w:rFonts w:hint="eastAsia"/>
        </w:rPr>
        <w:t xml:space="preserve">C </w:t>
      </w:r>
      <w:r>
        <w:rPr>
          <w:rFonts w:hint="eastAsia"/>
        </w:rPr>
        <w:t>校准证书内页参考格式</w:t>
      </w:r>
    </w:p>
    <w:p w:rsidR="00E234B6" w:rsidRDefault="00684862">
      <w:pPr>
        <w:adjustRightInd w:val="0"/>
        <w:snapToGrid w:val="0"/>
        <w:spacing w:line="360" w:lineRule="auto"/>
        <w:ind w:firstLineChars="200" w:firstLine="420"/>
      </w:pPr>
      <w:r>
        <w:rPr>
          <w:rFonts w:hint="eastAsia"/>
        </w:rPr>
        <w:t>附录</w:t>
      </w:r>
      <w:r>
        <w:rPr>
          <w:rFonts w:hint="eastAsia"/>
        </w:rPr>
        <w:t xml:space="preserve">D </w:t>
      </w:r>
      <w:r>
        <w:rPr>
          <w:rFonts w:hint="eastAsia"/>
        </w:rPr>
        <w:t>线性误差不确定度评定示例</w:t>
      </w:r>
    </w:p>
    <w:p w:rsidR="00E234B6" w:rsidRDefault="00684862">
      <w:pPr>
        <w:adjustRightInd w:val="0"/>
        <w:snapToGrid w:val="0"/>
        <w:spacing w:line="360" w:lineRule="auto"/>
        <w:ind w:firstLineChars="200" w:firstLine="420"/>
      </w:pPr>
      <w:r>
        <w:rPr>
          <w:rFonts w:hint="eastAsia"/>
        </w:rPr>
        <w:t>附录</w:t>
      </w:r>
      <w:r>
        <w:rPr>
          <w:rFonts w:hint="eastAsia"/>
        </w:rPr>
        <w:t xml:space="preserve">E </w:t>
      </w:r>
      <w:r>
        <w:rPr>
          <w:rFonts w:hint="eastAsia"/>
        </w:rPr>
        <w:t>检出限不确定度评定示例</w:t>
      </w:r>
    </w:p>
    <w:p w:rsidR="00E234B6" w:rsidRDefault="00684862">
      <w:pPr>
        <w:pStyle w:val="1"/>
        <w:spacing w:before="156" w:after="156"/>
        <w:rPr>
          <w:b w:val="0"/>
          <w:bCs w:val="0"/>
        </w:rPr>
      </w:pPr>
      <w:bookmarkStart w:id="77" w:name="_Toc464728965"/>
      <w:bookmarkEnd w:id="1"/>
      <w:bookmarkEnd w:id="21"/>
      <w:r>
        <w:rPr>
          <w:rFonts w:hint="eastAsia"/>
          <w:b w:val="0"/>
          <w:bCs w:val="0"/>
        </w:rPr>
        <w:t>三、实践检测情况</w:t>
      </w:r>
    </w:p>
    <w:p w:rsidR="00E234B6" w:rsidRDefault="00684862">
      <w:pPr>
        <w:adjustRightInd w:val="0"/>
        <w:spacing w:line="360" w:lineRule="auto"/>
        <w:ind w:firstLineChars="200" w:firstLine="420"/>
      </w:pPr>
      <w:r>
        <w:t>国标（北京）检验认证有限公司</w:t>
      </w:r>
      <w:r>
        <w:rPr>
          <w:rFonts w:hint="eastAsia"/>
        </w:rPr>
        <w:t>、西南铝业（集团）有限责任公司</w:t>
      </w:r>
      <w:r>
        <w:t>根据本规范</w:t>
      </w:r>
      <w:r>
        <w:rPr>
          <w:rFonts w:hint="eastAsia"/>
        </w:rPr>
        <w:t>的校准项目</w:t>
      </w:r>
      <w:r>
        <w:t>对</w:t>
      </w:r>
      <w:r>
        <w:rPr>
          <w:rFonts w:hint="eastAsia"/>
        </w:rPr>
        <w:t>烷基</w:t>
      </w:r>
      <w:proofErr w:type="gramStart"/>
      <w:r>
        <w:rPr>
          <w:rFonts w:hint="eastAsia"/>
        </w:rPr>
        <w:t>汞分析</w:t>
      </w:r>
      <w:proofErr w:type="gramEnd"/>
      <w:r>
        <w:rPr>
          <w:rFonts w:hint="eastAsia"/>
        </w:rPr>
        <w:t>仪</w:t>
      </w:r>
      <w:r>
        <w:t>进行了全计量特性的校准，内容详见校准报告。</w:t>
      </w:r>
    </w:p>
    <w:p w:rsidR="00E234B6" w:rsidRDefault="00684862">
      <w:pPr>
        <w:pStyle w:val="1"/>
        <w:spacing w:before="156" w:after="156"/>
        <w:rPr>
          <w:b w:val="0"/>
          <w:bCs w:val="0"/>
        </w:rPr>
      </w:pPr>
      <w:r>
        <w:rPr>
          <w:rFonts w:hint="eastAsia"/>
          <w:b w:val="0"/>
          <w:bCs w:val="0"/>
        </w:rPr>
        <w:t>四、规范水平分析</w:t>
      </w:r>
      <w:bookmarkEnd w:id="77"/>
    </w:p>
    <w:p w:rsidR="00E234B6" w:rsidRDefault="00684862">
      <w:pPr>
        <w:spacing w:line="360" w:lineRule="auto"/>
        <w:ind w:firstLineChars="200" w:firstLine="420"/>
        <w:rPr>
          <w:rFonts w:ascii="宋体" w:hAnsi="宋体"/>
          <w:bCs/>
          <w:szCs w:val="21"/>
        </w:rPr>
      </w:pPr>
      <w:r>
        <w:t>目前，国家和各省检定规程和校准规范中，类似的校准规范</w:t>
      </w:r>
      <w:r>
        <w:rPr>
          <w:rFonts w:ascii="宋体" w:hAnsi="宋体" w:hint="eastAsia"/>
          <w:bCs/>
          <w:szCs w:val="21"/>
        </w:rPr>
        <w:t>据查，目前北京、贵州存在发布的地方《烷基汞分析仪校准规范》，本次起草的校准规范计量特性根据检测标准制定，并增加了“测量线性”，并且对检出限的技术要求进行了修订，能够更好的适应检测标准的要求。</w:t>
      </w:r>
    </w:p>
    <w:p w:rsidR="00E234B6" w:rsidRDefault="00684862">
      <w:pPr>
        <w:adjustRightInd w:val="0"/>
        <w:spacing w:line="360" w:lineRule="auto"/>
        <w:ind w:firstLineChars="200" w:firstLine="420"/>
        <w:rPr>
          <w:rFonts w:ascii="宋体" w:hAnsi="宋体"/>
          <w:szCs w:val="21"/>
        </w:rPr>
      </w:pPr>
      <w:r>
        <w:rPr>
          <w:rFonts w:ascii="宋体" w:hAnsi="宋体" w:hint="eastAsia"/>
          <w:szCs w:val="21"/>
        </w:rPr>
        <w:t>目前国外没有相关技术规范，</w:t>
      </w:r>
      <w:r>
        <w:rPr>
          <w:rFonts w:hint="eastAsia"/>
          <w:szCs w:val="21"/>
        </w:rPr>
        <w:t>本规范的制定填补了有色金属行业</w:t>
      </w:r>
      <w:r>
        <w:rPr>
          <w:rFonts w:hint="eastAsia"/>
        </w:rPr>
        <w:t>烷基</w:t>
      </w:r>
      <w:proofErr w:type="gramStart"/>
      <w:r>
        <w:rPr>
          <w:rFonts w:hint="eastAsia"/>
        </w:rPr>
        <w:t>汞分析</w:t>
      </w:r>
      <w:proofErr w:type="gramEnd"/>
      <w:r>
        <w:rPr>
          <w:rFonts w:hint="eastAsia"/>
        </w:rPr>
        <w:t>仪</w:t>
      </w:r>
      <w:r>
        <w:rPr>
          <w:rFonts w:hint="eastAsia"/>
          <w:szCs w:val="21"/>
        </w:rPr>
        <w:t>的校准空白。</w:t>
      </w:r>
    </w:p>
    <w:p w:rsidR="00E234B6" w:rsidRDefault="00684862">
      <w:pPr>
        <w:pStyle w:val="1"/>
        <w:spacing w:before="156" w:after="156"/>
        <w:rPr>
          <w:b w:val="0"/>
          <w:bCs w:val="0"/>
        </w:rPr>
      </w:pPr>
      <w:r>
        <w:rPr>
          <w:rFonts w:hint="eastAsia"/>
          <w:b w:val="0"/>
          <w:bCs w:val="0"/>
        </w:rPr>
        <w:lastRenderedPageBreak/>
        <w:t>五、与有关的现行法律、法规和强制性国家标准的关系</w:t>
      </w:r>
    </w:p>
    <w:p w:rsidR="00E234B6" w:rsidRDefault="00684862">
      <w:pPr>
        <w:pStyle w:val="afff4"/>
        <w:spacing w:line="300" w:lineRule="auto"/>
        <w:ind w:firstLine="420"/>
      </w:pPr>
      <w:r>
        <w:rPr>
          <w:rFonts w:hint="eastAsia"/>
        </w:rPr>
        <w:t>本规范所引用的规程、规范及标准均为我国现行有效的计量规程及规范，是本规范的一部分，引用这些文件后，使本规范的要求与现行的相关法律、法规、规章及相关规程规范的关系不矛盾、不冲突，相互关系协调。</w:t>
      </w:r>
    </w:p>
    <w:p w:rsidR="00E234B6" w:rsidRDefault="00684862">
      <w:pPr>
        <w:pStyle w:val="1"/>
        <w:spacing w:before="156" w:after="156"/>
        <w:rPr>
          <w:b w:val="0"/>
          <w:bCs w:val="0"/>
        </w:rPr>
      </w:pPr>
      <w:bookmarkStart w:id="78" w:name="_Toc464728973"/>
      <w:r>
        <w:rPr>
          <w:rFonts w:hint="eastAsia"/>
          <w:b w:val="0"/>
          <w:bCs w:val="0"/>
        </w:rPr>
        <w:t>六、规范中涉及的专利或知识产权说明</w:t>
      </w:r>
      <w:bookmarkEnd w:id="78"/>
    </w:p>
    <w:p w:rsidR="00E234B6" w:rsidRDefault="00684862">
      <w:pPr>
        <w:pStyle w:val="afff4"/>
        <w:spacing w:line="300" w:lineRule="auto"/>
        <w:ind w:firstLineChars="0"/>
        <w:contextualSpacing/>
        <w:rPr>
          <w:szCs w:val="21"/>
        </w:rPr>
      </w:pPr>
      <w:bookmarkStart w:id="79" w:name="_Toc464728974"/>
      <w:r>
        <w:rPr>
          <w:rFonts w:hint="eastAsia"/>
          <w:szCs w:val="21"/>
        </w:rPr>
        <w:t>无。</w:t>
      </w:r>
    </w:p>
    <w:p w:rsidR="00E234B6" w:rsidRDefault="00684862">
      <w:pPr>
        <w:pStyle w:val="1"/>
        <w:spacing w:before="156" w:after="156"/>
        <w:rPr>
          <w:b w:val="0"/>
          <w:bCs w:val="0"/>
        </w:rPr>
      </w:pPr>
      <w:r>
        <w:rPr>
          <w:rFonts w:hint="eastAsia"/>
          <w:b w:val="0"/>
          <w:bCs w:val="0"/>
        </w:rPr>
        <w:t>七、重大分歧意见的处理经过和依据</w:t>
      </w:r>
      <w:bookmarkEnd w:id="79"/>
    </w:p>
    <w:p w:rsidR="00E234B6" w:rsidRDefault="00684862">
      <w:pPr>
        <w:pStyle w:val="afff4"/>
        <w:spacing w:line="300" w:lineRule="auto"/>
        <w:ind w:firstLine="420"/>
        <w:contextualSpacing/>
        <w:rPr>
          <w:szCs w:val="21"/>
        </w:rPr>
      </w:pPr>
      <w:r>
        <w:rPr>
          <w:rFonts w:hint="eastAsia"/>
          <w:szCs w:val="21"/>
        </w:rPr>
        <w:t>无。</w:t>
      </w:r>
    </w:p>
    <w:p w:rsidR="00E234B6" w:rsidRDefault="00684862">
      <w:pPr>
        <w:pStyle w:val="1"/>
        <w:spacing w:before="156" w:after="156"/>
        <w:rPr>
          <w:b w:val="0"/>
          <w:bCs w:val="0"/>
        </w:rPr>
      </w:pPr>
      <w:r>
        <w:rPr>
          <w:rFonts w:hint="eastAsia"/>
          <w:b w:val="0"/>
          <w:bCs w:val="0"/>
        </w:rPr>
        <w:t>八、规范作为国家（或行业）计量技术规范的建议</w:t>
      </w:r>
    </w:p>
    <w:p w:rsidR="00E234B6" w:rsidRDefault="00684862">
      <w:pPr>
        <w:adjustRightInd w:val="0"/>
        <w:spacing w:line="360" w:lineRule="auto"/>
        <w:ind w:firstLineChars="200" w:firstLine="420"/>
        <w:rPr>
          <w:rFonts w:hAnsi="宋体"/>
          <w:szCs w:val="21"/>
        </w:rPr>
      </w:pPr>
      <w:r>
        <w:rPr>
          <w:rFonts w:hAnsi="宋体" w:hint="eastAsia"/>
          <w:szCs w:val="21"/>
        </w:rPr>
        <w:t>建议本规范作为行业计量技术规范，</w:t>
      </w:r>
      <w:proofErr w:type="gramStart"/>
      <w:r>
        <w:rPr>
          <w:rFonts w:hAnsi="宋体" w:hint="eastAsia"/>
          <w:szCs w:val="21"/>
        </w:rPr>
        <w:t>供行业</w:t>
      </w:r>
      <w:proofErr w:type="gramEnd"/>
      <w:r>
        <w:rPr>
          <w:rFonts w:hAnsi="宋体" w:hint="eastAsia"/>
          <w:szCs w:val="21"/>
        </w:rPr>
        <w:t>企业参考使用。必要时可根据实际需要，结合其他行业使用要求，申报国家计量技术规范，以满足校准需要。</w:t>
      </w:r>
    </w:p>
    <w:p w:rsidR="00E234B6" w:rsidRDefault="00684862">
      <w:pPr>
        <w:pStyle w:val="1"/>
        <w:spacing w:before="156" w:after="156"/>
        <w:rPr>
          <w:b w:val="0"/>
          <w:bCs w:val="0"/>
        </w:rPr>
      </w:pPr>
      <w:bookmarkStart w:id="80" w:name="_Toc464728976"/>
      <w:r>
        <w:rPr>
          <w:rFonts w:hint="eastAsia"/>
          <w:b w:val="0"/>
          <w:bCs w:val="0"/>
        </w:rPr>
        <w:t>九、贯彻规范的要求和措施建议</w:t>
      </w:r>
      <w:bookmarkEnd w:id="80"/>
    </w:p>
    <w:p w:rsidR="00E234B6" w:rsidRDefault="00684862">
      <w:pPr>
        <w:pStyle w:val="afff4"/>
        <w:spacing w:line="300" w:lineRule="auto"/>
        <w:ind w:firstLine="420"/>
        <w:contextualSpacing/>
        <w:rPr>
          <w:szCs w:val="21"/>
        </w:rPr>
      </w:pPr>
      <w:r>
        <w:rPr>
          <w:rFonts w:hint="eastAsia"/>
          <w:szCs w:val="21"/>
        </w:rPr>
        <w:t>本规范发布后，中国有色金属行业协会和有色金属行业计量技术委员会应加强本规范的宣传力度，以促进我国企业的技术进步和产品质量上档次，提高我国产品在国际国内市场的竞争能力。</w:t>
      </w:r>
    </w:p>
    <w:p w:rsidR="00E234B6" w:rsidRDefault="00684862">
      <w:pPr>
        <w:pStyle w:val="1"/>
        <w:spacing w:before="156" w:after="156"/>
        <w:rPr>
          <w:b w:val="0"/>
          <w:bCs w:val="0"/>
        </w:rPr>
      </w:pPr>
      <w:bookmarkStart w:id="81" w:name="_Toc464728977"/>
      <w:r>
        <w:rPr>
          <w:rFonts w:hint="eastAsia"/>
          <w:b w:val="0"/>
          <w:bCs w:val="0"/>
        </w:rPr>
        <w:t>十、废止现行有关规范的建议</w:t>
      </w:r>
      <w:bookmarkEnd w:id="81"/>
    </w:p>
    <w:p w:rsidR="00E234B6" w:rsidRDefault="00684862">
      <w:pPr>
        <w:pStyle w:val="afff4"/>
        <w:spacing w:line="300" w:lineRule="auto"/>
        <w:ind w:firstLine="420"/>
        <w:contextualSpacing/>
        <w:rPr>
          <w:szCs w:val="21"/>
        </w:rPr>
      </w:pPr>
      <w:r>
        <w:rPr>
          <w:rFonts w:hint="eastAsia"/>
          <w:szCs w:val="21"/>
        </w:rPr>
        <w:t>无。</w:t>
      </w:r>
    </w:p>
    <w:p w:rsidR="00E234B6" w:rsidRDefault="00684862">
      <w:pPr>
        <w:pStyle w:val="1"/>
        <w:spacing w:before="156" w:after="156"/>
        <w:rPr>
          <w:b w:val="0"/>
          <w:bCs w:val="0"/>
        </w:rPr>
      </w:pPr>
      <w:r>
        <w:rPr>
          <w:rFonts w:hint="eastAsia"/>
          <w:b w:val="0"/>
          <w:bCs w:val="0"/>
        </w:rPr>
        <w:t>十一、预期效果</w:t>
      </w:r>
    </w:p>
    <w:p w:rsidR="00E234B6" w:rsidRDefault="00684862">
      <w:pPr>
        <w:spacing w:line="360" w:lineRule="auto"/>
        <w:ind w:firstLineChars="200" w:firstLine="420"/>
        <w:rPr>
          <w:rFonts w:ascii="宋体" w:hAnsi="宋体"/>
          <w:kern w:val="0"/>
          <w:szCs w:val="21"/>
        </w:rPr>
      </w:pPr>
      <w:r>
        <w:rPr>
          <w:rFonts w:ascii="宋体" w:hAnsi="宋体" w:hint="eastAsia"/>
          <w:kern w:val="0"/>
          <w:szCs w:val="21"/>
        </w:rPr>
        <w:t>本</w:t>
      </w:r>
      <w:r>
        <w:rPr>
          <w:rFonts w:ascii="宋体" w:hAnsi="宋体"/>
          <w:kern w:val="0"/>
          <w:szCs w:val="21"/>
        </w:rPr>
        <w:t>规范</w:t>
      </w:r>
      <w:r>
        <w:rPr>
          <w:rFonts w:ascii="宋体" w:hAnsi="宋体" w:hint="eastAsia"/>
          <w:kern w:val="0"/>
          <w:szCs w:val="21"/>
        </w:rPr>
        <w:t>发布后，能</w:t>
      </w:r>
      <w:r>
        <w:rPr>
          <w:rFonts w:ascii="宋体" w:hAnsi="宋体"/>
          <w:kern w:val="0"/>
          <w:szCs w:val="21"/>
        </w:rPr>
        <w:t>解决</w:t>
      </w:r>
      <w:r>
        <w:rPr>
          <w:rFonts w:ascii="宋体" w:hAnsi="宋体" w:hint="eastAsia"/>
          <w:kern w:val="0"/>
          <w:szCs w:val="21"/>
        </w:rPr>
        <w:t>烷基</w:t>
      </w:r>
      <w:proofErr w:type="gramStart"/>
      <w:r>
        <w:rPr>
          <w:rFonts w:ascii="宋体" w:hAnsi="宋体" w:hint="eastAsia"/>
          <w:kern w:val="0"/>
          <w:szCs w:val="21"/>
        </w:rPr>
        <w:t>汞分析</w:t>
      </w:r>
      <w:proofErr w:type="gramEnd"/>
      <w:r>
        <w:rPr>
          <w:rFonts w:ascii="宋体" w:hAnsi="宋体" w:hint="eastAsia"/>
          <w:kern w:val="0"/>
          <w:szCs w:val="21"/>
        </w:rPr>
        <w:t>仪</w:t>
      </w:r>
      <w:r>
        <w:rPr>
          <w:rFonts w:ascii="宋体" w:hAnsi="宋体"/>
          <w:kern w:val="0"/>
          <w:szCs w:val="21"/>
        </w:rPr>
        <w:t>校准方法</w:t>
      </w:r>
      <w:r>
        <w:rPr>
          <w:rFonts w:ascii="宋体" w:hAnsi="宋体" w:hint="eastAsia"/>
          <w:kern w:val="0"/>
          <w:szCs w:val="21"/>
        </w:rPr>
        <w:t>缺少，</w:t>
      </w:r>
      <w:r>
        <w:rPr>
          <w:rFonts w:ascii="宋体" w:hAnsi="宋体"/>
          <w:kern w:val="0"/>
          <w:szCs w:val="21"/>
        </w:rPr>
        <w:t>计量标准技术指标不明确等问题，弥补</w:t>
      </w:r>
      <w:r>
        <w:rPr>
          <w:rFonts w:ascii="宋体" w:hAnsi="宋体" w:hint="eastAsia"/>
          <w:kern w:val="0"/>
          <w:szCs w:val="21"/>
        </w:rPr>
        <w:t>烷基</w:t>
      </w:r>
      <w:proofErr w:type="gramStart"/>
      <w:r>
        <w:rPr>
          <w:rFonts w:ascii="宋体" w:hAnsi="宋体" w:hint="eastAsia"/>
          <w:kern w:val="0"/>
          <w:szCs w:val="21"/>
        </w:rPr>
        <w:t>汞分析</w:t>
      </w:r>
      <w:proofErr w:type="gramEnd"/>
      <w:r>
        <w:rPr>
          <w:rFonts w:ascii="宋体" w:hAnsi="宋体" w:hint="eastAsia"/>
          <w:kern w:val="0"/>
          <w:szCs w:val="21"/>
        </w:rPr>
        <w:t>仪</w:t>
      </w:r>
      <w:r>
        <w:rPr>
          <w:rFonts w:ascii="宋体" w:hAnsi="宋体"/>
          <w:kern w:val="0"/>
          <w:szCs w:val="21"/>
        </w:rPr>
        <w:t>校准的空白，</w:t>
      </w:r>
      <w:r>
        <w:rPr>
          <w:rFonts w:ascii="宋体" w:hAnsi="宋体" w:hint="eastAsia"/>
          <w:kern w:val="0"/>
          <w:szCs w:val="21"/>
        </w:rPr>
        <w:t>为保证烷基</w:t>
      </w:r>
      <w:proofErr w:type="gramStart"/>
      <w:r>
        <w:rPr>
          <w:rFonts w:ascii="宋体" w:hAnsi="宋体" w:hint="eastAsia"/>
          <w:kern w:val="0"/>
          <w:szCs w:val="21"/>
        </w:rPr>
        <w:t>汞分析</w:t>
      </w:r>
      <w:proofErr w:type="gramEnd"/>
      <w:r>
        <w:rPr>
          <w:rFonts w:ascii="宋体" w:hAnsi="宋体" w:hint="eastAsia"/>
          <w:kern w:val="0"/>
          <w:szCs w:val="21"/>
        </w:rPr>
        <w:t>仪测试结果的准确可靠</w:t>
      </w:r>
      <w:r>
        <w:rPr>
          <w:rFonts w:ascii="宋体" w:hAnsi="宋体"/>
          <w:kern w:val="0"/>
          <w:szCs w:val="21"/>
        </w:rPr>
        <w:t>提供保证，从而提高刻线精度的准确性。</w:t>
      </w:r>
    </w:p>
    <w:p w:rsidR="00E234B6" w:rsidRDefault="00684862">
      <w:pPr>
        <w:pStyle w:val="1"/>
        <w:spacing w:before="156" w:after="156"/>
        <w:rPr>
          <w:b w:val="0"/>
          <w:bCs w:val="0"/>
        </w:rPr>
      </w:pPr>
      <w:r>
        <w:rPr>
          <w:rFonts w:hint="eastAsia"/>
          <w:b w:val="0"/>
          <w:bCs w:val="0"/>
        </w:rPr>
        <w:t>十二、其他应予说明的事项</w:t>
      </w:r>
    </w:p>
    <w:p w:rsidR="00E234B6" w:rsidRDefault="00684862">
      <w:pPr>
        <w:pStyle w:val="afff4"/>
        <w:spacing w:line="300" w:lineRule="auto"/>
        <w:ind w:firstLineChars="0"/>
        <w:contextualSpacing/>
        <w:rPr>
          <w:szCs w:val="21"/>
        </w:rPr>
      </w:pPr>
      <w:r>
        <w:rPr>
          <w:rFonts w:hint="eastAsia"/>
          <w:szCs w:val="21"/>
        </w:rPr>
        <w:t>无。</w:t>
      </w:r>
    </w:p>
    <w:p w:rsidR="00E234B6" w:rsidRDefault="00E234B6">
      <w:pPr>
        <w:pStyle w:val="afff4"/>
        <w:spacing w:line="300" w:lineRule="auto"/>
        <w:ind w:firstLineChars="0"/>
        <w:contextualSpacing/>
        <w:rPr>
          <w:szCs w:val="21"/>
        </w:rPr>
      </w:pPr>
    </w:p>
    <w:p w:rsidR="00E234B6" w:rsidRDefault="00684862">
      <w:pPr>
        <w:pStyle w:val="afff4"/>
        <w:spacing w:line="300" w:lineRule="auto"/>
        <w:ind w:firstLineChars="0"/>
        <w:contextualSpacing/>
        <w:jc w:val="right"/>
        <w:rPr>
          <w:rFonts w:ascii="Times New Roman" w:eastAsia="黑体" w:hAnsi="Times New Roman"/>
        </w:rPr>
      </w:pPr>
      <w:r>
        <w:rPr>
          <w:rFonts w:ascii="Times New Roman" w:eastAsia="黑体" w:hAnsi="Times New Roman"/>
        </w:rPr>
        <w:t xml:space="preserve"> </w:t>
      </w:r>
    </w:p>
    <w:p w:rsidR="00E234B6" w:rsidRDefault="00E234B6">
      <w:pPr>
        <w:pStyle w:val="afff4"/>
        <w:spacing w:line="300" w:lineRule="auto"/>
        <w:ind w:firstLineChars="0"/>
        <w:contextualSpacing/>
        <w:jc w:val="right"/>
        <w:rPr>
          <w:rFonts w:ascii="Times New Roman" w:eastAsia="黑体" w:hAnsi="Times New Roman"/>
        </w:rPr>
      </w:pPr>
    </w:p>
    <w:p w:rsidR="00E234B6" w:rsidRDefault="00684862">
      <w:pPr>
        <w:pStyle w:val="afff4"/>
        <w:spacing w:line="300" w:lineRule="auto"/>
        <w:ind w:firstLineChars="0"/>
        <w:contextualSpacing/>
        <w:jc w:val="right"/>
        <w:rPr>
          <w:rFonts w:ascii="Times New Roman" w:eastAsia="方正行楷简体" w:hAnsi="Times New Roman"/>
          <w:szCs w:val="21"/>
        </w:rPr>
      </w:pPr>
      <w:r>
        <w:rPr>
          <w:rFonts w:ascii="Times New Roman" w:eastAsia="方正行楷简体" w:hAnsi="Times New Roman"/>
          <w:szCs w:val="21"/>
        </w:rPr>
        <w:t>《</w:t>
      </w:r>
      <w:r>
        <w:rPr>
          <w:rFonts w:hint="eastAsia"/>
          <w:szCs w:val="21"/>
        </w:rPr>
        <w:t>烷基汞分析仪</w:t>
      </w:r>
      <w:r>
        <w:rPr>
          <w:rFonts w:ascii="Times New Roman" w:hAnsi="Times New Roman"/>
          <w:szCs w:val="21"/>
        </w:rPr>
        <w:t>校准规范</w:t>
      </w:r>
      <w:r>
        <w:rPr>
          <w:rFonts w:ascii="Times New Roman" w:eastAsia="方正行楷简体" w:hAnsi="Times New Roman"/>
          <w:szCs w:val="21"/>
        </w:rPr>
        <w:t>》编制组</w:t>
      </w:r>
      <w:r>
        <w:rPr>
          <w:rFonts w:ascii="Times New Roman" w:eastAsia="方正行楷简体" w:hAnsi="Times New Roman"/>
          <w:szCs w:val="21"/>
        </w:rPr>
        <w:t xml:space="preserve">  </w:t>
      </w:r>
    </w:p>
    <w:p w:rsidR="00E234B6" w:rsidRDefault="00684862">
      <w:pPr>
        <w:pStyle w:val="afff4"/>
        <w:spacing w:line="300" w:lineRule="auto"/>
        <w:ind w:firstLineChars="0"/>
        <w:contextualSpacing/>
        <w:jc w:val="right"/>
        <w:rPr>
          <w:szCs w:val="21"/>
        </w:rPr>
      </w:pPr>
      <w:r>
        <w:rPr>
          <w:rFonts w:ascii="Times New Roman" w:eastAsia="方正行楷简体" w:hAnsi="Times New Roman"/>
          <w:szCs w:val="21"/>
        </w:rPr>
        <w:t>202</w:t>
      </w:r>
      <w:r>
        <w:rPr>
          <w:rFonts w:ascii="Times New Roman" w:eastAsia="方正行楷简体" w:hAnsi="Times New Roman" w:hint="eastAsia"/>
          <w:szCs w:val="21"/>
        </w:rPr>
        <w:t>4</w:t>
      </w:r>
      <w:r>
        <w:rPr>
          <w:rFonts w:ascii="Times New Roman" w:eastAsia="方正行楷简体" w:hAnsi="Times New Roman"/>
          <w:szCs w:val="21"/>
        </w:rPr>
        <w:t>年</w:t>
      </w:r>
      <w:r>
        <w:rPr>
          <w:rFonts w:ascii="Times New Roman" w:eastAsia="方正行楷简体" w:hAnsi="Times New Roman" w:hint="eastAsia"/>
          <w:szCs w:val="21"/>
        </w:rPr>
        <w:t>8</w:t>
      </w:r>
      <w:r>
        <w:rPr>
          <w:rFonts w:ascii="Times New Roman" w:eastAsia="方正行楷简体" w:hAnsi="Times New Roman"/>
          <w:szCs w:val="21"/>
        </w:rPr>
        <w:t>月</w:t>
      </w:r>
      <w:r>
        <w:rPr>
          <w:rFonts w:ascii="Times New Roman" w:eastAsia="方正行楷简体" w:hAnsi="Times New Roman" w:hint="eastAsia"/>
          <w:szCs w:val="21"/>
        </w:rPr>
        <w:t>28</w:t>
      </w:r>
      <w:r>
        <w:rPr>
          <w:rFonts w:ascii="Times New Roman" w:eastAsia="方正行楷简体" w:hAnsi="Times New Roman"/>
          <w:szCs w:val="21"/>
        </w:rPr>
        <w:t>日</w:t>
      </w:r>
    </w:p>
    <w:sectPr w:rsidR="00E234B6">
      <w:headerReference w:type="default" r:id="rId10"/>
      <w:footerReference w:type="default" r:id="rId11"/>
      <w:footerReference w:type="first" r:id="rId12"/>
      <w:pgSz w:w="11907" w:h="16839"/>
      <w:pgMar w:top="1418" w:right="1134" w:bottom="1134" w:left="1418" w:header="1418" w:footer="851"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0BF" w:rsidRDefault="00E950BF">
      <w:r>
        <w:separator/>
      </w:r>
    </w:p>
  </w:endnote>
  <w:endnote w:type="continuationSeparator" w:id="0">
    <w:p w:rsidR="00E950BF" w:rsidRDefault="00E95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行楷简体">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6" w:rsidRDefault="00684862">
    <w:pPr>
      <w:pStyle w:val="afff9"/>
      <w:jc w:val="center"/>
      <w:rPr>
        <w:rStyle w:val="afff"/>
      </w:rPr>
    </w:pPr>
    <w:r>
      <w:fldChar w:fldCharType="begin"/>
    </w:r>
    <w:r>
      <w:rPr>
        <w:rStyle w:val="afff"/>
      </w:rPr>
      <w:instrText xml:space="preserve">PAGE  </w:instrText>
    </w:r>
    <w:r>
      <w:fldChar w:fldCharType="separate"/>
    </w:r>
    <w:r w:rsidR="00D21938">
      <w:rPr>
        <w:rStyle w:val="afff"/>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6" w:rsidRDefault="00E234B6">
    <w:pPr>
      <w:pStyle w:val="aff6"/>
      <w:jc w:val="both"/>
    </w:pPr>
  </w:p>
  <w:p w:rsidR="00E234B6" w:rsidRDefault="00684862">
    <w:pPr>
      <w:pStyle w:val="aff6"/>
      <w:jc w:val="center"/>
      <w:rPr>
        <w:rFonts w:ascii="宋体" w:hAnsi="宋体"/>
        <w:sz w:val="21"/>
      </w:rPr>
    </w:pPr>
    <w:r>
      <w:rPr>
        <w:rFonts w:ascii="宋体" w:hAnsi="宋体" w:hint="eastAsia"/>
        <w:sz w:val="21"/>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0BF" w:rsidRDefault="00E950BF">
      <w:r>
        <w:separator/>
      </w:r>
    </w:p>
  </w:footnote>
  <w:footnote w:type="continuationSeparator" w:id="0">
    <w:p w:rsidR="00E950BF" w:rsidRDefault="00E95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6" w:rsidRDefault="00E234B6">
    <w:pPr>
      <w:pStyle w:val="af2"/>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none"/>
      <w:pStyle w:val="a"/>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C"/>
    <w:multiLevelType w:val="multilevel"/>
    <w:tmpl w:val="0000000C"/>
    <w:lvl w:ilvl="0">
      <w:start w:val="1"/>
      <w:numFmt w:val="none"/>
      <w:pStyle w:val="a0"/>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10"/>
    <w:multiLevelType w:val="multilevel"/>
    <w:tmpl w:val="00000010"/>
    <w:lvl w:ilvl="0">
      <w:start w:val="1"/>
      <w:numFmt w:val="none"/>
      <w:pStyle w:val="a1"/>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3"/>
    <w:multiLevelType w:val="multilevel"/>
    <w:tmpl w:val="00000013"/>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start w:val="1"/>
      <w:numFmt w:val="none"/>
      <w:pStyle w:val="a7"/>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0000015"/>
    <w:multiLevelType w:val="multilevel"/>
    <w:tmpl w:val="00000015"/>
    <w:lvl w:ilvl="0">
      <w:start w:val="1"/>
      <w:numFmt w:val="upperLetter"/>
      <w:pStyle w:val="a8"/>
      <w:suff w:val="nothing"/>
      <w:lvlText w:val="附　录　%1"/>
      <w:lvlJc w:val="left"/>
      <w:pPr>
        <w:ind w:left="0" w:firstLine="0"/>
      </w:pPr>
      <w:rPr>
        <w:rFonts w:ascii="黑体" w:eastAsia="黑体" w:hAnsi="Times New Roman" w:hint="eastAsia"/>
        <w:b w:val="0"/>
        <w:i w:val="0"/>
        <w:sz w:val="21"/>
      </w:rPr>
    </w:lvl>
    <w:lvl w:ilvl="1">
      <w:start w:val="1"/>
      <w:numFmt w:val="japaneseCounting"/>
      <w:pStyle w:val="a9"/>
      <w:lvlText w:val="（%2）"/>
      <w:lvlJc w:val="left"/>
      <w:pPr>
        <w:ind w:left="0" w:firstLine="0"/>
      </w:pPr>
      <w:rPr>
        <w:rFonts w:hint="default"/>
        <w:b w:val="0"/>
        <w:i w:val="0"/>
        <w:spacing w:val="0"/>
        <w:w w:val="100"/>
        <w:kern w:val="21"/>
        <w:sz w:val="21"/>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start w:val="1"/>
      <w:numFmt w:val="decimal"/>
      <w:pStyle w:val="af"/>
      <w:suff w:val="nothing"/>
      <w:lvlText w:val="表%1　"/>
      <w:lvlJc w:val="left"/>
      <w:pPr>
        <w:ind w:left="3403" w:firstLine="0"/>
      </w:pPr>
      <w:rPr>
        <w:rFonts w:ascii="黑体" w:eastAsia="黑体" w:hAnsi="Times New Roman" w:hint="eastAsia"/>
        <w:b w:val="0"/>
        <w:i w:val="0"/>
        <w:sz w:val="21"/>
      </w:rPr>
    </w:lvl>
    <w:lvl w:ilvl="1">
      <w:start w:val="1"/>
      <w:numFmt w:val="decimal"/>
      <w:lvlText w:val="%1.%2"/>
      <w:lvlJc w:val="left"/>
      <w:pPr>
        <w:tabs>
          <w:tab w:val="left" w:pos="1202"/>
        </w:tabs>
        <w:ind w:left="1202" w:hanging="567"/>
      </w:pPr>
      <w:rPr>
        <w:rFonts w:hint="eastAsia"/>
      </w:rPr>
    </w:lvl>
    <w:lvl w:ilvl="2">
      <w:start w:val="1"/>
      <w:numFmt w:val="decimal"/>
      <w:lvlText w:val="%1.%2.%3"/>
      <w:lvlJc w:val="left"/>
      <w:pPr>
        <w:tabs>
          <w:tab w:val="left" w:pos="1628"/>
        </w:tabs>
        <w:ind w:left="1628" w:hanging="567"/>
      </w:pPr>
      <w:rPr>
        <w:rFonts w:hint="eastAsia"/>
      </w:rPr>
    </w:lvl>
    <w:lvl w:ilvl="3">
      <w:start w:val="1"/>
      <w:numFmt w:val="decimal"/>
      <w:lvlText w:val="%1.%2.%3.%4"/>
      <w:lvlJc w:val="left"/>
      <w:pPr>
        <w:tabs>
          <w:tab w:val="left" w:pos="2194"/>
        </w:tabs>
        <w:ind w:left="2194" w:hanging="708"/>
      </w:pPr>
      <w:rPr>
        <w:rFonts w:hint="eastAsia"/>
      </w:rPr>
    </w:lvl>
    <w:lvl w:ilvl="4">
      <w:start w:val="1"/>
      <w:numFmt w:val="decimal"/>
      <w:lvlText w:val="%1.%2.%3.%4.%5"/>
      <w:lvlJc w:val="left"/>
      <w:pPr>
        <w:tabs>
          <w:tab w:val="left" w:pos="2761"/>
        </w:tabs>
        <w:ind w:left="2761" w:hanging="850"/>
      </w:pPr>
      <w:rPr>
        <w:rFonts w:hint="eastAsia"/>
      </w:rPr>
    </w:lvl>
    <w:lvl w:ilvl="5">
      <w:start w:val="1"/>
      <w:numFmt w:val="decimal"/>
      <w:lvlText w:val="%1.%2.%3.%4.%5.%6"/>
      <w:lvlJc w:val="left"/>
      <w:pPr>
        <w:tabs>
          <w:tab w:val="left" w:pos="3470"/>
        </w:tabs>
        <w:ind w:left="3470" w:hanging="1134"/>
      </w:pPr>
      <w:rPr>
        <w:rFonts w:hint="eastAsia"/>
      </w:rPr>
    </w:lvl>
    <w:lvl w:ilvl="6">
      <w:start w:val="1"/>
      <w:numFmt w:val="decimal"/>
      <w:lvlText w:val="%1.%2.%3.%4.%5.%6.%7"/>
      <w:lvlJc w:val="left"/>
      <w:pPr>
        <w:tabs>
          <w:tab w:val="left" w:pos="4037"/>
        </w:tabs>
        <w:ind w:left="4037" w:hanging="1276"/>
      </w:pPr>
      <w:rPr>
        <w:rFonts w:hint="eastAsia"/>
      </w:rPr>
    </w:lvl>
    <w:lvl w:ilvl="7">
      <w:start w:val="1"/>
      <w:numFmt w:val="decimal"/>
      <w:lvlText w:val="%1.%2.%3.%4.%5.%6.%7.%8"/>
      <w:lvlJc w:val="left"/>
      <w:pPr>
        <w:tabs>
          <w:tab w:val="left" w:pos="4604"/>
        </w:tabs>
        <w:ind w:left="4604" w:hanging="1418"/>
      </w:pPr>
      <w:rPr>
        <w:rFonts w:hint="eastAsia"/>
      </w:rPr>
    </w:lvl>
    <w:lvl w:ilvl="8">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start w:val="1"/>
      <w:numFmt w:val="decimal"/>
      <w:pStyle w:val="af0"/>
      <w:suff w:val="nothing"/>
      <w:lvlText w:val="图%1　"/>
      <w:lvlJc w:val="left"/>
      <w:pPr>
        <w:ind w:left="0" w:firstLine="0"/>
      </w:pPr>
      <w:rPr>
        <w:rFonts w:ascii="黑体" w:eastAsia="黑体" w:hAnsi="Times New Roman" w:hint="eastAsia"/>
        <w:b w:val="0"/>
        <w:i w:val="0"/>
        <w:color w:val="auto"/>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start w:val="1"/>
      <w:numFmt w:val="none"/>
      <w:pStyle w:val="af1"/>
      <w:suff w:val="nothing"/>
      <w:lvlText w:val="%1"/>
      <w:lvlJc w:val="left"/>
      <w:pPr>
        <w:ind w:left="0" w:firstLine="0"/>
      </w:pPr>
      <w:rPr>
        <w:rFonts w:ascii="Times New Roman" w:hAnsi="Times New Roman" w:hint="default"/>
        <w:b/>
        <w:i w:val="0"/>
        <w:sz w:val="21"/>
      </w:rPr>
    </w:lvl>
    <w:lvl w:ilvl="1">
      <w:start w:val="1"/>
      <w:numFmt w:val="decimal"/>
      <w:pStyle w:val="af2"/>
      <w:suff w:val="nothing"/>
      <w:lvlText w:val="%1%2　"/>
      <w:lvlJc w:val="left"/>
      <w:pPr>
        <w:ind w:left="0" w:firstLine="0"/>
      </w:pPr>
      <w:rPr>
        <w:rFonts w:ascii="Times New Roman" w:eastAsia="黑体" w:hAnsi="Times New Roman" w:cs="Times New Roman" w:hint="default"/>
        <w:b w:val="0"/>
        <w:i w:val="0"/>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284"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color w:val="auto"/>
        <w:sz w:val="21"/>
        <w:lang w:val="en-US"/>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2E413860"/>
    <w:multiLevelType w:val="multilevel"/>
    <w:tmpl w:val="2E41386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C69374D"/>
    <w:multiLevelType w:val="multilevel"/>
    <w:tmpl w:val="3C69374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9D2325A"/>
    <w:multiLevelType w:val="multilevel"/>
    <w:tmpl w:val="49D2325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5"/>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hideSpellingErrors/>
  <w:proofState w:spelling="clean" w:grammar="clean"/>
  <w:attachedTemplate r:id="rId1"/>
  <w:defaultTabStop w:val="420"/>
  <w:drawingGridHorizontalSpacing w:val="105"/>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MTM3NmYzNGVmNDQ5YjZiNTgzYmIwNjAzOTFiYjkifQ=="/>
  </w:docVars>
  <w:rsids>
    <w:rsidRoot w:val="00693668"/>
    <w:rsid w:val="000038F0"/>
    <w:rsid w:val="00003D9F"/>
    <w:rsid w:val="00004648"/>
    <w:rsid w:val="00014C66"/>
    <w:rsid w:val="000211BF"/>
    <w:rsid w:val="000237D4"/>
    <w:rsid w:val="0003050F"/>
    <w:rsid w:val="000309D7"/>
    <w:rsid w:val="00032F98"/>
    <w:rsid w:val="00034584"/>
    <w:rsid w:val="00036A21"/>
    <w:rsid w:val="00036F02"/>
    <w:rsid w:val="0004299E"/>
    <w:rsid w:val="00043D6D"/>
    <w:rsid w:val="0005764E"/>
    <w:rsid w:val="000657B2"/>
    <w:rsid w:val="0006679C"/>
    <w:rsid w:val="0007070D"/>
    <w:rsid w:val="000719AC"/>
    <w:rsid w:val="00073A74"/>
    <w:rsid w:val="00084878"/>
    <w:rsid w:val="000971D5"/>
    <w:rsid w:val="000B50EE"/>
    <w:rsid w:val="000C1F88"/>
    <w:rsid w:val="000C772A"/>
    <w:rsid w:val="000F15FB"/>
    <w:rsid w:val="000F714B"/>
    <w:rsid w:val="00100912"/>
    <w:rsid w:val="00104CBC"/>
    <w:rsid w:val="001164A0"/>
    <w:rsid w:val="0012155C"/>
    <w:rsid w:val="00122AD8"/>
    <w:rsid w:val="00136813"/>
    <w:rsid w:val="0014120B"/>
    <w:rsid w:val="00150062"/>
    <w:rsid w:val="00151323"/>
    <w:rsid w:val="001527ED"/>
    <w:rsid w:val="0016538F"/>
    <w:rsid w:val="001859F4"/>
    <w:rsid w:val="0019431C"/>
    <w:rsid w:val="001A2145"/>
    <w:rsid w:val="001A4F75"/>
    <w:rsid w:val="001C13CE"/>
    <w:rsid w:val="001C3AA5"/>
    <w:rsid w:val="001C746E"/>
    <w:rsid w:val="001C7BB8"/>
    <w:rsid w:val="001D0501"/>
    <w:rsid w:val="001E0288"/>
    <w:rsid w:val="001E09C6"/>
    <w:rsid w:val="002019F9"/>
    <w:rsid w:val="00235374"/>
    <w:rsid w:val="00244291"/>
    <w:rsid w:val="00247A7D"/>
    <w:rsid w:val="00255EB1"/>
    <w:rsid w:val="002732FF"/>
    <w:rsid w:val="00275F7A"/>
    <w:rsid w:val="00280BE9"/>
    <w:rsid w:val="002849BB"/>
    <w:rsid w:val="00291548"/>
    <w:rsid w:val="00293085"/>
    <w:rsid w:val="002977EC"/>
    <w:rsid w:val="002A1305"/>
    <w:rsid w:val="002D0634"/>
    <w:rsid w:val="002D2103"/>
    <w:rsid w:val="002E6C19"/>
    <w:rsid w:val="002F4E61"/>
    <w:rsid w:val="003012C4"/>
    <w:rsid w:val="00305CB9"/>
    <w:rsid w:val="00307A90"/>
    <w:rsid w:val="00314BA2"/>
    <w:rsid w:val="00322078"/>
    <w:rsid w:val="0032338B"/>
    <w:rsid w:val="0033057E"/>
    <w:rsid w:val="003318C1"/>
    <w:rsid w:val="00335FEC"/>
    <w:rsid w:val="0034125E"/>
    <w:rsid w:val="00352269"/>
    <w:rsid w:val="0036652A"/>
    <w:rsid w:val="00366AF1"/>
    <w:rsid w:val="00373555"/>
    <w:rsid w:val="00397407"/>
    <w:rsid w:val="003B0148"/>
    <w:rsid w:val="003B5768"/>
    <w:rsid w:val="003C2376"/>
    <w:rsid w:val="003C685D"/>
    <w:rsid w:val="003E10E7"/>
    <w:rsid w:val="003E237F"/>
    <w:rsid w:val="003E7C70"/>
    <w:rsid w:val="003F2C11"/>
    <w:rsid w:val="00400BF2"/>
    <w:rsid w:val="0040777C"/>
    <w:rsid w:val="00411DC2"/>
    <w:rsid w:val="00415481"/>
    <w:rsid w:val="004257BB"/>
    <w:rsid w:val="00425D1F"/>
    <w:rsid w:val="004265F2"/>
    <w:rsid w:val="004508BB"/>
    <w:rsid w:val="00455FE9"/>
    <w:rsid w:val="0046211B"/>
    <w:rsid w:val="00464019"/>
    <w:rsid w:val="00472194"/>
    <w:rsid w:val="00482AD2"/>
    <w:rsid w:val="0048362B"/>
    <w:rsid w:val="00497039"/>
    <w:rsid w:val="00497FD1"/>
    <w:rsid w:val="004A27E5"/>
    <w:rsid w:val="004A7436"/>
    <w:rsid w:val="004B1DE2"/>
    <w:rsid w:val="004B3BD5"/>
    <w:rsid w:val="004B6C18"/>
    <w:rsid w:val="004C6FDF"/>
    <w:rsid w:val="004E1361"/>
    <w:rsid w:val="004E4C45"/>
    <w:rsid w:val="004E5080"/>
    <w:rsid w:val="0051266C"/>
    <w:rsid w:val="00521FA9"/>
    <w:rsid w:val="0052761B"/>
    <w:rsid w:val="005305AE"/>
    <w:rsid w:val="00531FA0"/>
    <w:rsid w:val="00536268"/>
    <w:rsid w:val="00536BFA"/>
    <w:rsid w:val="005535AA"/>
    <w:rsid w:val="0055489A"/>
    <w:rsid w:val="00556AC4"/>
    <w:rsid w:val="005608DA"/>
    <w:rsid w:val="00567271"/>
    <w:rsid w:val="005709C3"/>
    <w:rsid w:val="00575B47"/>
    <w:rsid w:val="0059121E"/>
    <w:rsid w:val="005B3A80"/>
    <w:rsid w:val="005B5BAB"/>
    <w:rsid w:val="005C0BE7"/>
    <w:rsid w:val="005C2448"/>
    <w:rsid w:val="005C769A"/>
    <w:rsid w:val="005D1589"/>
    <w:rsid w:val="005D3DB4"/>
    <w:rsid w:val="005E67C7"/>
    <w:rsid w:val="005F42DD"/>
    <w:rsid w:val="00601ADF"/>
    <w:rsid w:val="00603894"/>
    <w:rsid w:val="00606487"/>
    <w:rsid w:val="00623451"/>
    <w:rsid w:val="00624A40"/>
    <w:rsid w:val="00625140"/>
    <w:rsid w:val="00627726"/>
    <w:rsid w:val="00633572"/>
    <w:rsid w:val="00636E32"/>
    <w:rsid w:val="00637AB5"/>
    <w:rsid w:val="00644C6D"/>
    <w:rsid w:val="006510D6"/>
    <w:rsid w:val="00660A77"/>
    <w:rsid w:val="00667FDB"/>
    <w:rsid w:val="00670276"/>
    <w:rsid w:val="00672533"/>
    <w:rsid w:val="006738AA"/>
    <w:rsid w:val="006820CD"/>
    <w:rsid w:val="00683E68"/>
    <w:rsid w:val="00684862"/>
    <w:rsid w:val="00686643"/>
    <w:rsid w:val="0069243E"/>
    <w:rsid w:val="00693668"/>
    <w:rsid w:val="006B0F8C"/>
    <w:rsid w:val="006B3185"/>
    <w:rsid w:val="006B43C4"/>
    <w:rsid w:val="006C188A"/>
    <w:rsid w:val="006C2258"/>
    <w:rsid w:val="006C2AF8"/>
    <w:rsid w:val="006C36BD"/>
    <w:rsid w:val="006D1B98"/>
    <w:rsid w:val="006D58E1"/>
    <w:rsid w:val="006D7E99"/>
    <w:rsid w:val="006E11F0"/>
    <w:rsid w:val="00707309"/>
    <w:rsid w:val="00724E03"/>
    <w:rsid w:val="00733C71"/>
    <w:rsid w:val="00735A75"/>
    <w:rsid w:val="007373AB"/>
    <w:rsid w:val="00740702"/>
    <w:rsid w:val="00743BA2"/>
    <w:rsid w:val="00743BAC"/>
    <w:rsid w:val="00746BAC"/>
    <w:rsid w:val="00750ED3"/>
    <w:rsid w:val="00764D0A"/>
    <w:rsid w:val="00765621"/>
    <w:rsid w:val="007901C0"/>
    <w:rsid w:val="007902D1"/>
    <w:rsid w:val="00796CF0"/>
    <w:rsid w:val="007A098B"/>
    <w:rsid w:val="007A3BEE"/>
    <w:rsid w:val="007C15E3"/>
    <w:rsid w:val="007D5B84"/>
    <w:rsid w:val="007E56C9"/>
    <w:rsid w:val="00804BC8"/>
    <w:rsid w:val="00820F69"/>
    <w:rsid w:val="00824B04"/>
    <w:rsid w:val="00826DAA"/>
    <w:rsid w:val="008461B6"/>
    <w:rsid w:val="0085122B"/>
    <w:rsid w:val="00854EC4"/>
    <w:rsid w:val="0086056F"/>
    <w:rsid w:val="0086378F"/>
    <w:rsid w:val="008700C9"/>
    <w:rsid w:val="008754EE"/>
    <w:rsid w:val="00876D87"/>
    <w:rsid w:val="0088135C"/>
    <w:rsid w:val="00892AEB"/>
    <w:rsid w:val="008B22FC"/>
    <w:rsid w:val="008C672E"/>
    <w:rsid w:val="008E415E"/>
    <w:rsid w:val="008F5DCA"/>
    <w:rsid w:val="009052E4"/>
    <w:rsid w:val="009111C1"/>
    <w:rsid w:val="00913ED1"/>
    <w:rsid w:val="00915F90"/>
    <w:rsid w:val="00930DB4"/>
    <w:rsid w:val="00933D2C"/>
    <w:rsid w:val="00946B7D"/>
    <w:rsid w:val="009513C5"/>
    <w:rsid w:val="009542EF"/>
    <w:rsid w:val="00954DA4"/>
    <w:rsid w:val="00967A11"/>
    <w:rsid w:val="00971240"/>
    <w:rsid w:val="00977A4A"/>
    <w:rsid w:val="009934C3"/>
    <w:rsid w:val="009A12AB"/>
    <w:rsid w:val="009B4929"/>
    <w:rsid w:val="009C0597"/>
    <w:rsid w:val="009C2D10"/>
    <w:rsid w:val="009D79FA"/>
    <w:rsid w:val="009E3D09"/>
    <w:rsid w:val="009F1F6A"/>
    <w:rsid w:val="009F420F"/>
    <w:rsid w:val="009F4E35"/>
    <w:rsid w:val="00A06113"/>
    <w:rsid w:val="00A11A21"/>
    <w:rsid w:val="00A12727"/>
    <w:rsid w:val="00A1378A"/>
    <w:rsid w:val="00A1497C"/>
    <w:rsid w:val="00A15577"/>
    <w:rsid w:val="00A230C1"/>
    <w:rsid w:val="00A3211C"/>
    <w:rsid w:val="00A363F7"/>
    <w:rsid w:val="00A40E4F"/>
    <w:rsid w:val="00A47FE2"/>
    <w:rsid w:val="00A56163"/>
    <w:rsid w:val="00A662E8"/>
    <w:rsid w:val="00A77511"/>
    <w:rsid w:val="00A7790F"/>
    <w:rsid w:val="00A8043A"/>
    <w:rsid w:val="00A8426B"/>
    <w:rsid w:val="00A86AF0"/>
    <w:rsid w:val="00A87866"/>
    <w:rsid w:val="00AC0924"/>
    <w:rsid w:val="00AD093B"/>
    <w:rsid w:val="00AE0B35"/>
    <w:rsid w:val="00AE47AC"/>
    <w:rsid w:val="00AF7111"/>
    <w:rsid w:val="00B056DA"/>
    <w:rsid w:val="00B05E25"/>
    <w:rsid w:val="00B07D3B"/>
    <w:rsid w:val="00B27476"/>
    <w:rsid w:val="00B369B6"/>
    <w:rsid w:val="00B40B91"/>
    <w:rsid w:val="00B43636"/>
    <w:rsid w:val="00B45E9C"/>
    <w:rsid w:val="00B462D7"/>
    <w:rsid w:val="00B53389"/>
    <w:rsid w:val="00B60FA7"/>
    <w:rsid w:val="00B614F2"/>
    <w:rsid w:val="00B706F7"/>
    <w:rsid w:val="00B7116A"/>
    <w:rsid w:val="00B75677"/>
    <w:rsid w:val="00B761D5"/>
    <w:rsid w:val="00B817F8"/>
    <w:rsid w:val="00B84B83"/>
    <w:rsid w:val="00B879EA"/>
    <w:rsid w:val="00B911AF"/>
    <w:rsid w:val="00BB316D"/>
    <w:rsid w:val="00BB4554"/>
    <w:rsid w:val="00BB7985"/>
    <w:rsid w:val="00BC2D91"/>
    <w:rsid w:val="00BC66A0"/>
    <w:rsid w:val="00BC6B82"/>
    <w:rsid w:val="00BF1D43"/>
    <w:rsid w:val="00BF4703"/>
    <w:rsid w:val="00C03A4F"/>
    <w:rsid w:val="00C058B2"/>
    <w:rsid w:val="00C10883"/>
    <w:rsid w:val="00C113A5"/>
    <w:rsid w:val="00C16218"/>
    <w:rsid w:val="00C2681C"/>
    <w:rsid w:val="00C27739"/>
    <w:rsid w:val="00C40CAE"/>
    <w:rsid w:val="00C5059F"/>
    <w:rsid w:val="00C53BDD"/>
    <w:rsid w:val="00C5550F"/>
    <w:rsid w:val="00C57BAB"/>
    <w:rsid w:val="00C66C85"/>
    <w:rsid w:val="00C70EA3"/>
    <w:rsid w:val="00C7537E"/>
    <w:rsid w:val="00C8056F"/>
    <w:rsid w:val="00C81A49"/>
    <w:rsid w:val="00C86EE5"/>
    <w:rsid w:val="00C9548E"/>
    <w:rsid w:val="00CA003D"/>
    <w:rsid w:val="00CB3949"/>
    <w:rsid w:val="00CB750D"/>
    <w:rsid w:val="00CB7CDF"/>
    <w:rsid w:val="00CC3C55"/>
    <w:rsid w:val="00CC3DDD"/>
    <w:rsid w:val="00CC491D"/>
    <w:rsid w:val="00CC52E3"/>
    <w:rsid w:val="00CD2D13"/>
    <w:rsid w:val="00CD759E"/>
    <w:rsid w:val="00CF3CAA"/>
    <w:rsid w:val="00D01726"/>
    <w:rsid w:val="00D16568"/>
    <w:rsid w:val="00D17115"/>
    <w:rsid w:val="00D21938"/>
    <w:rsid w:val="00D23221"/>
    <w:rsid w:val="00D436F5"/>
    <w:rsid w:val="00D45840"/>
    <w:rsid w:val="00D6471A"/>
    <w:rsid w:val="00D81C1D"/>
    <w:rsid w:val="00D85454"/>
    <w:rsid w:val="00D86648"/>
    <w:rsid w:val="00D903E4"/>
    <w:rsid w:val="00DA22D1"/>
    <w:rsid w:val="00DB4F65"/>
    <w:rsid w:val="00DD6769"/>
    <w:rsid w:val="00DD7D39"/>
    <w:rsid w:val="00DE144C"/>
    <w:rsid w:val="00E002FF"/>
    <w:rsid w:val="00E019C6"/>
    <w:rsid w:val="00E15312"/>
    <w:rsid w:val="00E179CE"/>
    <w:rsid w:val="00E22714"/>
    <w:rsid w:val="00E23465"/>
    <w:rsid w:val="00E234B6"/>
    <w:rsid w:val="00E31A7B"/>
    <w:rsid w:val="00E32480"/>
    <w:rsid w:val="00E43911"/>
    <w:rsid w:val="00E71DCC"/>
    <w:rsid w:val="00E82471"/>
    <w:rsid w:val="00E82624"/>
    <w:rsid w:val="00E911BC"/>
    <w:rsid w:val="00E950BF"/>
    <w:rsid w:val="00EB2994"/>
    <w:rsid w:val="00EC149D"/>
    <w:rsid w:val="00ED5F91"/>
    <w:rsid w:val="00EE5988"/>
    <w:rsid w:val="00F10C9E"/>
    <w:rsid w:val="00F32186"/>
    <w:rsid w:val="00F3447A"/>
    <w:rsid w:val="00F379EC"/>
    <w:rsid w:val="00F37A77"/>
    <w:rsid w:val="00F45BA8"/>
    <w:rsid w:val="00F507FB"/>
    <w:rsid w:val="00F5644A"/>
    <w:rsid w:val="00F7167F"/>
    <w:rsid w:val="00F71F31"/>
    <w:rsid w:val="00F80059"/>
    <w:rsid w:val="00F812C6"/>
    <w:rsid w:val="00F91E84"/>
    <w:rsid w:val="00FA4CA4"/>
    <w:rsid w:val="00FA6198"/>
    <w:rsid w:val="00FC7BF3"/>
    <w:rsid w:val="00FD235D"/>
    <w:rsid w:val="00FD7FCA"/>
    <w:rsid w:val="00FE0C1C"/>
    <w:rsid w:val="00FE17CA"/>
    <w:rsid w:val="00FE1932"/>
    <w:rsid w:val="00FE1A74"/>
    <w:rsid w:val="00FF5630"/>
    <w:rsid w:val="02F703B0"/>
    <w:rsid w:val="03E351F2"/>
    <w:rsid w:val="04731467"/>
    <w:rsid w:val="05F125DB"/>
    <w:rsid w:val="06716757"/>
    <w:rsid w:val="06CF49FD"/>
    <w:rsid w:val="07DC0ED5"/>
    <w:rsid w:val="0904785D"/>
    <w:rsid w:val="09573966"/>
    <w:rsid w:val="0A781AE7"/>
    <w:rsid w:val="0B1437B7"/>
    <w:rsid w:val="0C0056D3"/>
    <w:rsid w:val="0CB9457A"/>
    <w:rsid w:val="0CCA0314"/>
    <w:rsid w:val="0D8022CA"/>
    <w:rsid w:val="0E6513CA"/>
    <w:rsid w:val="0F330B1C"/>
    <w:rsid w:val="10344DC5"/>
    <w:rsid w:val="11471F43"/>
    <w:rsid w:val="13877F6B"/>
    <w:rsid w:val="13B1031D"/>
    <w:rsid w:val="13BA0F9F"/>
    <w:rsid w:val="14317D7D"/>
    <w:rsid w:val="14FE0CE9"/>
    <w:rsid w:val="158E7867"/>
    <w:rsid w:val="16A67923"/>
    <w:rsid w:val="174C2AB4"/>
    <w:rsid w:val="17E64F25"/>
    <w:rsid w:val="1C803B53"/>
    <w:rsid w:val="1E713A82"/>
    <w:rsid w:val="1F5A1A25"/>
    <w:rsid w:val="1F714057"/>
    <w:rsid w:val="1FAB00D4"/>
    <w:rsid w:val="208E75B3"/>
    <w:rsid w:val="218A16C9"/>
    <w:rsid w:val="21BE3478"/>
    <w:rsid w:val="21D04080"/>
    <w:rsid w:val="22423DCF"/>
    <w:rsid w:val="225C10E7"/>
    <w:rsid w:val="23A74BBD"/>
    <w:rsid w:val="23D43A72"/>
    <w:rsid w:val="277C51D7"/>
    <w:rsid w:val="27BD3A55"/>
    <w:rsid w:val="28A00A66"/>
    <w:rsid w:val="29846CB3"/>
    <w:rsid w:val="29E46257"/>
    <w:rsid w:val="2A4110A1"/>
    <w:rsid w:val="2A636980"/>
    <w:rsid w:val="2AB85E2C"/>
    <w:rsid w:val="2C147130"/>
    <w:rsid w:val="2C281A12"/>
    <w:rsid w:val="2C5B614E"/>
    <w:rsid w:val="2E772BB0"/>
    <w:rsid w:val="2E89343E"/>
    <w:rsid w:val="2F35161A"/>
    <w:rsid w:val="2F656952"/>
    <w:rsid w:val="2FBE527A"/>
    <w:rsid w:val="31B57A58"/>
    <w:rsid w:val="325F3B1A"/>
    <w:rsid w:val="34745E77"/>
    <w:rsid w:val="34CD5E22"/>
    <w:rsid w:val="354A587E"/>
    <w:rsid w:val="36AE69D8"/>
    <w:rsid w:val="38B6063A"/>
    <w:rsid w:val="39E63C45"/>
    <w:rsid w:val="3A685AA2"/>
    <w:rsid w:val="3A910669"/>
    <w:rsid w:val="3BFA1058"/>
    <w:rsid w:val="3EBA5BC3"/>
    <w:rsid w:val="3F7A5AB8"/>
    <w:rsid w:val="3FE25D82"/>
    <w:rsid w:val="414E177D"/>
    <w:rsid w:val="420E5348"/>
    <w:rsid w:val="425F603B"/>
    <w:rsid w:val="4286740D"/>
    <w:rsid w:val="43A67182"/>
    <w:rsid w:val="44100726"/>
    <w:rsid w:val="44347A9B"/>
    <w:rsid w:val="44CE02A0"/>
    <w:rsid w:val="456D3D97"/>
    <w:rsid w:val="45E254B2"/>
    <w:rsid w:val="45E87405"/>
    <w:rsid w:val="46474D73"/>
    <w:rsid w:val="465C4787"/>
    <w:rsid w:val="473A498E"/>
    <w:rsid w:val="47552183"/>
    <w:rsid w:val="48211129"/>
    <w:rsid w:val="48BE5C4B"/>
    <w:rsid w:val="49214E6F"/>
    <w:rsid w:val="49A26661"/>
    <w:rsid w:val="4AE6291D"/>
    <w:rsid w:val="4AEA403C"/>
    <w:rsid w:val="4B8C5809"/>
    <w:rsid w:val="4B933E1A"/>
    <w:rsid w:val="4BEA215C"/>
    <w:rsid w:val="4D432356"/>
    <w:rsid w:val="4DCC0992"/>
    <w:rsid w:val="4E3430C7"/>
    <w:rsid w:val="4FA7278A"/>
    <w:rsid w:val="50011CA3"/>
    <w:rsid w:val="51051BD9"/>
    <w:rsid w:val="51442F7B"/>
    <w:rsid w:val="52A97DDB"/>
    <w:rsid w:val="55152B55"/>
    <w:rsid w:val="56154CA2"/>
    <w:rsid w:val="56A00E5A"/>
    <w:rsid w:val="57676F98"/>
    <w:rsid w:val="579905E2"/>
    <w:rsid w:val="590A235B"/>
    <w:rsid w:val="5A931503"/>
    <w:rsid w:val="5A971C98"/>
    <w:rsid w:val="5AC42DA1"/>
    <w:rsid w:val="5AFA5C95"/>
    <w:rsid w:val="5C401F83"/>
    <w:rsid w:val="5CDE078E"/>
    <w:rsid w:val="5DC655CC"/>
    <w:rsid w:val="5F776EED"/>
    <w:rsid w:val="605176D9"/>
    <w:rsid w:val="61690122"/>
    <w:rsid w:val="63F828E6"/>
    <w:rsid w:val="654D6460"/>
    <w:rsid w:val="6760797E"/>
    <w:rsid w:val="694F496D"/>
    <w:rsid w:val="69BC4907"/>
    <w:rsid w:val="6A0057D5"/>
    <w:rsid w:val="6AB57C02"/>
    <w:rsid w:val="6AE574EF"/>
    <w:rsid w:val="6AF7022D"/>
    <w:rsid w:val="6B27051F"/>
    <w:rsid w:val="6B753BDA"/>
    <w:rsid w:val="6B770841"/>
    <w:rsid w:val="6D281A14"/>
    <w:rsid w:val="6E8A0C2B"/>
    <w:rsid w:val="6E9A1846"/>
    <w:rsid w:val="6EF60757"/>
    <w:rsid w:val="70757340"/>
    <w:rsid w:val="70A61265"/>
    <w:rsid w:val="70FA146A"/>
    <w:rsid w:val="710228B1"/>
    <w:rsid w:val="71670CF0"/>
    <w:rsid w:val="71E73175"/>
    <w:rsid w:val="739E1612"/>
    <w:rsid w:val="73A7009A"/>
    <w:rsid w:val="73B95B2E"/>
    <w:rsid w:val="74130018"/>
    <w:rsid w:val="74D35BFF"/>
    <w:rsid w:val="76F53E91"/>
    <w:rsid w:val="77CE2BEC"/>
    <w:rsid w:val="78931FA4"/>
    <w:rsid w:val="78CE2872"/>
    <w:rsid w:val="78DB44BD"/>
    <w:rsid w:val="79532F64"/>
    <w:rsid w:val="795C2ECE"/>
    <w:rsid w:val="7AC757F1"/>
    <w:rsid w:val="7B207CB9"/>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qFormat="1"/>
    <w:lsdException w:name="Body Text First Indent 2" w:semiHidden="1" w:unhideWhenUsed="1"/>
    <w:lsdException w:name="Note Heading" w:semiHidden="1" w:unhideWhenUsed="1"/>
    <w:lsdException w:name="Body Text 2" w:uiPriority="99"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Balloon Text" w:qFormat="1"/>
    <w:lsdException w:name="Table Grid" w:uiPriority="59" w:qFormat="1"/>
    <w:lsdException w:name="Table Theme" w:uiPriority="99"/>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qFormat/>
    <w:pPr>
      <w:widowControl w:val="0"/>
      <w:jc w:val="both"/>
    </w:pPr>
    <w:rPr>
      <w:kern w:val="2"/>
      <w:sz w:val="21"/>
      <w:szCs w:val="24"/>
    </w:rPr>
  </w:style>
  <w:style w:type="paragraph" w:styleId="1">
    <w:name w:val="heading 1"/>
    <w:basedOn w:val="af9"/>
    <w:next w:val="af9"/>
    <w:link w:val="1Char"/>
    <w:qFormat/>
    <w:pPr>
      <w:keepNext/>
      <w:keepLines/>
      <w:spacing w:beforeLines="50" w:before="50" w:afterLines="50" w:after="50"/>
      <w:outlineLvl w:val="0"/>
    </w:pPr>
    <w:rPr>
      <w:rFonts w:eastAsia="黑体"/>
      <w:b/>
      <w:bCs/>
      <w:kern w:val="44"/>
      <w:sz w:val="28"/>
      <w:szCs w:val="44"/>
    </w:rPr>
  </w:style>
  <w:style w:type="paragraph" w:styleId="2">
    <w:name w:val="heading 2"/>
    <w:basedOn w:val="af9"/>
    <w:next w:val="af9"/>
    <w:link w:val="2Char"/>
    <w:qFormat/>
    <w:pPr>
      <w:keepNext/>
      <w:keepLines/>
      <w:spacing w:beforeLines="50" w:before="50" w:afterLines="50" w:after="50" w:line="360" w:lineRule="auto"/>
      <w:outlineLvl w:val="1"/>
    </w:pPr>
    <w:rPr>
      <w:rFonts w:ascii="Arial" w:eastAsia="黑体" w:hAnsi="Arial"/>
      <w:b/>
      <w:bCs/>
      <w:sz w:val="24"/>
      <w:szCs w:val="32"/>
    </w:rPr>
  </w:style>
  <w:style w:type="paragraph" w:styleId="3">
    <w:name w:val="heading 3"/>
    <w:basedOn w:val="af9"/>
    <w:next w:val="af9"/>
    <w:link w:val="3Char"/>
    <w:qFormat/>
    <w:pPr>
      <w:keepNext/>
      <w:keepLines/>
      <w:spacing w:beforeLines="50" w:before="50" w:afterLines="50" w:after="50"/>
      <w:outlineLvl w:val="2"/>
    </w:pPr>
    <w:rPr>
      <w:rFonts w:eastAsia="黑体"/>
      <w:b/>
      <w:bCs/>
      <w:szCs w:val="32"/>
    </w:rPr>
  </w:style>
  <w:style w:type="paragraph" w:styleId="4">
    <w:name w:val="heading 4"/>
    <w:basedOn w:val="af9"/>
    <w:next w:val="af9"/>
    <w:qFormat/>
    <w:pPr>
      <w:keepNext/>
      <w:keepLines/>
      <w:spacing w:before="280" w:after="290" w:line="372"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2" w:lineRule="auto"/>
      <w:outlineLvl w:val="4"/>
    </w:pPr>
    <w:rPr>
      <w:b/>
      <w:bCs/>
      <w:sz w:val="28"/>
      <w:szCs w:val="28"/>
    </w:rPr>
  </w:style>
  <w:style w:type="paragraph" w:styleId="6">
    <w:name w:val="heading 6"/>
    <w:basedOn w:val="af9"/>
    <w:next w:val="af9"/>
    <w:qFormat/>
    <w:pPr>
      <w:keepNext/>
      <w:keepLines/>
      <w:spacing w:before="240" w:after="64" w:line="317" w:lineRule="auto"/>
      <w:outlineLvl w:val="5"/>
    </w:pPr>
    <w:rPr>
      <w:rFonts w:ascii="Arial" w:eastAsia="黑体" w:hAnsi="Arial"/>
      <w:b/>
      <w:bCs/>
      <w:sz w:val="24"/>
    </w:rPr>
  </w:style>
  <w:style w:type="paragraph" w:styleId="7">
    <w:name w:val="heading 7"/>
    <w:basedOn w:val="af9"/>
    <w:next w:val="af9"/>
    <w:qFormat/>
    <w:pPr>
      <w:keepNext/>
      <w:keepLines/>
      <w:spacing w:before="240" w:after="64" w:line="317" w:lineRule="auto"/>
      <w:outlineLvl w:val="6"/>
    </w:pPr>
    <w:rPr>
      <w:b/>
      <w:bCs/>
      <w:sz w:val="24"/>
    </w:rPr>
  </w:style>
  <w:style w:type="paragraph" w:styleId="8">
    <w:name w:val="heading 8"/>
    <w:basedOn w:val="af9"/>
    <w:next w:val="af9"/>
    <w:qFormat/>
    <w:pPr>
      <w:keepNext/>
      <w:keepLines/>
      <w:spacing w:before="240" w:after="64" w:line="317" w:lineRule="auto"/>
      <w:outlineLvl w:val="7"/>
    </w:pPr>
    <w:rPr>
      <w:rFonts w:ascii="Arial" w:eastAsia="黑体" w:hAnsi="Arial"/>
      <w:sz w:val="24"/>
    </w:rPr>
  </w:style>
  <w:style w:type="paragraph" w:styleId="9">
    <w:name w:val="heading 9"/>
    <w:basedOn w:val="af9"/>
    <w:next w:val="af9"/>
    <w:qFormat/>
    <w:pPr>
      <w:keepNext/>
      <w:keepLines/>
      <w:spacing w:before="240" w:after="64" w:line="317"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autoRedefine/>
    <w:qFormat/>
  </w:style>
  <w:style w:type="paragraph" w:styleId="60">
    <w:name w:val="toc 6"/>
    <w:basedOn w:val="50"/>
    <w:next w:val="af9"/>
    <w:autoRedefine/>
    <w:qFormat/>
  </w:style>
  <w:style w:type="paragraph" w:styleId="50">
    <w:name w:val="toc 5"/>
    <w:basedOn w:val="40"/>
    <w:next w:val="af9"/>
    <w:autoRedefine/>
    <w:qFormat/>
  </w:style>
  <w:style w:type="paragraph" w:styleId="40">
    <w:name w:val="toc 4"/>
    <w:basedOn w:val="30"/>
    <w:next w:val="af9"/>
    <w:autoRedefine/>
    <w:qFormat/>
  </w:style>
  <w:style w:type="paragraph" w:styleId="30">
    <w:name w:val="toc 3"/>
    <w:basedOn w:val="20"/>
    <w:next w:val="af9"/>
    <w:autoRedefine/>
    <w:uiPriority w:val="39"/>
    <w:qFormat/>
  </w:style>
  <w:style w:type="paragraph" w:styleId="20">
    <w:name w:val="toc 2"/>
    <w:basedOn w:val="10"/>
    <w:next w:val="af9"/>
    <w:autoRedefine/>
    <w:uiPriority w:val="39"/>
    <w:qFormat/>
  </w:style>
  <w:style w:type="paragraph" w:styleId="10">
    <w:name w:val="toc 1"/>
    <w:next w:val="af9"/>
    <w:autoRedefine/>
    <w:uiPriority w:val="39"/>
    <w:qFormat/>
    <w:pPr>
      <w:jc w:val="both"/>
    </w:pPr>
    <w:rPr>
      <w:rFonts w:ascii="宋体"/>
      <w:sz w:val="21"/>
    </w:rPr>
  </w:style>
  <w:style w:type="paragraph" w:styleId="afd">
    <w:name w:val="Normal Indent"/>
    <w:basedOn w:val="af9"/>
    <w:qFormat/>
    <w:pPr>
      <w:ind w:firstLine="420"/>
    </w:pPr>
    <w:rPr>
      <w:szCs w:val="20"/>
    </w:rPr>
  </w:style>
  <w:style w:type="paragraph" w:styleId="afe">
    <w:name w:val="caption"/>
    <w:basedOn w:val="af9"/>
    <w:next w:val="af9"/>
    <w:autoRedefine/>
    <w:qFormat/>
    <w:pPr>
      <w:spacing w:before="152" w:after="160"/>
    </w:pPr>
    <w:rPr>
      <w:rFonts w:ascii="Arial" w:eastAsia="黑体" w:hAnsi="Arial"/>
      <w:szCs w:val="20"/>
    </w:rPr>
  </w:style>
  <w:style w:type="paragraph" w:styleId="aff">
    <w:name w:val="annotation text"/>
    <w:basedOn w:val="af9"/>
    <w:link w:val="Char"/>
    <w:autoRedefine/>
    <w:qFormat/>
    <w:pPr>
      <w:jc w:val="left"/>
    </w:pPr>
  </w:style>
  <w:style w:type="paragraph" w:styleId="aff0">
    <w:name w:val="Body Text"/>
    <w:basedOn w:val="af9"/>
    <w:link w:val="Char0"/>
    <w:autoRedefine/>
    <w:qFormat/>
    <w:pPr>
      <w:spacing w:after="120"/>
    </w:pPr>
  </w:style>
  <w:style w:type="paragraph" w:styleId="aff1">
    <w:name w:val="Body Text Indent"/>
    <w:basedOn w:val="af9"/>
    <w:link w:val="Char1"/>
    <w:autoRedefine/>
    <w:qFormat/>
    <w:pPr>
      <w:spacing w:line="360" w:lineRule="exact"/>
      <w:ind w:left="420" w:firstLine="480"/>
    </w:pPr>
    <w:rPr>
      <w:sz w:val="24"/>
      <w:szCs w:val="20"/>
    </w:rPr>
  </w:style>
  <w:style w:type="paragraph" w:styleId="HTML">
    <w:name w:val="HTML Address"/>
    <w:basedOn w:val="af9"/>
    <w:autoRedefine/>
    <w:qFormat/>
    <w:rPr>
      <w:i/>
      <w:iCs/>
    </w:rPr>
  </w:style>
  <w:style w:type="paragraph" w:styleId="aff2">
    <w:name w:val="Plain Text"/>
    <w:basedOn w:val="af9"/>
    <w:link w:val="Char2"/>
    <w:uiPriority w:val="99"/>
    <w:qFormat/>
    <w:rPr>
      <w:rFonts w:ascii="宋体" w:hAnsi="Courier New"/>
      <w:szCs w:val="21"/>
    </w:rPr>
  </w:style>
  <w:style w:type="paragraph" w:styleId="80">
    <w:name w:val="toc 8"/>
    <w:basedOn w:val="70"/>
    <w:next w:val="af9"/>
    <w:autoRedefine/>
    <w:qFormat/>
  </w:style>
  <w:style w:type="paragraph" w:styleId="aff3">
    <w:name w:val="Date"/>
    <w:basedOn w:val="af9"/>
    <w:next w:val="af9"/>
    <w:link w:val="Char3"/>
    <w:autoRedefine/>
    <w:uiPriority w:val="99"/>
    <w:qFormat/>
    <w:pPr>
      <w:ind w:leftChars="2500" w:left="100"/>
    </w:pPr>
    <w:rPr>
      <w:sz w:val="24"/>
      <w:szCs w:val="20"/>
    </w:rPr>
  </w:style>
  <w:style w:type="paragraph" w:styleId="21">
    <w:name w:val="Body Text Indent 2"/>
    <w:basedOn w:val="af9"/>
    <w:link w:val="2Char0"/>
    <w:autoRedefine/>
    <w:qFormat/>
    <w:pPr>
      <w:spacing w:after="120" w:line="480" w:lineRule="auto"/>
      <w:ind w:leftChars="200" w:left="420"/>
    </w:pPr>
  </w:style>
  <w:style w:type="paragraph" w:styleId="aff4">
    <w:name w:val="endnote text"/>
    <w:basedOn w:val="af9"/>
    <w:autoRedefine/>
    <w:qFormat/>
    <w:pPr>
      <w:snapToGrid w:val="0"/>
    </w:pPr>
  </w:style>
  <w:style w:type="paragraph" w:styleId="aff5">
    <w:name w:val="Balloon Text"/>
    <w:basedOn w:val="af9"/>
    <w:link w:val="Char4"/>
    <w:qFormat/>
    <w:rPr>
      <w:sz w:val="18"/>
      <w:szCs w:val="18"/>
    </w:rPr>
  </w:style>
  <w:style w:type="paragraph" w:styleId="aff6">
    <w:name w:val="footer"/>
    <w:basedOn w:val="af9"/>
    <w:link w:val="Char5"/>
    <w:qFormat/>
    <w:pPr>
      <w:tabs>
        <w:tab w:val="center" w:pos="4153"/>
        <w:tab w:val="right" w:pos="8306"/>
      </w:tabs>
      <w:snapToGrid w:val="0"/>
      <w:ind w:rightChars="100" w:right="210"/>
      <w:jc w:val="right"/>
    </w:pPr>
    <w:rPr>
      <w:sz w:val="18"/>
      <w:szCs w:val="18"/>
    </w:rPr>
  </w:style>
  <w:style w:type="paragraph" w:styleId="aff7">
    <w:name w:val="header"/>
    <w:basedOn w:val="af9"/>
    <w:link w:val="Char6"/>
    <w:autoRedefine/>
    <w:qFormat/>
    <w:pPr>
      <w:pBdr>
        <w:bottom w:val="single" w:sz="6" w:space="1" w:color="auto"/>
      </w:pBdr>
      <w:tabs>
        <w:tab w:val="center" w:pos="4153"/>
        <w:tab w:val="right" w:pos="8306"/>
      </w:tabs>
      <w:snapToGrid w:val="0"/>
      <w:jc w:val="center"/>
    </w:pPr>
    <w:rPr>
      <w:sz w:val="18"/>
      <w:szCs w:val="18"/>
    </w:rPr>
  </w:style>
  <w:style w:type="paragraph" w:styleId="aff8">
    <w:name w:val="footnote text"/>
    <w:basedOn w:val="af9"/>
    <w:link w:val="Char7"/>
    <w:autoRedefine/>
    <w:qFormat/>
    <w:pPr>
      <w:snapToGrid w:val="0"/>
      <w:jc w:val="left"/>
    </w:pPr>
    <w:rPr>
      <w:sz w:val="18"/>
      <w:szCs w:val="18"/>
    </w:rPr>
  </w:style>
  <w:style w:type="paragraph" w:styleId="31">
    <w:name w:val="Body Text Indent 3"/>
    <w:basedOn w:val="af9"/>
    <w:qFormat/>
    <w:pPr>
      <w:widowControl/>
      <w:spacing w:line="360" w:lineRule="auto"/>
      <w:ind w:firstLine="420"/>
    </w:pPr>
    <w:rPr>
      <w:rFonts w:hAnsi="宋体"/>
      <w:sz w:val="18"/>
    </w:rPr>
  </w:style>
  <w:style w:type="paragraph" w:styleId="90">
    <w:name w:val="toc 9"/>
    <w:basedOn w:val="80"/>
    <w:next w:val="af9"/>
    <w:qFormat/>
  </w:style>
  <w:style w:type="paragraph" w:styleId="22">
    <w:name w:val="Body Text 2"/>
    <w:basedOn w:val="af9"/>
    <w:link w:val="2Char1"/>
    <w:autoRedefine/>
    <w:uiPriority w:val="99"/>
    <w:qFormat/>
    <w:pPr>
      <w:spacing w:after="120" w:line="480" w:lineRule="auto"/>
    </w:pPr>
  </w:style>
  <w:style w:type="paragraph" w:styleId="HTML0">
    <w:name w:val="HTML Preformatted"/>
    <w:basedOn w:val="af9"/>
    <w:qFormat/>
    <w:rPr>
      <w:rFonts w:ascii="Courier New" w:hAnsi="Courier New" w:cs="Courier New"/>
      <w:sz w:val="20"/>
      <w:szCs w:val="20"/>
    </w:rPr>
  </w:style>
  <w:style w:type="paragraph" w:styleId="aff9">
    <w:name w:val="Normal (Web)"/>
    <w:basedOn w:val="af9"/>
    <w:uiPriority w:val="99"/>
    <w:unhideWhenUsed/>
    <w:qFormat/>
    <w:pPr>
      <w:widowControl/>
      <w:spacing w:before="100" w:beforeAutospacing="1" w:after="100" w:afterAutospacing="1"/>
      <w:jc w:val="left"/>
    </w:pPr>
    <w:rPr>
      <w:rFonts w:ascii="宋体" w:hAnsi="宋体" w:cs="宋体"/>
      <w:kern w:val="0"/>
      <w:sz w:val="24"/>
    </w:rPr>
  </w:style>
  <w:style w:type="paragraph" w:styleId="affa">
    <w:name w:val="Title"/>
    <w:basedOn w:val="af9"/>
    <w:link w:val="Char8"/>
    <w:qFormat/>
    <w:pPr>
      <w:spacing w:before="240" w:after="60"/>
      <w:jc w:val="center"/>
      <w:outlineLvl w:val="0"/>
    </w:pPr>
    <w:rPr>
      <w:rFonts w:ascii="Arial" w:hAnsi="Arial" w:cs="Arial"/>
      <w:b/>
      <w:bCs/>
      <w:sz w:val="32"/>
      <w:szCs w:val="32"/>
    </w:rPr>
  </w:style>
  <w:style w:type="paragraph" w:styleId="affb">
    <w:name w:val="annotation subject"/>
    <w:basedOn w:val="aff"/>
    <w:next w:val="aff"/>
    <w:link w:val="Char9"/>
    <w:qFormat/>
    <w:rPr>
      <w:b/>
      <w:bCs/>
    </w:rPr>
  </w:style>
  <w:style w:type="paragraph" w:styleId="affc">
    <w:name w:val="Body Text First Indent"/>
    <w:basedOn w:val="aff0"/>
    <w:autoRedefine/>
    <w:qFormat/>
    <w:pPr>
      <w:ind w:firstLine="420"/>
    </w:pPr>
    <w:rPr>
      <w:szCs w:val="20"/>
    </w:rPr>
  </w:style>
  <w:style w:type="table" w:styleId="affd">
    <w:name w:val="Table Grid"/>
    <w:basedOn w:val="afb"/>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e">
    <w:name w:val="Strong"/>
    <w:uiPriority w:val="22"/>
    <w:qFormat/>
    <w:rPr>
      <w:b/>
      <w:bCs/>
    </w:rPr>
  </w:style>
  <w:style w:type="character" w:styleId="afff">
    <w:name w:val="page number"/>
    <w:qFormat/>
    <w:rPr>
      <w:rFonts w:ascii="Times New Roman" w:eastAsia="宋体" w:hAnsi="Times New Roman"/>
      <w:sz w:val="18"/>
    </w:rPr>
  </w:style>
  <w:style w:type="character" w:styleId="afff0">
    <w:name w:val="FollowedHyperlink"/>
    <w:unhideWhenUsed/>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a"/>
    <w:qFormat/>
  </w:style>
  <w:style w:type="character" w:styleId="HTML4">
    <w:name w:val="HTML Variable"/>
    <w:qFormat/>
    <w:rPr>
      <w:i/>
      <w:iCs/>
    </w:rPr>
  </w:style>
  <w:style w:type="character" w:styleId="afff1">
    <w:name w:val="Hyperlink"/>
    <w:basedOn w:val="afa"/>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afff2">
    <w:name w:val="annotation reference"/>
    <w:qFormat/>
    <w:rPr>
      <w:sz w:val="21"/>
      <w:szCs w:val="21"/>
    </w:rPr>
  </w:style>
  <w:style w:type="character" w:styleId="HTML6">
    <w:name w:val="HTML Cite"/>
    <w:qFormat/>
    <w:rPr>
      <w:i/>
      <w:iCs/>
    </w:rPr>
  </w:style>
  <w:style w:type="character" w:styleId="afff3">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4">
    <w:name w:val="段"/>
    <w:link w:val="Chara"/>
    <w:qFormat/>
    <w:pPr>
      <w:autoSpaceDE w:val="0"/>
      <w:autoSpaceDN w:val="0"/>
      <w:adjustRightInd w:val="0"/>
      <w:snapToGrid w:val="0"/>
      <w:ind w:firstLineChars="200" w:firstLine="400"/>
      <w:jc w:val="both"/>
    </w:pPr>
    <w:rPr>
      <w:rFonts w:ascii="宋体" w:hAnsi="宋体"/>
      <w:sz w:val="21"/>
    </w:rPr>
  </w:style>
  <w:style w:type="paragraph" w:customStyle="1" w:styleId="af4">
    <w:name w:val="二级条标题"/>
    <w:basedOn w:val="af3"/>
    <w:next w:val="afff4"/>
    <w:link w:val="Charb"/>
    <w:qFormat/>
    <w:pPr>
      <w:numPr>
        <w:ilvl w:val="3"/>
      </w:numPr>
      <w:outlineLvl w:val="3"/>
    </w:pPr>
    <w:rPr>
      <w:rFonts w:hAnsi="黑体"/>
      <w:color w:val="000000" w:themeColor="text1"/>
      <w:spacing w:val="-6"/>
    </w:rPr>
  </w:style>
  <w:style w:type="paragraph" w:customStyle="1" w:styleId="af3">
    <w:name w:val="一级条标题"/>
    <w:basedOn w:val="af2"/>
    <w:next w:val="afff4"/>
    <w:link w:val="Charc"/>
    <w:qFormat/>
    <w:pPr>
      <w:numPr>
        <w:ilvl w:val="2"/>
      </w:numPr>
      <w:spacing w:beforeLines="0" w:afterLines="0" w:line="300" w:lineRule="auto"/>
      <w:outlineLvl w:val="2"/>
    </w:pPr>
    <w:rPr>
      <w:color w:val="FF0000"/>
      <w:spacing w:val="-4"/>
      <w:szCs w:val="24"/>
    </w:rPr>
  </w:style>
  <w:style w:type="paragraph" w:customStyle="1" w:styleId="af2">
    <w:name w:val="章标题"/>
    <w:next w:val="afff4"/>
    <w:link w:val="Chard"/>
    <w:qFormat/>
    <w:pPr>
      <w:numPr>
        <w:ilvl w:val="1"/>
        <w:numId w:val="1"/>
      </w:numPr>
      <w:spacing w:beforeLines="50" w:afterLines="50"/>
      <w:jc w:val="both"/>
      <w:outlineLvl w:val="1"/>
    </w:pPr>
    <w:rPr>
      <w:rFonts w:ascii="黑体" w:eastAsia="黑体"/>
      <w:sz w:val="21"/>
    </w:rPr>
  </w:style>
  <w:style w:type="paragraph" w:customStyle="1" w:styleId="afff5">
    <w:name w:val="封面标准文稿类别"/>
    <w:qFormat/>
    <w:pPr>
      <w:spacing w:before="440" w:line="400" w:lineRule="exact"/>
      <w:jc w:val="center"/>
    </w:pPr>
    <w:rPr>
      <w:rFonts w:ascii="宋体"/>
      <w:sz w:val="24"/>
    </w:rPr>
  </w:style>
  <w:style w:type="paragraph" w:customStyle="1" w:styleId="23">
    <w:name w:val="封面标准号2"/>
    <w:basedOn w:val="11"/>
    <w:qFormat/>
    <w:pPr>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8">
    <w:name w:val="附录标识"/>
    <w:basedOn w:val="af1"/>
    <w:link w:val="Chare"/>
    <w:qFormat/>
    <w:pPr>
      <w:numPr>
        <w:numId w:val="2"/>
      </w:numPr>
      <w:tabs>
        <w:tab w:val="left" w:pos="6405"/>
      </w:tabs>
      <w:spacing w:after="200"/>
    </w:pPr>
    <w:rPr>
      <w:sz w:val="21"/>
    </w:rPr>
  </w:style>
  <w:style w:type="paragraph" w:customStyle="1" w:styleId="af1">
    <w:name w:val="前言、引言标题"/>
    <w:next w:val="af9"/>
    <w:qFormat/>
    <w:pPr>
      <w:numPr>
        <w:numId w:val="1"/>
      </w:numPr>
      <w:shd w:val="clear" w:color="FFFFFF" w:fill="FFFFFF"/>
      <w:spacing w:before="640" w:after="560"/>
      <w:jc w:val="center"/>
      <w:outlineLvl w:val="0"/>
    </w:pPr>
    <w:rPr>
      <w:rFonts w:ascii="黑体" w:eastAsia="黑体"/>
      <w:sz w:val="32"/>
    </w:rPr>
  </w:style>
  <w:style w:type="paragraph" w:customStyle="1" w:styleId="afff6">
    <w:name w:val="封面标准文稿编辑信息"/>
    <w:qFormat/>
    <w:pPr>
      <w:spacing w:before="180" w:line="180" w:lineRule="exact"/>
      <w:jc w:val="center"/>
    </w:pPr>
    <w:rPr>
      <w:rFonts w:ascii="宋体"/>
      <w:sz w:val="21"/>
    </w:rPr>
  </w:style>
  <w:style w:type="paragraph" w:customStyle="1" w:styleId="afff7">
    <w:name w:val="发布部门"/>
    <w:next w:val="afff4"/>
    <w:qFormat/>
    <w:pPr>
      <w:jc w:val="center"/>
    </w:pPr>
    <w:rPr>
      <w:rFonts w:ascii="宋体"/>
      <w:b/>
      <w:spacing w:val="20"/>
      <w:w w:val="135"/>
      <w:sz w:val="36"/>
    </w:rPr>
  </w:style>
  <w:style w:type="paragraph" w:customStyle="1" w:styleId="afff8">
    <w:name w:val="标准书脚_偶数页"/>
    <w:qFormat/>
    <w:pPr>
      <w:spacing w:before="120"/>
    </w:pPr>
    <w:rPr>
      <w:sz w:val="18"/>
    </w:rPr>
  </w:style>
  <w:style w:type="paragraph" w:customStyle="1" w:styleId="af6">
    <w:name w:val="四级条标题"/>
    <w:basedOn w:val="af5"/>
    <w:next w:val="afff4"/>
    <w:qFormat/>
    <w:pPr>
      <w:numPr>
        <w:ilvl w:val="5"/>
      </w:numPr>
      <w:outlineLvl w:val="5"/>
    </w:pPr>
  </w:style>
  <w:style w:type="paragraph" w:customStyle="1" w:styleId="af5">
    <w:name w:val="三级条标题"/>
    <w:basedOn w:val="af4"/>
    <w:next w:val="afff4"/>
    <w:link w:val="Charf"/>
    <w:qFormat/>
    <w:pPr>
      <w:numPr>
        <w:ilvl w:val="4"/>
      </w:numPr>
      <w:outlineLvl w:val="4"/>
    </w:pPr>
  </w:style>
  <w:style w:type="paragraph" w:customStyle="1" w:styleId="af8">
    <w:name w:val="列项——"/>
    <w:qFormat/>
    <w:pPr>
      <w:widowControl w:val="0"/>
      <w:numPr>
        <w:numId w:val="3"/>
      </w:numPr>
      <w:tabs>
        <w:tab w:val="clear" w:pos="1140"/>
        <w:tab w:val="left" w:pos="854"/>
      </w:tabs>
      <w:ind w:leftChars="200" w:left="200" w:hangingChars="200" w:hanging="200"/>
      <w:jc w:val="both"/>
    </w:pPr>
    <w:rPr>
      <w:rFonts w:ascii="宋体"/>
      <w:sz w:val="21"/>
    </w:rPr>
  </w:style>
  <w:style w:type="paragraph" w:customStyle="1" w:styleId="afff9">
    <w:name w:val="标准书脚_奇数页"/>
    <w:qFormat/>
    <w:pPr>
      <w:spacing w:before="120"/>
      <w:jc w:val="right"/>
    </w:pPr>
    <w:rPr>
      <w:sz w:val="18"/>
    </w:rPr>
  </w:style>
  <w:style w:type="paragraph" w:customStyle="1" w:styleId="afffa">
    <w:name w:val="参考文献、索引标题"/>
    <w:basedOn w:val="af1"/>
    <w:next w:val="af9"/>
    <w:qFormat/>
    <w:pPr>
      <w:numPr>
        <w:numId w:val="0"/>
      </w:numPr>
      <w:spacing w:after="200"/>
    </w:pPr>
    <w:rPr>
      <w:sz w:val="21"/>
    </w:rPr>
  </w:style>
  <w:style w:type="paragraph" w:customStyle="1" w:styleId="afffb">
    <w:name w:val="封面标准名称"/>
    <w:qFormat/>
    <w:pPr>
      <w:widowControl w:val="0"/>
      <w:spacing w:line="680" w:lineRule="exact"/>
      <w:jc w:val="center"/>
      <w:textAlignment w:val="center"/>
    </w:pPr>
    <w:rPr>
      <w:rFonts w:ascii="黑体" w:eastAsia="黑体"/>
      <w:sz w:val="52"/>
    </w:rPr>
  </w:style>
  <w:style w:type="paragraph" w:customStyle="1" w:styleId="afffc">
    <w:name w:val="实施日期"/>
    <w:basedOn w:val="afffd"/>
    <w:qFormat/>
    <w:pPr>
      <w:jc w:val="right"/>
    </w:pPr>
  </w:style>
  <w:style w:type="paragraph" w:customStyle="1" w:styleId="afffd">
    <w:name w:val="发布日期"/>
    <w:qFormat/>
    <w:rPr>
      <w:rFonts w:eastAsia="黑体"/>
      <w:sz w:val="28"/>
    </w:rPr>
  </w:style>
  <w:style w:type="paragraph" w:customStyle="1" w:styleId="afffe">
    <w:name w:val="条文脚注"/>
    <w:basedOn w:val="aff8"/>
    <w:qFormat/>
    <w:pPr>
      <w:ind w:leftChars="200" w:left="780" w:hangingChars="200" w:hanging="360"/>
      <w:jc w:val="both"/>
    </w:pPr>
    <w:rPr>
      <w:rFonts w:ascii="宋体"/>
    </w:rPr>
  </w:style>
  <w:style w:type="paragraph" w:customStyle="1" w:styleId="a9">
    <w:name w:val="附录章标题"/>
    <w:next w:val="afff4"/>
    <w:qFormat/>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
    <w:name w:val="注×："/>
    <w:qFormat/>
    <w:pPr>
      <w:widowControl w:val="0"/>
      <w:numPr>
        <w:numId w:val="4"/>
      </w:numPr>
      <w:tabs>
        <w:tab w:val="clear" w:pos="900"/>
        <w:tab w:val="left" w:pos="630"/>
      </w:tabs>
      <w:autoSpaceDE w:val="0"/>
      <w:autoSpaceDN w:val="0"/>
      <w:jc w:val="both"/>
    </w:pPr>
    <w:rPr>
      <w:rFonts w:ascii="宋体"/>
      <w:sz w:val="18"/>
    </w:rPr>
  </w:style>
  <w:style w:type="paragraph" w:customStyle="1" w:styleId="affff">
    <w:name w:val="封面标准英文名称"/>
    <w:qFormat/>
    <w:pPr>
      <w:widowControl w:val="0"/>
      <w:spacing w:before="370" w:line="400" w:lineRule="exact"/>
      <w:jc w:val="center"/>
    </w:pPr>
    <w:rPr>
      <w:sz w:val="28"/>
    </w:rPr>
  </w:style>
  <w:style w:type="paragraph" w:customStyle="1" w:styleId="affff0">
    <w:name w:val="图表脚注"/>
    <w:next w:val="afff4"/>
    <w:qFormat/>
    <w:pPr>
      <w:ind w:leftChars="200" w:left="300" w:hangingChars="100" w:hanging="100"/>
      <w:jc w:val="both"/>
    </w:pPr>
    <w:rPr>
      <w:rFonts w:ascii="宋体"/>
      <w:sz w:val="18"/>
    </w:rPr>
  </w:style>
  <w:style w:type="paragraph" w:customStyle="1" w:styleId="a6">
    <w:name w:val="五级无标题条"/>
    <w:basedOn w:val="af9"/>
    <w:qFormat/>
    <w:pPr>
      <w:numPr>
        <w:ilvl w:val="6"/>
        <w:numId w:val="5"/>
      </w:numPr>
    </w:pPr>
  </w:style>
  <w:style w:type="paragraph" w:customStyle="1" w:styleId="affff1">
    <w:name w:val="标准标志"/>
    <w:next w:val="af9"/>
    <w:qFormat/>
    <w:pPr>
      <w:shd w:val="solid" w:color="FFFFFF" w:fill="FFFFFF"/>
      <w:spacing w:line="0" w:lineRule="atLeast"/>
      <w:jc w:val="right"/>
    </w:pPr>
    <w:rPr>
      <w:b/>
      <w:w w:val="130"/>
      <w:sz w:val="96"/>
    </w:rPr>
  </w:style>
  <w:style w:type="paragraph" w:customStyle="1" w:styleId="Charf0">
    <w:name w:val="Char"/>
    <w:basedOn w:val="af9"/>
    <w:qFormat/>
    <w:pPr>
      <w:widowControl/>
      <w:spacing w:after="160" w:line="240" w:lineRule="exact"/>
      <w:jc w:val="left"/>
    </w:pPr>
  </w:style>
  <w:style w:type="paragraph" w:customStyle="1" w:styleId="affff2">
    <w:name w:val="无标题条"/>
    <w:next w:val="afff4"/>
    <w:qFormat/>
    <w:pPr>
      <w:jc w:val="both"/>
    </w:pPr>
    <w:rPr>
      <w:sz w:val="21"/>
    </w:rPr>
  </w:style>
  <w:style w:type="paragraph" w:customStyle="1" w:styleId="af7">
    <w:name w:val="五级条标题"/>
    <w:basedOn w:val="af6"/>
    <w:next w:val="afff4"/>
    <w:qFormat/>
    <w:pPr>
      <w:numPr>
        <w:ilvl w:val="6"/>
      </w:numPr>
      <w:outlineLvl w:val="6"/>
    </w:pPr>
  </w:style>
  <w:style w:type="paragraph" w:customStyle="1" w:styleId="Default">
    <w:name w:val="Default"/>
    <w:qFormat/>
    <w:pPr>
      <w:widowControl w:val="0"/>
      <w:autoSpaceDE w:val="0"/>
      <w:autoSpaceDN w:val="0"/>
      <w:adjustRightInd w:val="0"/>
    </w:pPr>
    <w:rPr>
      <w:rFonts w:ascii="宋体"/>
    </w:rPr>
  </w:style>
  <w:style w:type="paragraph" w:customStyle="1" w:styleId="affff3">
    <w:name w:val="标准书眉_奇数页"/>
    <w:next w:val="af9"/>
    <w:qFormat/>
    <w:pPr>
      <w:tabs>
        <w:tab w:val="center" w:pos="4154"/>
        <w:tab w:val="right" w:pos="8306"/>
      </w:tabs>
      <w:spacing w:after="120"/>
      <w:jc w:val="right"/>
    </w:pPr>
    <w:rPr>
      <w:sz w:val="21"/>
    </w:rPr>
  </w:style>
  <w:style w:type="paragraph" w:customStyle="1" w:styleId="af0">
    <w:name w:val="正文图标题"/>
    <w:next w:val="afff4"/>
    <w:qFormat/>
    <w:pPr>
      <w:numPr>
        <w:numId w:val="6"/>
      </w:numPr>
      <w:jc w:val="center"/>
    </w:pPr>
    <w:rPr>
      <w:rFonts w:ascii="黑体" w:eastAsia="黑体"/>
      <w:sz w:val="21"/>
    </w:rPr>
  </w:style>
  <w:style w:type="paragraph" w:customStyle="1" w:styleId="a1">
    <w:name w:val="注："/>
    <w:next w:val="afff4"/>
    <w:link w:val="Charf1"/>
    <w:qFormat/>
    <w:pPr>
      <w:widowControl w:val="0"/>
      <w:numPr>
        <w:numId w:val="7"/>
      </w:numPr>
      <w:autoSpaceDE w:val="0"/>
      <w:autoSpaceDN w:val="0"/>
      <w:jc w:val="both"/>
    </w:pPr>
    <w:rPr>
      <w:rFonts w:ascii="宋体"/>
      <w:sz w:val="18"/>
    </w:rPr>
  </w:style>
  <w:style w:type="paragraph" w:customStyle="1" w:styleId="affff4">
    <w:name w:val="字母编号列项（一级）"/>
    <w:qFormat/>
    <w:pPr>
      <w:ind w:leftChars="200" w:left="840" w:hangingChars="200" w:hanging="420"/>
      <w:jc w:val="both"/>
    </w:pPr>
    <w:rPr>
      <w:rFonts w:ascii="宋体"/>
      <w:sz w:val="21"/>
    </w:rPr>
  </w:style>
  <w:style w:type="paragraph" w:customStyle="1" w:styleId="affff5">
    <w:name w:val="标准书眉_偶数页"/>
    <w:basedOn w:val="affff3"/>
    <w:next w:val="af9"/>
    <w:qFormat/>
    <w:pPr>
      <w:jc w:val="left"/>
    </w:pPr>
  </w:style>
  <w:style w:type="paragraph" w:customStyle="1" w:styleId="a3">
    <w:name w:val="二级无标题条"/>
    <w:basedOn w:val="af9"/>
    <w:qFormat/>
    <w:pPr>
      <w:numPr>
        <w:ilvl w:val="3"/>
        <w:numId w:val="5"/>
      </w:numPr>
    </w:pPr>
  </w:style>
  <w:style w:type="paragraph" w:customStyle="1" w:styleId="affff6">
    <w:name w:val="附录表标题"/>
    <w:next w:val="afff4"/>
    <w:qFormat/>
    <w:pPr>
      <w:jc w:val="center"/>
      <w:textAlignment w:val="baseline"/>
    </w:pPr>
    <w:rPr>
      <w:rFonts w:ascii="黑体" w:eastAsia="黑体"/>
      <w:kern w:val="21"/>
      <w:sz w:val="21"/>
    </w:rPr>
  </w:style>
  <w:style w:type="paragraph" w:customStyle="1" w:styleId="affff7">
    <w:name w:val="文献分类号"/>
    <w:qFormat/>
    <w:pPr>
      <w:widowControl w:val="0"/>
      <w:textAlignment w:val="center"/>
    </w:pPr>
    <w:rPr>
      <w:rFonts w:eastAsia="黑体"/>
      <w:sz w:val="21"/>
    </w:rPr>
  </w:style>
  <w:style w:type="paragraph" w:customStyle="1" w:styleId="affff8">
    <w:name w:val="其他标准称谓"/>
    <w:qFormat/>
    <w:pPr>
      <w:spacing w:line="0" w:lineRule="atLeast"/>
      <w:jc w:val="distribute"/>
    </w:pPr>
    <w:rPr>
      <w:rFonts w:ascii="黑体" w:eastAsia="黑体" w:hAnsi="宋体"/>
      <w:sz w:val="52"/>
    </w:rPr>
  </w:style>
  <w:style w:type="paragraph" w:customStyle="1" w:styleId="affff9">
    <w:name w:val="封面正文"/>
    <w:qFormat/>
    <w:pPr>
      <w:jc w:val="both"/>
    </w:pPr>
  </w:style>
  <w:style w:type="paragraph" w:customStyle="1" w:styleId="ae">
    <w:name w:val="附录五级条标题"/>
    <w:basedOn w:val="ad"/>
    <w:next w:val="afff4"/>
    <w:qFormat/>
    <w:pPr>
      <w:numPr>
        <w:ilvl w:val="6"/>
      </w:numPr>
      <w:outlineLvl w:val="6"/>
    </w:pPr>
  </w:style>
  <w:style w:type="paragraph" w:customStyle="1" w:styleId="ad">
    <w:name w:val="附录四级条标题"/>
    <w:basedOn w:val="ac"/>
    <w:next w:val="afff4"/>
    <w:qFormat/>
    <w:pPr>
      <w:numPr>
        <w:ilvl w:val="5"/>
      </w:numPr>
      <w:outlineLvl w:val="5"/>
    </w:pPr>
  </w:style>
  <w:style w:type="paragraph" w:customStyle="1" w:styleId="ac">
    <w:name w:val="附录三级条标题"/>
    <w:basedOn w:val="ab"/>
    <w:next w:val="afff4"/>
    <w:qFormat/>
    <w:pPr>
      <w:numPr>
        <w:ilvl w:val="4"/>
      </w:numPr>
      <w:outlineLvl w:val="4"/>
    </w:pPr>
  </w:style>
  <w:style w:type="paragraph" w:customStyle="1" w:styleId="ab">
    <w:name w:val="附录二级条标题"/>
    <w:basedOn w:val="aa"/>
    <w:next w:val="afff4"/>
    <w:qFormat/>
    <w:pPr>
      <w:numPr>
        <w:ilvl w:val="3"/>
      </w:numPr>
      <w:outlineLvl w:val="3"/>
    </w:pPr>
  </w:style>
  <w:style w:type="paragraph" w:customStyle="1" w:styleId="aa">
    <w:name w:val="附录一级条标题"/>
    <w:basedOn w:val="a9"/>
    <w:next w:val="afff4"/>
    <w:qFormat/>
    <w:pPr>
      <w:numPr>
        <w:ilvl w:val="2"/>
      </w:numPr>
      <w:autoSpaceDN w:val="0"/>
      <w:spacing w:beforeLines="0" w:afterLines="0"/>
      <w:outlineLvl w:val="2"/>
    </w:pPr>
  </w:style>
  <w:style w:type="paragraph" w:customStyle="1" w:styleId="affffa">
    <w:name w:val="数字编号列项（二级）"/>
    <w:qFormat/>
    <w:pPr>
      <w:ind w:leftChars="400" w:left="1260" w:hangingChars="200" w:hanging="420"/>
      <w:jc w:val="both"/>
    </w:pPr>
    <w:rPr>
      <w:rFonts w:ascii="宋体"/>
      <w:sz w:val="21"/>
    </w:rPr>
  </w:style>
  <w:style w:type="paragraph" w:customStyle="1" w:styleId="affffb">
    <w:name w:val="附录图标题"/>
    <w:next w:val="afff4"/>
    <w:qFormat/>
    <w:pPr>
      <w:jc w:val="center"/>
    </w:pPr>
    <w:rPr>
      <w:rFonts w:ascii="黑体" w:eastAsia="黑体"/>
      <w:sz w:val="21"/>
    </w:rPr>
  </w:style>
  <w:style w:type="paragraph" w:customStyle="1" w:styleId="affffc">
    <w:name w:val="封面一致性程度标识"/>
    <w:qFormat/>
    <w:pPr>
      <w:spacing w:before="440" w:line="400" w:lineRule="exact"/>
      <w:jc w:val="center"/>
    </w:pPr>
    <w:rPr>
      <w:rFonts w:ascii="宋体"/>
      <w:sz w:val="28"/>
    </w:rPr>
  </w:style>
  <w:style w:type="paragraph" w:customStyle="1" w:styleId="af">
    <w:name w:val="正文表标题"/>
    <w:next w:val="afff4"/>
    <w:qFormat/>
    <w:pPr>
      <w:numPr>
        <w:numId w:val="8"/>
      </w:numPr>
      <w:jc w:val="center"/>
    </w:pPr>
    <w:rPr>
      <w:rFonts w:ascii="黑体" w:eastAsia="黑体"/>
      <w:sz w:val="21"/>
    </w:rPr>
  </w:style>
  <w:style w:type="paragraph" w:customStyle="1" w:styleId="a0">
    <w:name w:val="示例"/>
    <w:next w:val="afff4"/>
    <w:qFormat/>
    <w:pPr>
      <w:numPr>
        <w:numId w:val="9"/>
      </w:numPr>
      <w:tabs>
        <w:tab w:val="clear" w:pos="1120"/>
        <w:tab w:val="left" w:pos="816"/>
      </w:tabs>
      <w:ind w:firstLineChars="233" w:firstLine="419"/>
      <w:jc w:val="both"/>
    </w:pPr>
    <w:rPr>
      <w:rFonts w:ascii="宋体"/>
      <w:sz w:val="18"/>
    </w:rPr>
  </w:style>
  <w:style w:type="paragraph" w:customStyle="1" w:styleId="affffd">
    <w:name w:val="篇"/>
    <w:basedOn w:val="af9"/>
    <w:next w:val="af9"/>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9"/>
    <w:qFormat/>
    <w:pPr>
      <w:numPr>
        <w:ilvl w:val="5"/>
        <w:numId w:val="5"/>
      </w:numPr>
    </w:pPr>
  </w:style>
  <w:style w:type="paragraph" w:customStyle="1" w:styleId="affffe">
    <w:name w:val="目次、标准名称标题"/>
    <w:basedOn w:val="af1"/>
    <w:next w:val="afff4"/>
    <w:qFormat/>
    <w:pPr>
      <w:numPr>
        <w:numId w:val="0"/>
      </w:numPr>
      <w:spacing w:line="460" w:lineRule="exact"/>
    </w:pPr>
  </w:style>
  <w:style w:type="paragraph" w:customStyle="1" w:styleId="afffff">
    <w:name w:val="标准书眉一"/>
    <w:qFormat/>
    <w:pPr>
      <w:jc w:val="both"/>
    </w:pPr>
  </w:style>
  <w:style w:type="paragraph" w:customStyle="1" w:styleId="afffff0">
    <w:name w:val="标准称谓"/>
    <w:next w:val="af9"/>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1">
    <w:name w:val="其他发布部门"/>
    <w:basedOn w:val="afff7"/>
    <w:qFormat/>
    <w:pPr>
      <w:spacing w:line="0" w:lineRule="atLeast"/>
    </w:pPr>
    <w:rPr>
      <w:rFonts w:ascii="黑体" w:eastAsia="黑体"/>
      <w:b w:val="0"/>
    </w:rPr>
  </w:style>
  <w:style w:type="paragraph" w:customStyle="1" w:styleId="a7">
    <w:name w:val="列项·"/>
    <w:qFormat/>
    <w:pPr>
      <w:numPr>
        <w:numId w:val="10"/>
      </w:numPr>
      <w:tabs>
        <w:tab w:val="clear" w:pos="1140"/>
        <w:tab w:val="left" w:pos="840"/>
      </w:tabs>
      <w:ind w:leftChars="200" w:left="840" w:hangingChars="200" w:hanging="420"/>
      <w:jc w:val="both"/>
    </w:pPr>
    <w:rPr>
      <w:rFonts w:ascii="宋体"/>
      <w:sz w:val="21"/>
    </w:rPr>
  </w:style>
  <w:style w:type="paragraph" w:customStyle="1" w:styleId="a4">
    <w:name w:val="三级无标题条"/>
    <w:basedOn w:val="af9"/>
    <w:qFormat/>
    <w:pPr>
      <w:numPr>
        <w:ilvl w:val="4"/>
        <w:numId w:val="5"/>
      </w:numPr>
    </w:pPr>
  </w:style>
  <w:style w:type="paragraph" w:customStyle="1" w:styleId="afffff2">
    <w:name w:val="目次、索引正文"/>
    <w:qFormat/>
    <w:pPr>
      <w:spacing w:line="320" w:lineRule="exact"/>
      <w:jc w:val="both"/>
    </w:pPr>
    <w:rPr>
      <w:rFonts w:ascii="宋体"/>
      <w:sz w:val="21"/>
    </w:rPr>
  </w:style>
  <w:style w:type="paragraph" w:customStyle="1" w:styleId="a2">
    <w:name w:val="一级无标题条"/>
    <w:basedOn w:val="af9"/>
    <w:qFormat/>
    <w:pPr>
      <w:numPr>
        <w:ilvl w:val="2"/>
        <w:numId w:val="5"/>
      </w:numPr>
    </w:pPr>
  </w:style>
  <w:style w:type="paragraph" w:customStyle="1" w:styleId="afffff3">
    <w:name w:val="封面标准代替信息"/>
    <w:basedOn w:val="23"/>
    <w:qFormat/>
    <w:pPr>
      <w:spacing w:before="57"/>
    </w:pPr>
    <w:rPr>
      <w:rFonts w:ascii="宋体"/>
      <w:sz w:val="21"/>
    </w:rPr>
  </w:style>
  <w:style w:type="paragraph" w:customStyle="1" w:styleId="afffff4">
    <w:name w:val="标准正文"/>
    <w:basedOn w:val="af9"/>
    <w:qFormat/>
    <w:pPr>
      <w:adjustRightInd w:val="0"/>
      <w:spacing w:line="360" w:lineRule="atLeast"/>
      <w:ind w:firstLine="425"/>
      <w:jc w:val="left"/>
      <w:textAlignment w:val="baseline"/>
    </w:pPr>
    <w:rPr>
      <w:spacing w:val="-4"/>
      <w:kern w:val="21"/>
      <w:szCs w:val="20"/>
    </w:rPr>
  </w:style>
  <w:style w:type="paragraph" w:customStyle="1" w:styleId="font1">
    <w:name w:val="font1"/>
    <w:basedOn w:val="af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9"/>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9"/>
    <w:qFormat/>
    <w:pPr>
      <w:widowControl/>
      <w:spacing w:before="100" w:beforeAutospacing="1" w:after="100" w:afterAutospacing="1"/>
      <w:jc w:val="left"/>
    </w:pPr>
    <w:rPr>
      <w:b/>
      <w:bCs/>
      <w:kern w:val="0"/>
      <w:sz w:val="20"/>
      <w:szCs w:val="20"/>
    </w:rPr>
  </w:style>
  <w:style w:type="paragraph" w:customStyle="1" w:styleId="font7">
    <w:name w:val="font7"/>
    <w:basedOn w:val="af9"/>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9"/>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9"/>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9"/>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9"/>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9"/>
    <w:qFormat/>
    <w:pPr>
      <w:widowControl/>
      <w:spacing w:before="100" w:beforeAutospacing="1" w:after="100" w:afterAutospacing="1"/>
      <w:jc w:val="center"/>
      <w:textAlignment w:val="center"/>
    </w:pPr>
    <w:rPr>
      <w:b/>
      <w:bCs/>
      <w:kern w:val="0"/>
      <w:sz w:val="24"/>
    </w:rPr>
  </w:style>
  <w:style w:type="paragraph" w:customStyle="1" w:styleId="xl79">
    <w:name w:val="xl79"/>
    <w:basedOn w:val="af9"/>
    <w:qFormat/>
    <w:pPr>
      <w:widowControl/>
      <w:spacing w:before="100" w:beforeAutospacing="1" w:after="100" w:afterAutospacing="1"/>
      <w:jc w:val="center"/>
      <w:textAlignment w:val="center"/>
    </w:pPr>
    <w:rPr>
      <w:b/>
      <w:bCs/>
      <w:kern w:val="0"/>
      <w:sz w:val="24"/>
    </w:rPr>
  </w:style>
  <w:style w:type="paragraph" w:customStyle="1" w:styleId="xl80">
    <w:name w:val="xl80"/>
    <w:basedOn w:val="af9"/>
    <w:qFormat/>
    <w:pPr>
      <w:widowControl/>
      <w:spacing w:before="100" w:beforeAutospacing="1" w:after="100" w:afterAutospacing="1"/>
      <w:jc w:val="center"/>
      <w:textAlignment w:val="center"/>
    </w:pPr>
    <w:rPr>
      <w:b/>
      <w:bCs/>
      <w:kern w:val="0"/>
      <w:sz w:val="24"/>
    </w:rPr>
  </w:style>
  <w:style w:type="paragraph" w:customStyle="1" w:styleId="xl81">
    <w:name w:val="xl8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9"/>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9"/>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9"/>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9"/>
    <w:qFormat/>
    <w:pPr>
      <w:adjustRightInd w:val="0"/>
      <w:jc w:val="center"/>
    </w:pPr>
    <w:rPr>
      <w:rFonts w:eastAsia="黑体"/>
      <w:kern w:val="0"/>
      <w:sz w:val="52"/>
      <w:szCs w:val="20"/>
    </w:rPr>
  </w:style>
  <w:style w:type="paragraph" w:customStyle="1" w:styleId="24">
    <w:name w:val="样式2"/>
    <w:basedOn w:val="af5"/>
    <w:qFormat/>
    <w:pPr>
      <w:numPr>
        <w:numId w:val="0"/>
      </w:numPr>
      <w:spacing w:line="240" w:lineRule="auto"/>
      <w:ind w:left="454"/>
    </w:pPr>
    <w:rPr>
      <w:color w:val="auto"/>
      <w:spacing w:val="0"/>
      <w:szCs w:val="20"/>
    </w:rPr>
  </w:style>
  <w:style w:type="paragraph" w:customStyle="1" w:styleId="12">
    <w:name w:val="列出段落1"/>
    <w:basedOn w:val="af9"/>
    <w:uiPriority w:val="34"/>
    <w:qFormat/>
    <w:pPr>
      <w:ind w:firstLineChars="200" w:firstLine="420"/>
    </w:pPr>
    <w:rPr>
      <w:rFonts w:ascii="Calibri" w:hAnsi="Calibri"/>
      <w:szCs w:val="22"/>
    </w:rPr>
  </w:style>
  <w:style w:type="paragraph" w:customStyle="1" w:styleId="afffff5">
    <w:name w:val="图表脚注说明"/>
    <w:basedOn w:val="af9"/>
    <w:qFormat/>
    <w:rPr>
      <w:rFonts w:ascii="宋体"/>
      <w:sz w:val="18"/>
      <w:szCs w:val="18"/>
    </w:rPr>
  </w:style>
  <w:style w:type="paragraph" w:customStyle="1" w:styleId="Char11">
    <w:name w:val="Char11"/>
    <w:basedOn w:val="af9"/>
    <w:qFormat/>
    <w:pPr>
      <w:widowControl/>
      <w:spacing w:after="160" w:line="240" w:lineRule="exact"/>
      <w:jc w:val="left"/>
    </w:pPr>
  </w:style>
  <w:style w:type="paragraph" w:customStyle="1" w:styleId="ordinary-output">
    <w:name w:val="ordinary-output"/>
    <w:basedOn w:val="af9"/>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9"/>
    <w:uiPriority w:val="34"/>
    <w:qFormat/>
    <w:pPr>
      <w:ind w:firstLineChars="200" w:firstLine="420"/>
    </w:pPr>
    <w:rPr>
      <w:sz w:val="24"/>
    </w:rPr>
  </w:style>
  <w:style w:type="paragraph" w:customStyle="1" w:styleId="Char1CharCharChar">
    <w:name w:val="Char1 Char Char Char"/>
    <w:basedOn w:val="af9"/>
    <w:qFormat/>
    <w:rPr>
      <w:szCs w:val="20"/>
    </w:rPr>
  </w:style>
  <w:style w:type="paragraph" w:customStyle="1" w:styleId="Char10">
    <w:name w:val="Char1"/>
    <w:basedOn w:val="af9"/>
    <w:qFormat/>
    <w:pPr>
      <w:widowControl/>
      <w:spacing w:after="160" w:line="240" w:lineRule="exact"/>
      <w:jc w:val="left"/>
    </w:pPr>
  </w:style>
  <w:style w:type="paragraph" w:customStyle="1" w:styleId="DecimalAligned">
    <w:name w:val="Decimal Aligned"/>
    <w:basedOn w:val="af9"/>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9"/>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9"/>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9"/>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9"/>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9"/>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9"/>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9"/>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9"/>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9"/>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9"/>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9"/>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9"/>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9"/>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9"/>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9"/>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9"/>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9"/>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9"/>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9"/>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9"/>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9"/>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9"/>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9"/>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9"/>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9"/>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9"/>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9"/>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9"/>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9"/>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9"/>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9"/>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9"/>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9"/>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9"/>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9"/>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9"/>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9"/>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9"/>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9"/>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9"/>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9"/>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9"/>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9"/>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9"/>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9"/>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9"/>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9"/>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9"/>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9"/>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9"/>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9"/>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9"/>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9"/>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9"/>
    <w:qFormat/>
    <w:pPr>
      <w:widowControl/>
      <w:spacing w:after="160" w:line="240" w:lineRule="exact"/>
      <w:jc w:val="left"/>
    </w:pPr>
  </w:style>
  <w:style w:type="paragraph" w:customStyle="1" w:styleId="13">
    <w:name w:val="正文1"/>
    <w:qFormat/>
    <w:pPr>
      <w:jc w:val="both"/>
    </w:pPr>
    <w:rPr>
      <w:rFonts w:ascii="Calibri" w:hAnsi="Calibri" w:cs="Calibri"/>
      <w:kern w:val="2"/>
      <w:sz w:val="21"/>
      <w:szCs w:val="21"/>
    </w:rPr>
  </w:style>
  <w:style w:type="paragraph" w:customStyle="1" w:styleId="Char30">
    <w:name w:val="Char3"/>
    <w:basedOn w:val="af9"/>
    <w:qFormat/>
    <w:pPr>
      <w:widowControl/>
      <w:spacing w:after="160" w:line="240" w:lineRule="exact"/>
      <w:jc w:val="left"/>
    </w:pPr>
    <w:rPr>
      <w:rFonts w:ascii="Verdana" w:hAnsi="Verdana"/>
      <w:kern w:val="0"/>
      <w:sz w:val="20"/>
      <w:szCs w:val="20"/>
      <w:lang w:eastAsia="en-US"/>
    </w:rPr>
  </w:style>
  <w:style w:type="paragraph" w:customStyle="1" w:styleId="p0">
    <w:name w:val="p0"/>
    <w:basedOn w:val="af9"/>
    <w:autoRedefine/>
    <w:qFormat/>
    <w:pPr>
      <w:widowControl/>
      <w:jc w:val="left"/>
    </w:pPr>
    <w:rPr>
      <w:kern w:val="0"/>
      <w:szCs w:val="21"/>
    </w:rPr>
  </w:style>
  <w:style w:type="paragraph" w:customStyle="1" w:styleId="25">
    <w:name w:val="正文2"/>
    <w:qFormat/>
    <w:pPr>
      <w:jc w:val="both"/>
    </w:pPr>
    <w:rPr>
      <w:kern w:val="2"/>
      <w:sz w:val="21"/>
      <w:szCs w:val="21"/>
    </w:rPr>
  </w:style>
  <w:style w:type="paragraph" w:customStyle="1" w:styleId="Char40">
    <w:name w:val="Char4"/>
    <w:basedOn w:val="af9"/>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9"/>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9"/>
    <w:qFormat/>
    <w:pPr>
      <w:widowControl/>
      <w:spacing w:after="160" w:line="240" w:lineRule="exact"/>
      <w:jc w:val="left"/>
    </w:pPr>
    <w:rPr>
      <w:rFonts w:ascii="Verdana" w:hAnsi="Verdana"/>
      <w:kern w:val="0"/>
      <w:sz w:val="20"/>
      <w:szCs w:val="20"/>
      <w:lang w:eastAsia="en-US"/>
    </w:rPr>
  </w:style>
  <w:style w:type="character" w:customStyle="1" w:styleId="afffff6">
    <w:name w:val="发布"/>
    <w:qFormat/>
    <w:rPr>
      <w:rFonts w:ascii="黑体" w:eastAsia="黑体"/>
      <w:spacing w:val="22"/>
      <w:w w:val="100"/>
      <w:position w:val="3"/>
      <w:sz w:val="28"/>
    </w:rPr>
  </w:style>
  <w:style w:type="character" w:customStyle="1" w:styleId="afffff7">
    <w:name w:val="个人答复风格"/>
    <w:qFormat/>
    <w:rPr>
      <w:rFonts w:ascii="Arial" w:eastAsia="宋体" w:hAnsi="Arial" w:cs="Arial"/>
      <w:color w:val="auto"/>
      <w:sz w:val="20"/>
    </w:rPr>
  </w:style>
  <w:style w:type="character" w:customStyle="1" w:styleId="Chara">
    <w:name w:val="段 Char"/>
    <w:link w:val="afff4"/>
    <w:qFormat/>
    <w:rPr>
      <w:rFonts w:ascii="宋体" w:eastAsia="宋体" w:hAnsi="宋体"/>
      <w:sz w:val="21"/>
      <w:lang w:val="en-US" w:eastAsia="zh-CN" w:bidi="ar-SA"/>
    </w:rPr>
  </w:style>
  <w:style w:type="character" w:customStyle="1" w:styleId="afffff8">
    <w:name w:val="个人撰写风格"/>
    <w:qFormat/>
    <w:rPr>
      <w:rFonts w:ascii="Arial" w:eastAsia="宋体" w:hAnsi="Arial" w:cs="Arial"/>
      <w:color w:val="auto"/>
      <w:sz w:val="20"/>
    </w:rPr>
  </w:style>
  <w:style w:type="character" w:customStyle="1" w:styleId="Charb">
    <w:name w:val="二级条标题 Char"/>
    <w:link w:val="af4"/>
    <w:qFormat/>
    <w:rPr>
      <w:rFonts w:ascii="黑体" w:eastAsia="黑体" w:hAnsi="黑体" w:cs="Times New Roman"/>
      <w:color w:val="000000" w:themeColor="text1"/>
      <w:spacing w:val="-6"/>
      <w:sz w:val="21"/>
      <w:szCs w:val="24"/>
    </w:rPr>
  </w:style>
  <w:style w:type="character" w:customStyle="1" w:styleId="Chard">
    <w:name w:val="章标题 Char"/>
    <w:link w:val="af2"/>
    <w:qFormat/>
    <w:rPr>
      <w:rFonts w:ascii="黑体" w:eastAsia="黑体" w:hAnsi="Times New Roman" w:cs="Times New Roman"/>
      <w:sz w:val="21"/>
    </w:rPr>
  </w:style>
  <w:style w:type="character" w:customStyle="1" w:styleId="Charc">
    <w:name w:val="一级条标题 Char"/>
    <w:link w:val="af3"/>
    <w:qFormat/>
    <w:rPr>
      <w:rFonts w:ascii="黑体" w:eastAsia="黑体" w:hAnsi="Times New Roman" w:cs="Times New Roman"/>
      <w:color w:val="FF0000"/>
      <w:spacing w:val="-4"/>
      <w:sz w:val="21"/>
      <w:szCs w:val="24"/>
    </w:rPr>
  </w:style>
  <w:style w:type="character" w:customStyle="1" w:styleId="Char2">
    <w:name w:val="纯文本 Char"/>
    <w:link w:val="aff2"/>
    <w:uiPriority w:val="99"/>
    <w:qFormat/>
    <w:rPr>
      <w:rFonts w:ascii="宋体" w:hAnsi="Courier New" w:cs="Courier New"/>
      <w:kern w:val="2"/>
      <w:sz w:val="21"/>
      <w:szCs w:val="21"/>
    </w:rPr>
  </w:style>
  <w:style w:type="character" w:customStyle="1" w:styleId="Charf">
    <w:name w:val="三级条标题 Char"/>
    <w:link w:val="af5"/>
    <w:qFormat/>
    <w:rPr>
      <w:rFonts w:ascii="黑体" w:eastAsia="黑体"/>
      <w:color w:val="FF0000"/>
      <w:spacing w:val="-4"/>
      <w:sz w:val="21"/>
      <w:szCs w:val="24"/>
    </w:rPr>
  </w:style>
  <w:style w:type="character" w:customStyle="1" w:styleId="Char4">
    <w:name w:val="批注框文本 Char"/>
    <w:link w:val="aff5"/>
    <w:qFormat/>
    <w:rPr>
      <w:kern w:val="2"/>
      <w:sz w:val="18"/>
      <w:szCs w:val="18"/>
    </w:rPr>
  </w:style>
  <w:style w:type="character" w:customStyle="1" w:styleId="Char0">
    <w:name w:val="正文文本 Char"/>
    <w:link w:val="aff0"/>
    <w:qFormat/>
    <w:rPr>
      <w:kern w:val="2"/>
      <w:sz w:val="21"/>
      <w:szCs w:val="24"/>
    </w:rPr>
  </w:style>
  <w:style w:type="character" w:customStyle="1" w:styleId="Charf1">
    <w:name w:val="注： Char"/>
    <w:link w:val="a1"/>
    <w:qFormat/>
    <w:rPr>
      <w:rFonts w:ascii="宋体"/>
      <w:sz w:val="18"/>
    </w:rPr>
  </w:style>
  <w:style w:type="character" w:customStyle="1" w:styleId="Char5">
    <w:name w:val="页脚 Char"/>
    <w:link w:val="aff6"/>
    <w:uiPriority w:val="99"/>
    <w:qFormat/>
    <w:rPr>
      <w:kern w:val="2"/>
      <w:sz w:val="18"/>
      <w:szCs w:val="18"/>
    </w:rPr>
  </w:style>
  <w:style w:type="character" w:customStyle="1" w:styleId="Char1">
    <w:name w:val="正文文本缩进 Char"/>
    <w:link w:val="aff1"/>
    <w:qFormat/>
    <w:rPr>
      <w:kern w:val="2"/>
      <w:sz w:val="24"/>
    </w:rPr>
  </w:style>
  <w:style w:type="character" w:customStyle="1" w:styleId="afffff9">
    <w:name w:val="表中文字"/>
    <w:qFormat/>
    <w:rPr>
      <w:rFonts w:ascii="宋体" w:eastAsia="宋体"/>
      <w:sz w:val="18"/>
    </w:rPr>
  </w:style>
  <w:style w:type="character" w:customStyle="1" w:styleId="Char">
    <w:name w:val="批注文字 Char"/>
    <w:link w:val="aff"/>
    <w:qFormat/>
    <w:rPr>
      <w:kern w:val="2"/>
      <w:sz w:val="21"/>
      <w:szCs w:val="24"/>
    </w:rPr>
  </w:style>
  <w:style w:type="character" w:customStyle="1" w:styleId="Char9">
    <w:name w:val="批注主题 Char"/>
    <w:link w:val="affb"/>
    <w:qFormat/>
    <w:rPr>
      <w:b/>
      <w:bCs/>
      <w:kern w:val="2"/>
      <w:sz w:val="21"/>
      <w:szCs w:val="24"/>
    </w:rPr>
  </w:style>
  <w:style w:type="character" w:customStyle="1" w:styleId="Char6">
    <w:name w:val="页眉 Char"/>
    <w:link w:val="aff7"/>
    <w:uiPriority w:val="99"/>
    <w:qFormat/>
    <w:rPr>
      <w:kern w:val="2"/>
      <w:sz w:val="18"/>
      <w:szCs w:val="18"/>
    </w:rPr>
  </w:style>
  <w:style w:type="character" w:customStyle="1" w:styleId="2Char0">
    <w:name w:val="正文文本缩进 2 Char"/>
    <w:link w:val="21"/>
    <w:qFormat/>
    <w:rPr>
      <w:kern w:val="2"/>
      <w:sz w:val="21"/>
      <w:szCs w:val="24"/>
    </w:rPr>
  </w:style>
  <w:style w:type="character" w:customStyle="1" w:styleId="Char3">
    <w:name w:val="日期 Char"/>
    <w:link w:val="aff3"/>
    <w:uiPriority w:val="99"/>
    <w:qFormat/>
    <w:rPr>
      <w:kern w:val="2"/>
      <w:sz w:val="24"/>
    </w:rPr>
  </w:style>
  <w:style w:type="character" w:customStyle="1" w:styleId="14">
    <w:name w:val="访问过的超链接1"/>
    <w:uiPriority w:val="99"/>
    <w:qFormat/>
    <w:rPr>
      <w:color w:val="800080"/>
      <w:u w:val="single"/>
    </w:rPr>
  </w:style>
  <w:style w:type="character" w:customStyle="1" w:styleId="CharCharCharChar">
    <w:name w:val="段 Char Char Char Char"/>
    <w:qFormat/>
    <w:rPr>
      <w:rFonts w:ascii="宋体"/>
      <w:sz w:val="21"/>
      <w:lang w:val="en-US" w:eastAsia="zh-CN" w:bidi="ar-SA"/>
    </w:rPr>
  </w:style>
  <w:style w:type="character" w:customStyle="1" w:styleId="CharChar">
    <w:name w:val="章标题 Char Char"/>
    <w:qFormat/>
    <w:rPr>
      <w:rFonts w:ascii="黑体" w:eastAsia="黑体"/>
      <w:sz w:val="21"/>
      <w:lang w:val="en-US" w:eastAsia="zh-CN" w:bidi="ar-SA"/>
    </w:rPr>
  </w:style>
  <w:style w:type="character" w:customStyle="1" w:styleId="Char12">
    <w:name w:val="正文文本缩进 Char1"/>
    <w:qFormat/>
    <w:rPr>
      <w:kern w:val="2"/>
      <w:sz w:val="21"/>
      <w:szCs w:val="24"/>
    </w:rPr>
  </w:style>
  <w:style w:type="character" w:customStyle="1" w:styleId="font21">
    <w:name w:val="font21"/>
    <w:qFormat/>
    <w:rPr>
      <w:rFonts w:ascii="宋体" w:eastAsia="宋体" w:hAnsi="宋体" w:cs="宋体" w:hint="eastAsia"/>
      <w:b/>
      <w:color w:val="FF0000"/>
      <w:sz w:val="21"/>
      <w:szCs w:val="21"/>
      <w:u w:val="none"/>
    </w:rPr>
  </w:style>
  <w:style w:type="character" w:customStyle="1" w:styleId="font41">
    <w:name w:val="font41"/>
    <w:qFormat/>
    <w:rPr>
      <w:rFonts w:ascii="宋体" w:eastAsia="宋体" w:hAnsi="宋体" w:cs="宋体" w:hint="eastAsia"/>
      <w:b/>
      <w:color w:val="FF0000"/>
      <w:sz w:val="21"/>
      <w:szCs w:val="21"/>
      <w:u w:val="none"/>
    </w:rPr>
  </w:style>
  <w:style w:type="character" w:customStyle="1" w:styleId="font01">
    <w:name w:val="font01"/>
    <w:qFormat/>
    <w:rPr>
      <w:rFonts w:ascii="宋体" w:eastAsia="宋体" w:hAnsi="宋体" w:hint="eastAsia"/>
      <w:color w:val="000000"/>
      <w:sz w:val="24"/>
      <w:szCs w:val="24"/>
      <w:u w:val="none"/>
    </w:rPr>
  </w:style>
  <w:style w:type="character" w:customStyle="1" w:styleId="Chare">
    <w:name w:val="附录标识 Char"/>
    <w:link w:val="a8"/>
    <w:qFormat/>
    <w:rPr>
      <w:sz w:val="21"/>
    </w:rPr>
  </w:style>
  <w:style w:type="character" w:customStyle="1" w:styleId="font31">
    <w:name w:val="font31"/>
    <w:qFormat/>
    <w:rPr>
      <w:rFonts w:ascii="宋体" w:eastAsia="宋体" w:hAnsi="宋体" w:cs="宋体" w:hint="eastAsia"/>
      <w:color w:val="000000"/>
      <w:sz w:val="22"/>
      <w:szCs w:val="22"/>
      <w:u w:val="none"/>
    </w:rPr>
  </w:style>
  <w:style w:type="paragraph" w:styleId="afffffa">
    <w:name w:val="List Paragraph"/>
    <w:basedOn w:val="af9"/>
    <w:uiPriority w:val="34"/>
    <w:qFormat/>
    <w:pPr>
      <w:ind w:firstLineChars="200" w:firstLine="420"/>
    </w:pPr>
  </w:style>
  <w:style w:type="paragraph" w:customStyle="1" w:styleId="TableParagraph">
    <w:name w:val="Table Paragraph"/>
    <w:basedOn w:val="af9"/>
    <w:uiPriority w:val="1"/>
    <w:qFormat/>
    <w:pPr>
      <w:autoSpaceDE w:val="0"/>
      <w:autoSpaceDN w:val="0"/>
      <w:jc w:val="left"/>
    </w:pPr>
    <w:rPr>
      <w:rFonts w:ascii="仿宋" w:eastAsia="仿宋" w:hAnsi="仿宋" w:cs="仿宋"/>
      <w:kern w:val="0"/>
      <w:sz w:val="22"/>
      <w:szCs w:val="22"/>
      <w:lang w:val="zh-CN" w:bidi="zh-CN"/>
    </w:rPr>
  </w:style>
  <w:style w:type="character" w:customStyle="1" w:styleId="fontstyle01">
    <w:name w:val="fontstyle01"/>
    <w:basedOn w:val="afa"/>
    <w:autoRedefine/>
    <w:qFormat/>
    <w:rPr>
      <w:rFonts w:ascii="宋体" w:eastAsia="宋体" w:hAnsi="宋体" w:hint="eastAsia"/>
      <w:color w:val="000000"/>
      <w:sz w:val="24"/>
      <w:szCs w:val="24"/>
    </w:rPr>
  </w:style>
  <w:style w:type="character" w:customStyle="1" w:styleId="1Char">
    <w:name w:val="标题 1 Char"/>
    <w:basedOn w:val="afa"/>
    <w:link w:val="1"/>
    <w:autoRedefine/>
    <w:qFormat/>
    <w:rPr>
      <w:rFonts w:ascii="Times New Roman" w:eastAsia="黑体" w:hAnsi="Times New Roman" w:cs="Times New Roman"/>
      <w:b/>
      <w:bCs/>
      <w:kern w:val="44"/>
      <w:sz w:val="28"/>
      <w:szCs w:val="44"/>
    </w:rPr>
  </w:style>
  <w:style w:type="character" w:customStyle="1" w:styleId="2Char">
    <w:name w:val="标题 2 Char"/>
    <w:basedOn w:val="afa"/>
    <w:link w:val="2"/>
    <w:autoRedefine/>
    <w:qFormat/>
    <w:rPr>
      <w:rFonts w:ascii="Arial" w:eastAsia="黑体" w:hAnsi="Arial" w:cs="Times New Roman"/>
      <w:b/>
      <w:bCs/>
      <w:kern w:val="2"/>
      <w:sz w:val="24"/>
      <w:szCs w:val="32"/>
    </w:rPr>
  </w:style>
  <w:style w:type="character" w:customStyle="1" w:styleId="3Char">
    <w:name w:val="标题 3 Char"/>
    <w:basedOn w:val="afa"/>
    <w:link w:val="3"/>
    <w:autoRedefine/>
    <w:qFormat/>
    <w:rPr>
      <w:rFonts w:ascii="Times New Roman" w:eastAsia="黑体" w:hAnsi="Times New Roman" w:cs="Times New Roman"/>
      <w:b/>
      <w:bCs/>
      <w:kern w:val="2"/>
      <w:sz w:val="21"/>
      <w:szCs w:val="32"/>
    </w:rPr>
  </w:style>
  <w:style w:type="character" w:customStyle="1" w:styleId="Char8">
    <w:name w:val="标题 Char"/>
    <w:link w:val="affa"/>
    <w:autoRedefine/>
    <w:qFormat/>
    <w:rPr>
      <w:rFonts w:ascii="Arial" w:eastAsia="宋体" w:hAnsi="Arial" w:cs="Arial"/>
      <w:b/>
      <w:bCs/>
      <w:kern w:val="2"/>
      <w:sz w:val="32"/>
      <w:szCs w:val="32"/>
    </w:rPr>
  </w:style>
  <w:style w:type="character" w:customStyle="1" w:styleId="Char7">
    <w:name w:val="脚注文本 Char"/>
    <w:link w:val="aff8"/>
    <w:autoRedefine/>
    <w:qFormat/>
    <w:rPr>
      <w:rFonts w:ascii="Times New Roman" w:eastAsia="宋体" w:hAnsi="Times New Roman" w:cs="Times New Roman"/>
      <w:kern w:val="2"/>
      <w:sz w:val="18"/>
      <w:szCs w:val="18"/>
    </w:rPr>
  </w:style>
  <w:style w:type="character" w:customStyle="1" w:styleId="15">
    <w:name w:val="未处理的提及1"/>
    <w:autoRedefine/>
    <w:uiPriority w:val="99"/>
    <w:unhideWhenUsed/>
    <w:qFormat/>
    <w:rPr>
      <w:color w:val="605E5C"/>
      <w:shd w:val="clear" w:color="auto" w:fill="E1DFDD"/>
    </w:rPr>
  </w:style>
  <w:style w:type="character" w:customStyle="1" w:styleId="Char13">
    <w:name w:val="批注框文本 Char1"/>
    <w:basedOn w:val="afa"/>
    <w:autoRedefine/>
    <w:uiPriority w:val="99"/>
    <w:semiHidden/>
    <w:qFormat/>
    <w:rPr>
      <w:rFonts w:ascii="Calibri" w:eastAsia="宋体" w:hAnsi="Calibri" w:cs="Times New Roman"/>
      <w:sz w:val="18"/>
      <w:szCs w:val="18"/>
    </w:rPr>
  </w:style>
  <w:style w:type="character" w:customStyle="1" w:styleId="Char14">
    <w:name w:val="脚注文本 Char1"/>
    <w:basedOn w:val="afa"/>
    <w:autoRedefine/>
    <w:uiPriority w:val="99"/>
    <w:semiHidden/>
    <w:qFormat/>
    <w:rPr>
      <w:rFonts w:ascii="Calibri" w:eastAsia="宋体" w:hAnsi="Calibri" w:cs="Times New Roman"/>
      <w:sz w:val="18"/>
      <w:szCs w:val="18"/>
    </w:rPr>
  </w:style>
  <w:style w:type="character" w:customStyle="1" w:styleId="Char15">
    <w:name w:val="标题 Char1"/>
    <w:basedOn w:val="afa"/>
    <w:autoRedefine/>
    <w:uiPriority w:val="10"/>
    <w:qFormat/>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f9"/>
    <w:autoRedefine/>
    <w:qFormat/>
  </w:style>
  <w:style w:type="paragraph" w:customStyle="1" w:styleId="WPSOffice1">
    <w:name w:val="WPSOffice手动目录 1"/>
    <w:autoRedefine/>
    <w:qFormat/>
    <w:rPr>
      <w:rFonts w:ascii="Calibri" w:hAnsi="Calibri"/>
    </w:rPr>
  </w:style>
  <w:style w:type="paragraph" w:customStyle="1" w:styleId="16">
    <w:name w:val="1"/>
    <w:basedOn w:val="af9"/>
    <w:next w:val="aff1"/>
    <w:autoRedefine/>
    <w:qFormat/>
    <w:pPr>
      <w:adjustRightInd w:val="0"/>
      <w:spacing w:line="360" w:lineRule="auto"/>
      <w:ind w:firstLineChars="200" w:firstLine="480"/>
      <w:textAlignment w:val="baseline"/>
      <w:outlineLvl w:val="0"/>
    </w:pPr>
    <w:rPr>
      <w:kern w:val="0"/>
      <w:sz w:val="24"/>
      <w:szCs w:val="20"/>
    </w:rPr>
  </w:style>
  <w:style w:type="paragraph" w:customStyle="1" w:styleId="CharChar0">
    <w:name w:val="Char Char"/>
    <w:basedOn w:val="af9"/>
    <w:autoRedefine/>
    <w:qFormat/>
  </w:style>
  <w:style w:type="paragraph" w:customStyle="1" w:styleId="WPSOffice2">
    <w:name w:val="WPSOffice手动目录 2"/>
    <w:qFormat/>
    <w:pPr>
      <w:ind w:leftChars="200" w:left="200"/>
    </w:pPr>
    <w:rPr>
      <w:rFonts w:ascii="Calibri" w:hAnsi="Calibri"/>
    </w:rPr>
  </w:style>
  <w:style w:type="table" w:customStyle="1" w:styleId="17">
    <w:name w:val="网格型1"/>
    <w:basedOn w:val="afb"/>
    <w:autoRedefine/>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b">
    <w:name w:val="Placeholder Text"/>
    <w:basedOn w:val="afa"/>
    <w:autoRedefine/>
    <w:uiPriority w:val="99"/>
    <w:semiHidden/>
    <w:qFormat/>
    <w:rPr>
      <w:color w:val="808080"/>
    </w:rPr>
  </w:style>
  <w:style w:type="table" w:customStyle="1" w:styleId="TableNormal">
    <w:name w:val="Table Normal"/>
    <w:autoRedefine/>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f9"/>
    <w:autoRedefine/>
    <w:uiPriority w:val="1"/>
    <w:qFormat/>
    <w:pPr>
      <w:autoSpaceDE w:val="0"/>
      <w:autoSpaceDN w:val="0"/>
      <w:ind w:left="216"/>
      <w:jc w:val="left"/>
      <w:outlineLvl w:val="2"/>
    </w:pPr>
    <w:rPr>
      <w:rFonts w:eastAsia="Times New Roman"/>
      <w:kern w:val="0"/>
      <w:sz w:val="28"/>
      <w:szCs w:val="28"/>
      <w:lang w:eastAsia="en-US" w:bidi="en-US"/>
    </w:rPr>
  </w:style>
  <w:style w:type="character" w:customStyle="1" w:styleId="2Char1">
    <w:name w:val="正文文本 2 Char"/>
    <w:basedOn w:val="afa"/>
    <w:link w:val="22"/>
    <w:autoRedefine/>
    <w:uiPriority w:val="99"/>
    <w:qFormat/>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qFormat="1"/>
    <w:lsdException w:name="Body Text First Indent 2" w:semiHidden="1" w:unhideWhenUsed="1"/>
    <w:lsdException w:name="Note Heading" w:semiHidden="1" w:unhideWhenUsed="1"/>
    <w:lsdException w:name="Body Text 2" w:uiPriority="99"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Balloon Text" w:qFormat="1"/>
    <w:lsdException w:name="Table Grid" w:uiPriority="59" w:qFormat="1"/>
    <w:lsdException w:name="Table Theme" w:uiPriority="99"/>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qFormat/>
    <w:pPr>
      <w:widowControl w:val="0"/>
      <w:jc w:val="both"/>
    </w:pPr>
    <w:rPr>
      <w:kern w:val="2"/>
      <w:sz w:val="21"/>
      <w:szCs w:val="24"/>
    </w:rPr>
  </w:style>
  <w:style w:type="paragraph" w:styleId="1">
    <w:name w:val="heading 1"/>
    <w:basedOn w:val="af9"/>
    <w:next w:val="af9"/>
    <w:link w:val="1Char"/>
    <w:qFormat/>
    <w:pPr>
      <w:keepNext/>
      <w:keepLines/>
      <w:spacing w:beforeLines="50" w:before="50" w:afterLines="50" w:after="50"/>
      <w:outlineLvl w:val="0"/>
    </w:pPr>
    <w:rPr>
      <w:rFonts w:eastAsia="黑体"/>
      <w:b/>
      <w:bCs/>
      <w:kern w:val="44"/>
      <w:sz w:val="28"/>
      <w:szCs w:val="44"/>
    </w:rPr>
  </w:style>
  <w:style w:type="paragraph" w:styleId="2">
    <w:name w:val="heading 2"/>
    <w:basedOn w:val="af9"/>
    <w:next w:val="af9"/>
    <w:link w:val="2Char"/>
    <w:qFormat/>
    <w:pPr>
      <w:keepNext/>
      <w:keepLines/>
      <w:spacing w:beforeLines="50" w:before="50" w:afterLines="50" w:after="50" w:line="360" w:lineRule="auto"/>
      <w:outlineLvl w:val="1"/>
    </w:pPr>
    <w:rPr>
      <w:rFonts w:ascii="Arial" w:eastAsia="黑体" w:hAnsi="Arial"/>
      <w:b/>
      <w:bCs/>
      <w:sz w:val="24"/>
      <w:szCs w:val="32"/>
    </w:rPr>
  </w:style>
  <w:style w:type="paragraph" w:styleId="3">
    <w:name w:val="heading 3"/>
    <w:basedOn w:val="af9"/>
    <w:next w:val="af9"/>
    <w:link w:val="3Char"/>
    <w:qFormat/>
    <w:pPr>
      <w:keepNext/>
      <w:keepLines/>
      <w:spacing w:beforeLines="50" w:before="50" w:afterLines="50" w:after="50"/>
      <w:outlineLvl w:val="2"/>
    </w:pPr>
    <w:rPr>
      <w:rFonts w:eastAsia="黑体"/>
      <w:b/>
      <w:bCs/>
      <w:szCs w:val="32"/>
    </w:rPr>
  </w:style>
  <w:style w:type="paragraph" w:styleId="4">
    <w:name w:val="heading 4"/>
    <w:basedOn w:val="af9"/>
    <w:next w:val="af9"/>
    <w:qFormat/>
    <w:pPr>
      <w:keepNext/>
      <w:keepLines/>
      <w:spacing w:before="280" w:after="290" w:line="372"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2" w:lineRule="auto"/>
      <w:outlineLvl w:val="4"/>
    </w:pPr>
    <w:rPr>
      <w:b/>
      <w:bCs/>
      <w:sz w:val="28"/>
      <w:szCs w:val="28"/>
    </w:rPr>
  </w:style>
  <w:style w:type="paragraph" w:styleId="6">
    <w:name w:val="heading 6"/>
    <w:basedOn w:val="af9"/>
    <w:next w:val="af9"/>
    <w:qFormat/>
    <w:pPr>
      <w:keepNext/>
      <w:keepLines/>
      <w:spacing w:before="240" w:after="64" w:line="317" w:lineRule="auto"/>
      <w:outlineLvl w:val="5"/>
    </w:pPr>
    <w:rPr>
      <w:rFonts w:ascii="Arial" w:eastAsia="黑体" w:hAnsi="Arial"/>
      <w:b/>
      <w:bCs/>
      <w:sz w:val="24"/>
    </w:rPr>
  </w:style>
  <w:style w:type="paragraph" w:styleId="7">
    <w:name w:val="heading 7"/>
    <w:basedOn w:val="af9"/>
    <w:next w:val="af9"/>
    <w:qFormat/>
    <w:pPr>
      <w:keepNext/>
      <w:keepLines/>
      <w:spacing w:before="240" w:after="64" w:line="317" w:lineRule="auto"/>
      <w:outlineLvl w:val="6"/>
    </w:pPr>
    <w:rPr>
      <w:b/>
      <w:bCs/>
      <w:sz w:val="24"/>
    </w:rPr>
  </w:style>
  <w:style w:type="paragraph" w:styleId="8">
    <w:name w:val="heading 8"/>
    <w:basedOn w:val="af9"/>
    <w:next w:val="af9"/>
    <w:qFormat/>
    <w:pPr>
      <w:keepNext/>
      <w:keepLines/>
      <w:spacing w:before="240" w:after="64" w:line="317" w:lineRule="auto"/>
      <w:outlineLvl w:val="7"/>
    </w:pPr>
    <w:rPr>
      <w:rFonts w:ascii="Arial" w:eastAsia="黑体" w:hAnsi="Arial"/>
      <w:sz w:val="24"/>
    </w:rPr>
  </w:style>
  <w:style w:type="paragraph" w:styleId="9">
    <w:name w:val="heading 9"/>
    <w:basedOn w:val="af9"/>
    <w:next w:val="af9"/>
    <w:qFormat/>
    <w:pPr>
      <w:keepNext/>
      <w:keepLines/>
      <w:spacing w:before="240" w:after="64" w:line="317"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autoRedefine/>
    <w:qFormat/>
  </w:style>
  <w:style w:type="paragraph" w:styleId="60">
    <w:name w:val="toc 6"/>
    <w:basedOn w:val="50"/>
    <w:next w:val="af9"/>
    <w:autoRedefine/>
    <w:qFormat/>
  </w:style>
  <w:style w:type="paragraph" w:styleId="50">
    <w:name w:val="toc 5"/>
    <w:basedOn w:val="40"/>
    <w:next w:val="af9"/>
    <w:autoRedefine/>
    <w:qFormat/>
  </w:style>
  <w:style w:type="paragraph" w:styleId="40">
    <w:name w:val="toc 4"/>
    <w:basedOn w:val="30"/>
    <w:next w:val="af9"/>
    <w:autoRedefine/>
    <w:qFormat/>
  </w:style>
  <w:style w:type="paragraph" w:styleId="30">
    <w:name w:val="toc 3"/>
    <w:basedOn w:val="20"/>
    <w:next w:val="af9"/>
    <w:autoRedefine/>
    <w:uiPriority w:val="39"/>
    <w:qFormat/>
  </w:style>
  <w:style w:type="paragraph" w:styleId="20">
    <w:name w:val="toc 2"/>
    <w:basedOn w:val="10"/>
    <w:next w:val="af9"/>
    <w:autoRedefine/>
    <w:uiPriority w:val="39"/>
    <w:qFormat/>
  </w:style>
  <w:style w:type="paragraph" w:styleId="10">
    <w:name w:val="toc 1"/>
    <w:next w:val="af9"/>
    <w:autoRedefine/>
    <w:uiPriority w:val="39"/>
    <w:qFormat/>
    <w:pPr>
      <w:jc w:val="both"/>
    </w:pPr>
    <w:rPr>
      <w:rFonts w:ascii="宋体"/>
      <w:sz w:val="21"/>
    </w:rPr>
  </w:style>
  <w:style w:type="paragraph" w:styleId="afd">
    <w:name w:val="Normal Indent"/>
    <w:basedOn w:val="af9"/>
    <w:qFormat/>
    <w:pPr>
      <w:ind w:firstLine="420"/>
    </w:pPr>
    <w:rPr>
      <w:szCs w:val="20"/>
    </w:rPr>
  </w:style>
  <w:style w:type="paragraph" w:styleId="afe">
    <w:name w:val="caption"/>
    <w:basedOn w:val="af9"/>
    <w:next w:val="af9"/>
    <w:autoRedefine/>
    <w:qFormat/>
    <w:pPr>
      <w:spacing w:before="152" w:after="160"/>
    </w:pPr>
    <w:rPr>
      <w:rFonts w:ascii="Arial" w:eastAsia="黑体" w:hAnsi="Arial"/>
      <w:szCs w:val="20"/>
    </w:rPr>
  </w:style>
  <w:style w:type="paragraph" w:styleId="aff">
    <w:name w:val="annotation text"/>
    <w:basedOn w:val="af9"/>
    <w:link w:val="Char"/>
    <w:autoRedefine/>
    <w:qFormat/>
    <w:pPr>
      <w:jc w:val="left"/>
    </w:pPr>
  </w:style>
  <w:style w:type="paragraph" w:styleId="aff0">
    <w:name w:val="Body Text"/>
    <w:basedOn w:val="af9"/>
    <w:link w:val="Char0"/>
    <w:autoRedefine/>
    <w:qFormat/>
    <w:pPr>
      <w:spacing w:after="120"/>
    </w:pPr>
  </w:style>
  <w:style w:type="paragraph" w:styleId="aff1">
    <w:name w:val="Body Text Indent"/>
    <w:basedOn w:val="af9"/>
    <w:link w:val="Char1"/>
    <w:autoRedefine/>
    <w:qFormat/>
    <w:pPr>
      <w:spacing w:line="360" w:lineRule="exact"/>
      <w:ind w:left="420" w:firstLine="480"/>
    </w:pPr>
    <w:rPr>
      <w:sz w:val="24"/>
      <w:szCs w:val="20"/>
    </w:rPr>
  </w:style>
  <w:style w:type="paragraph" w:styleId="HTML">
    <w:name w:val="HTML Address"/>
    <w:basedOn w:val="af9"/>
    <w:autoRedefine/>
    <w:qFormat/>
    <w:rPr>
      <w:i/>
      <w:iCs/>
    </w:rPr>
  </w:style>
  <w:style w:type="paragraph" w:styleId="aff2">
    <w:name w:val="Plain Text"/>
    <w:basedOn w:val="af9"/>
    <w:link w:val="Char2"/>
    <w:uiPriority w:val="99"/>
    <w:qFormat/>
    <w:rPr>
      <w:rFonts w:ascii="宋体" w:hAnsi="Courier New"/>
      <w:szCs w:val="21"/>
    </w:rPr>
  </w:style>
  <w:style w:type="paragraph" w:styleId="80">
    <w:name w:val="toc 8"/>
    <w:basedOn w:val="70"/>
    <w:next w:val="af9"/>
    <w:autoRedefine/>
    <w:qFormat/>
  </w:style>
  <w:style w:type="paragraph" w:styleId="aff3">
    <w:name w:val="Date"/>
    <w:basedOn w:val="af9"/>
    <w:next w:val="af9"/>
    <w:link w:val="Char3"/>
    <w:autoRedefine/>
    <w:uiPriority w:val="99"/>
    <w:qFormat/>
    <w:pPr>
      <w:ind w:leftChars="2500" w:left="100"/>
    </w:pPr>
    <w:rPr>
      <w:sz w:val="24"/>
      <w:szCs w:val="20"/>
    </w:rPr>
  </w:style>
  <w:style w:type="paragraph" w:styleId="21">
    <w:name w:val="Body Text Indent 2"/>
    <w:basedOn w:val="af9"/>
    <w:link w:val="2Char0"/>
    <w:autoRedefine/>
    <w:qFormat/>
    <w:pPr>
      <w:spacing w:after="120" w:line="480" w:lineRule="auto"/>
      <w:ind w:leftChars="200" w:left="420"/>
    </w:pPr>
  </w:style>
  <w:style w:type="paragraph" w:styleId="aff4">
    <w:name w:val="endnote text"/>
    <w:basedOn w:val="af9"/>
    <w:autoRedefine/>
    <w:qFormat/>
    <w:pPr>
      <w:snapToGrid w:val="0"/>
    </w:pPr>
  </w:style>
  <w:style w:type="paragraph" w:styleId="aff5">
    <w:name w:val="Balloon Text"/>
    <w:basedOn w:val="af9"/>
    <w:link w:val="Char4"/>
    <w:qFormat/>
    <w:rPr>
      <w:sz w:val="18"/>
      <w:szCs w:val="18"/>
    </w:rPr>
  </w:style>
  <w:style w:type="paragraph" w:styleId="aff6">
    <w:name w:val="footer"/>
    <w:basedOn w:val="af9"/>
    <w:link w:val="Char5"/>
    <w:qFormat/>
    <w:pPr>
      <w:tabs>
        <w:tab w:val="center" w:pos="4153"/>
        <w:tab w:val="right" w:pos="8306"/>
      </w:tabs>
      <w:snapToGrid w:val="0"/>
      <w:ind w:rightChars="100" w:right="210"/>
      <w:jc w:val="right"/>
    </w:pPr>
    <w:rPr>
      <w:sz w:val="18"/>
      <w:szCs w:val="18"/>
    </w:rPr>
  </w:style>
  <w:style w:type="paragraph" w:styleId="aff7">
    <w:name w:val="header"/>
    <w:basedOn w:val="af9"/>
    <w:link w:val="Char6"/>
    <w:autoRedefine/>
    <w:qFormat/>
    <w:pPr>
      <w:pBdr>
        <w:bottom w:val="single" w:sz="6" w:space="1" w:color="auto"/>
      </w:pBdr>
      <w:tabs>
        <w:tab w:val="center" w:pos="4153"/>
        <w:tab w:val="right" w:pos="8306"/>
      </w:tabs>
      <w:snapToGrid w:val="0"/>
      <w:jc w:val="center"/>
    </w:pPr>
    <w:rPr>
      <w:sz w:val="18"/>
      <w:szCs w:val="18"/>
    </w:rPr>
  </w:style>
  <w:style w:type="paragraph" w:styleId="aff8">
    <w:name w:val="footnote text"/>
    <w:basedOn w:val="af9"/>
    <w:link w:val="Char7"/>
    <w:autoRedefine/>
    <w:qFormat/>
    <w:pPr>
      <w:snapToGrid w:val="0"/>
      <w:jc w:val="left"/>
    </w:pPr>
    <w:rPr>
      <w:sz w:val="18"/>
      <w:szCs w:val="18"/>
    </w:rPr>
  </w:style>
  <w:style w:type="paragraph" w:styleId="31">
    <w:name w:val="Body Text Indent 3"/>
    <w:basedOn w:val="af9"/>
    <w:qFormat/>
    <w:pPr>
      <w:widowControl/>
      <w:spacing w:line="360" w:lineRule="auto"/>
      <w:ind w:firstLine="420"/>
    </w:pPr>
    <w:rPr>
      <w:rFonts w:hAnsi="宋体"/>
      <w:sz w:val="18"/>
    </w:rPr>
  </w:style>
  <w:style w:type="paragraph" w:styleId="90">
    <w:name w:val="toc 9"/>
    <w:basedOn w:val="80"/>
    <w:next w:val="af9"/>
    <w:qFormat/>
  </w:style>
  <w:style w:type="paragraph" w:styleId="22">
    <w:name w:val="Body Text 2"/>
    <w:basedOn w:val="af9"/>
    <w:link w:val="2Char1"/>
    <w:autoRedefine/>
    <w:uiPriority w:val="99"/>
    <w:qFormat/>
    <w:pPr>
      <w:spacing w:after="120" w:line="480" w:lineRule="auto"/>
    </w:pPr>
  </w:style>
  <w:style w:type="paragraph" w:styleId="HTML0">
    <w:name w:val="HTML Preformatted"/>
    <w:basedOn w:val="af9"/>
    <w:qFormat/>
    <w:rPr>
      <w:rFonts w:ascii="Courier New" w:hAnsi="Courier New" w:cs="Courier New"/>
      <w:sz w:val="20"/>
      <w:szCs w:val="20"/>
    </w:rPr>
  </w:style>
  <w:style w:type="paragraph" w:styleId="aff9">
    <w:name w:val="Normal (Web)"/>
    <w:basedOn w:val="af9"/>
    <w:uiPriority w:val="99"/>
    <w:unhideWhenUsed/>
    <w:qFormat/>
    <w:pPr>
      <w:widowControl/>
      <w:spacing w:before="100" w:beforeAutospacing="1" w:after="100" w:afterAutospacing="1"/>
      <w:jc w:val="left"/>
    </w:pPr>
    <w:rPr>
      <w:rFonts w:ascii="宋体" w:hAnsi="宋体" w:cs="宋体"/>
      <w:kern w:val="0"/>
      <w:sz w:val="24"/>
    </w:rPr>
  </w:style>
  <w:style w:type="paragraph" w:styleId="affa">
    <w:name w:val="Title"/>
    <w:basedOn w:val="af9"/>
    <w:link w:val="Char8"/>
    <w:qFormat/>
    <w:pPr>
      <w:spacing w:before="240" w:after="60"/>
      <w:jc w:val="center"/>
      <w:outlineLvl w:val="0"/>
    </w:pPr>
    <w:rPr>
      <w:rFonts w:ascii="Arial" w:hAnsi="Arial" w:cs="Arial"/>
      <w:b/>
      <w:bCs/>
      <w:sz w:val="32"/>
      <w:szCs w:val="32"/>
    </w:rPr>
  </w:style>
  <w:style w:type="paragraph" w:styleId="affb">
    <w:name w:val="annotation subject"/>
    <w:basedOn w:val="aff"/>
    <w:next w:val="aff"/>
    <w:link w:val="Char9"/>
    <w:qFormat/>
    <w:rPr>
      <w:b/>
      <w:bCs/>
    </w:rPr>
  </w:style>
  <w:style w:type="paragraph" w:styleId="affc">
    <w:name w:val="Body Text First Indent"/>
    <w:basedOn w:val="aff0"/>
    <w:autoRedefine/>
    <w:qFormat/>
    <w:pPr>
      <w:ind w:firstLine="420"/>
    </w:pPr>
    <w:rPr>
      <w:szCs w:val="20"/>
    </w:rPr>
  </w:style>
  <w:style w:type="table" w:styleId="affd">
    <w:name w:val="Table Grid"/>
    <w:basedOn w:val="afb"/>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e">
    <w:name w:val="Strong"/>
    <w:uiPriority w:val="22"/>
    <w:qFormat/>
    <w:rPr>
      <w:b/>
      <w:bCs/>
    </w:rPr>
  </w:style>
  <w:style w:type="character" w:styleId="afff">
    <w:name w:val="page number"/>
    <w:qFormat/>
    <w:rPr>
      <w:rFonts w:ascii="Times New Roman" w:eastAsia="宋体" w:hAnsi="Times New Roman"/>
      <w:sz w:val="18"/>
    </w:rPr>
  </w:style>
  <w:style w:type="character" w:styleId="afff0">
    <w:name w:val="FollowedHyperlink"/>
    <w:unhideWhenUsed/>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a"/>
    <w:qFormat/>
  </w:style>
  <w:style w:type="character" w:styleId="HTML4">
    <w:name w:val="HTML Variable"/>
    <w:qFormat/>
    <w:rPr>
      <w:i/>
      <w:iCs/>
    </w:rPr>
  </w:style>
  <w:style w:type="character" w:styleId="afff1">
    <w:name w:val="Hyperlink"/>
    <w:basedOn w:val="afa"/>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afff2">
    <w:name w:val="annotation reference"/>
    <w:qFormat/>
    <w:rPr>
      <w:sz w:val="21"/>
      <w:szCs w:val="21"/>
    </w:rPr>
  </w:style>
  <w:style w:type="character" w:styleId="HTML6">
    <w:name w:val="HTML Cite"/>
    <w:qFormat/>
    <w:rPr>
      <w:i/>
      <w:iCs/>
    </w:rPr>
  </w:style>
  <w:style w:type="character" w:styleId="afff3">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4">
    <w:name w:val="段"/>
    <w:link w:val="Chara"/>
    <w:qFormat/>
    <w:pPr>
      <w:autoSpaceDE w:val="0"/>
      <w:autoSpaceDN w:val="0"/>
      <w:adjustRightInd w:val="0"/>
      <w:snapToGrid w:val="0"/>
      <w:ind w:firstLineChars="200" w:firstLine="400"/>
      <w:jc w:val="both"/>
    </w:pPr>
    <w:rPr>
      <w:rFonts w:ascii="宋体" w:hAnsi="宋体"/>
      <w:sz w:val="21"/>
    </w:rPr>
  </w:style>
  <w:style w:type="paragraph" w:customStyle="1" w:styleId="af4">
    <w:name w:val="二级条标题"/>
    <w:basedOn w:val="af3"/>
    <w:next w:val="afff4"/>
    <w:link w:val="Charb"/>
    <w:qFormat/>
    <w:pPr>
      <w:numPr>
        <w:ilvl w:val="3"/>
      </w:numPr>
      <w:outlineLvl w:val="3"/>
    </w:pPr>
    <w:rPr>
      <w:rFonts w:hAnsi="黑体"/>
      <w:color w:val="000000" w:themeColor="text1"/>
      <w:spacing w:val="-6"/>
    </w:rPr>
  </w:style>
  <w:style w:type="paragraph" w:customStyle="1" w:styleId="af3">
    <w:name w:val="一级条标题"/>
    <w:basedOn w:val="af2"/>
    <w:next w:val="afff4"/>
    <w:link w:val="Charc"/>
    <w:qFormat/>
    <w:pPr>
      <w:numPr>
        <w:ilvl w:val="2"/>
      </w:numPr>
      <w:spacing w:beforeLines="0" w:afterLines="0" w:line="300" w:lineRule="auto"/>
      <w:outlineLvl w:val="2"/>
    </w:pPr>
    <w:rPr>
      <w:color w:val="FF0000"/>
      <w:spacing w:val="-4"/>
      <w:szCs w:val="24"/>
    </w:rPr>
  </w:style>
  <w:style w:type="paragraph" w:customStyle="1" w:styleId="af2">
    <w:name w:val="章标题"/>
    <w:next w:val="afff4"/>
    <w:link w:val="Chard"/>
    <w:qFormat/>
    <w:pPr>
      <w:numPr>
        <w:ilvl w:val="1"/>
        <w:numId w:val="1"/>
      </w:numPr>
      <w:spacing w:beforeLines="50" w:afterLines="50"/>
      <w:jc w:val="both"/>
      <w:outlineLvl w:val="1"/>
    </w:pPr>
    <w:rPr>
      <w:rFonts w:ascii="黑体" w:eastAsia="黑体"/>
      <w:sz w:val="21"/>
    </w:rPr>
  </w:style>
  <w:style w:type="paragraph" w:customStyle="1" w:styleId="afff5">
    <w:name w:val="封面标准文稿类别"/>
    <w:qFormat/>
    <w:pPr>
      <w:spacing w:before="440" w:line="400" w:lineRule="exact"/>
      <w:jc w:val="center"/>
    </w:pPr>
    <w:rPr>
      <w:rFonts w:ascii="宋体"/>
      <w:sz w:val="24"/>
    </w:rPr>
  </w:style>
  <w:style w:type="paragraph" w:customStyle="1" w:styleId="23">
    <w:name w:val="封面标准号2"/>
    <w:basedOn w:val="11"/>
    <w:qFormat/>
    <w:pPr>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8">
    <w:name w:val="附录标识"/>
    <w:basedOn w:val="af1"/>
    <w:link w:val="Chare"/>
    <w:qFormat/>
    <w:pPr>
      <w:numPr>
        <w:numId w:val="2"/>
      </w:numPr>
      <w:tabs>
        <w:tab w:val="left" w:pos="6405"/>
      </w:tabs>
      <w:spacing w:after="200"/>
    </w:pPr>
    <w:rPr>
      <w:sz w:val="21"/>
    </w:rPr>
  </w:style>
  <w:style w:type="paragraph" w:customStyle="1" w:styleId="af1">
    <w:name w:val="前言、引言标题"/>
    <w:next w:val="af9"/>
    <w:qFormat/>
    <w:pPr>
      <w:numPr>
        <w:numId w:val="1"/>
      </w:numPr>
      <w:shd w:val="clear" w:color="FFFFFF" w:fill="FFFFFF"/>
      <w:spacing w:before="640" w:after="560"/>
      <w:jc w:val="center"/>
      <w:outlineLvl w:val="0"/>
    </w:pPr>
    <w:rPr>
      <w:rFonts w:ascii="黑体" w:eastAsia="黑体"/>
      <w:sz w:val="32"/>
    </w:rPr>
  </w:style>
  <w:style w:type="paragraph" w:customStyle="1" w:styleId="afff6">
    <w:name w:val="封面标准文稿编辑信息"/>
    <w:qFormat/>
    <w:pPr>
      <w:spacing w:before="180" w:line="180" w:lineRule="exact"/>
      <w:jc w:val="center"/>
    </w:pPr>
    <w:rPr>
      <w:rFonts w:ascii="宋体"/>
      <w:sz w:val="21"/>
    </w:rPr>
  </w:style>
  <w:style w:type="paragraph" w:customStyle="1" w:styleId="afff7">
    <w:name w:val="发布部门"/>
    <w:next w:val="afff4"/>
    <w:qFormat/>
    <w:pPr>
      <w:jc w:val="center"/>
    </w:pPr>
    <w:rPr>
      <w:rFonts w:ascii="宋体"/>
      <w:b/>
      <w:spacing w:val="20"/>
      <w:w w:val="135"/>
      <w:sz w:val="36"/>
    </w:rPr>
  </w:style>
  <w:style w:type="paragraph" w:customStyle="1" w:styleId="afff8">
    <w:name w:val="标准书脚_偶数页"/>
    <w:qFormat/>
    <w:pPr>
      <w:spacing w:before="120"/>
    </w:pPr>
    <w:rPr>
      <w:sz w:val="18"/>
    </w:rPr>
  </w:style>
  <w:style w:type="paragraph" w:customStyle="1" w:styleId="af6">
    <w:name w:val="四级条标题"/>
    <w:basedOn w:val="af5"/>
    <w:next w:val="afff4"/>
    <w:qFormat/>
    <w:pPr>
      <w:numPr>
        <w:ilvl w:val="5"/>
      </w:numPr>
      <w:outlineLvl w:val="5"/>
    </w:pPr>
  </w:style>
  <w:style w:type="paragraph" w:customStyle="1" w:styleId="af5">
    <w:name w:val="三级条标题"/>
    <w:basedOn w:val="af4"/>
    <w:next w:val="afff4"/>
    <w:link w:val="Charf"/>
    <w:qFormat/>
    <w:pPr>
      <w:numPr>
        <w:ilvl w:val="4"/>
      </w:numPr>
      <w:outlineLvl w:val="4"/>
    </w:pPr>
  </w:style>
  <w:style w:type="paragraph" w:customStyle="1" w:styleId="af8">
    <w:name w:val="列项——"/>
    <w:qFormat/>
    <w:pPr>
      <w:widowControl w:val="0"/>
      <w:numPr>
        <w:numId w:val="3"/>
      </w:numPr>
      <w:tabs>
        <w:tab w:val="clear" w:pos="1140"/>
        <w:tab w:val="left" w:pos="854"/>
      </w:tabs>
      <w:ind w:leftChars="200" w:left="200" w:hangingChars="200" w:hanging="200"/>
      <w:jc w:val="both"/>
    </w:pPr>
    <w:rPr>
      <w:rFonts w:ascii="宋体"/>
      <w:sz w:val="21"/>
    </w:rPr>
  </w:style>
  <w:style w:type="paragraph" w:customStyle="1" w:styleId="afff9">
    <w:name w:val="标准书脚_奇数页"/>
    <w:qFormat/>
    <w:pPr>
      <w:spacing w:before="120"/>
      <w:jc w:val="right"/>
    </w:pPr>
    <w:rPr>
      <w:sz w:val="18"/>
    </w:rPr>
  </w:style>
  <w:style w:type="paragraph" w:customStyle="1" w:styleId="afffa">
    <w:name w:val="参考文献、索引标题"/>
    <w:basedOn w:val="af1"/>
    <w:next w:val="af9"/>
    <w:qFormat/>
    <w:pPr>
      <w:numPr>
        <w:numId w:val="0"/>
      </w:numPr>
      <w:spacing w:after="200"/>
    </w:pPr>
    <w:rPr>
      <w:sz w:val="21"/>
    </w:rPr>
  </w:style>
  <w:style w:type="paragraph" w:customStyle="1" w:styleId="afffb">
    <w:name w:val="封面标准名称"/>
    <w:qFormat/>
    <w:pPr>
      <w:widowControl w:val="0"/>
      <w:spacing w:line="680" w:lineRule="exact"/>
      <w:jc w:val="center"/>
      <w:textAlignment w:val="center"/>
    </w:pPr>
    <w:rPr>
      <w:rFonts w:ascii="黑体" w:eastAsia="黑体"/>
      <w:sz w:val="52"/>
    </w:rPr>
  </w:style>
  <w:style w:type="paragraph" w:customStyle="1" w:styleId="afffc">
    <w:name w:val="实施日期"/>
    <w:basedOn w:val="afffd"/>
    <w:qFormat/>
    <w:pPr>
      <w:jc w:val="right"/>
    </w:pPr>
  </w:style>
  <w:style w:type="paragraph" w:customStyle="1" w:styleId="afffd">
    <w:name w:val="发布日期"/>
    <w:qFormat/>
    <w:rPr>
      <w:rFonts w:eastAsia="黑体"/>
      <w:sz w:val="28"/>
    </w:rPr>
  </w:style>
  <w:style w:type="paragraph" w:customStyle="1" w:styleId="afffe">
    <w:name w:val="条文脚注"/>
    <w:basedOn w:val="aff8"/>
    <w:qFormat/>
    <w:pPr>
      <w:ind w:leftChars="200" w:left="780" w:hangingChars="200" w:hanging="360"/>
      <w:jc w:val="both"/>
    </w:pPr>
    <w:rPr>
      <w:rFonts w:ascii="宋体"/>
    </w:rPr>
  </w:style>
  <w:style w:type="paragraph" w:customStyle="1" w:styleId="a9">
    <w:name w:val="附录章标题"/>
    <w:next w:val="afff4"/>
    <w:qFormat/>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
    <w:name w:val="注×："/>
    <w:qFormat/>
    <w:pPr>
      <w:widowControl w:val="0"/>
      <w:numPr>
        <w:numId w:val="4"/>
      </w:numPr>
      <w:tabs>
        <w:tab w:val="clear" w:pos="900"/>
        <w:tab w:val="left" w:pos="630"/>
      </w:tabs>
      <w:autoSpaceDE w:val="0"/>
      <w:autoSpaceDN w:val="0"/>
      <w:jc w:val="both"/>
    </w:pPr>
    <w:rPr>
      <w:rFonts w:ascii="宋体"/>
      <w:sz w:val="18"/>
    </w:rPr>
  </w:style>
  <w:style w:type="paragraph" w:customStyle="1" w:styleId="affff">
    <w:name w:val="封面标准英文名称"/>
    <w:qFormat/>
    <w:pPr>
      <w:widowControl w:val="0"/>
      <w:spacing w:before="370" w:line="400" w:lineRule="exact"/>
      <w:jc w:val="center"/>
    </w:pPr>
    <w:rPr>
      <w:sz w:val="28"/>
    </w:rPr>
  </w:style>
  <w:style w:type="paragraph" w:customStyle="1" w:styleId="affff0">
    <w:name w:val="图表脚注"/>
    <w:next w:val="afff4"/>
    <w:qFormat/>
    <w:pPr>
      <w:ind w:leftChars="200" w:left="300" w:hangingChars="100" w:hanging="100"/>
      <w:jc w:val="both"/>
    </w:pPr>
    <w:rPr>
      <w:rFonts w:ascii="宋体"/>
      <w:sz w:val="18"/>
    </w:rPr>
  </w:style>
  <w:style w:type="paragraph" w:customStyle="1" w:styleId="a6">
    <w:name w:val="五级无标题条"/>
    <w:basedOn w:val="af9"/>
    <w:qFormat/>
    <w:pPr>
      <w:numPr>
        <w:ilvl w:val="6"/>
        <w:numId w:val="5"/>
      </w:numPr>
    </w:pPr>
  </w:style>
  <w:style w:type="paragraph" w:customStyle="1" w:styleId="affff1">
    <w:name w:val="标准标志"/>
    <w:next w:val="af9"/>
    <w:qFormat/>
    <w:pPr>
      <w:shd w:val="solid" w:color="FFFFFF" w:fill="FFFFFF"/>
      <w:spacing w:line="0" w:lineRule="atLeast"/>
      <w:jc w:val="right"/>
    </w:pPr>
    <w:rPr>
      <w:b/>
      <w:w w:val="130"/>
      <w:sz w:val="96"/>
    </w:rPr>
  </w:style>
  <w:style w:type="paragraph" w:customStyle="1" w:styleId="Charf0">
    <w:name w:val="Char"/>
    <w:basedOn w:val="af9"/>
    <w:qFormat/>
    <w:pPr>
      <w:widowControl/>
      <w:spacing w:after="160" w:line="240" w:lineRule="exact"/>
      <w:jc w:val="left"/>
    </w:pPr>
  </w:style>
  <w:style w:type="paragraph" w:customStyle="1" w:styleId="affff2">
    <w:name w:val="无标题条"/>
    <w:next w:val="afff4"/>
    <w:qFormat/>
    <w:pPr>
      <w:jc w:val="both"/>
    </w:pPr>
    <w:rPr>
      <w:sz w:val="21"/>
    </w:rPr>
  </w:style>
  <w:style w:type="paragraph" w:customStyle="1" w:styleId="af7">
    <w:name w:val="五级条标题"/>
    <w:basedOn w:val="af6"/>
    <w:next w:val="afff4"/>
    <w:qFormat/>
    <w:pPr>
      <w:numPr>
        <w:ilvl w:val="6"/>
      </w:numPr>
      <w:outlineLvl w:val="6"/>
    </w:pPr>
  </w:style>
  <w:style w:type="paragraph" w:customStyle="1" w:styleId="Default">
    <w:name w:val="Default"/>
    <w:qFormat/>
    <w:pPr>
      <w:widowControl w:val="0"/>
      <w:autoSpaceDE w:val="0"/>
      <w:autoSpaceDN w:val="0"/>
      <w:adjustRightInd w:val="0"/>
    </w:pPr>
    <w:rPr>
      <w:rFonts w:ascii="宋体"/>
    </w:rPr>
  </w:style>
  <w:style w:type="paragraph" w:customStyle="1" w:styleId="affff3">
    <w:name w:val="标准书眉_奇数页"/>
    <w:next w:val="af9"/>
    <w:qFormat/>
    <w:pPr>
      <w:tabs>
        <w:tab w:val="center" w:pos="4154"/>
        <w:tab w:val="right" w:pos="8306"/>
      </w:tabs>
      <w:spacing w:after="120"/>
      <w:jc w:val="right"/>
    </w:pPr>
    <w:rPr>
      <w:sz w:val="21"/>
    </w:rPr>
  </w:style>
  <w:style w:type="paragraph" w:customStyle="1" w:styleId="af0">
    <w:name w:val="正文图标题"/>
    <w:next w:val="afff4"/>
    <w:qFormat/>
    <w:pPr>
      <w:numPr>
        <w:numId w:val="6"/>
      </w:numPr>
      <w:jc w:val="center"/>
    </w:pPr>
    <w:rPr>
      <w:rFonts w:ascii="黑体" w:eastAsia="黑体"/>
      <w:sz w:val="21"/>
    </w:rPr>
  </w:style>
  <w:style w:type="paragraph" w:customStyle="1" w:styleId="a1">
    <w:name w:val="注："/>
    <w:next w:val="afff4"/>
    <w:link w:val="Charf1"/>
    <w:qFormat/>
    <w:pPr>
      <w:widowControl w:val="0"/>
      <w:numPr>
        <w:numId w:val="7"/>
      </w:numPr>
      <w:autoSpaceDE w:val="0"/>
      <w:autoSpaceDN w:val="0"/>
      <w:jc w:val="both"/>
    </w:pPr>
    <w:rPr>
      <w:rFonts w:ascii="宋体"/>
      <w:sz w:val="18"/>
    </w:rPr>
  </w:style>
  <w:style w:type="paragraph" w:customStyle="1" w:styleId="affff4">
    <w:name w:val="字母编号列项（一级）"/>
    <w:qFormat/>
    <w:pPr>
      <w:ind w:leftChars="200" w:left="840" w:hangingChars="200" w:hanging="420"/>
      <w:jc w:val="both"/>
    </w:pPr>
    <w:rPr>
      <w:rFonts w:ascii="宋体"/>
      <w:sz w:val="21"/>
    </w:rPr>
  </w:style>
  <w:style w:type="paragraph" w:customStyle="1" w:styleId="affff5">
    <w:name w:val="标准书眉_偶数页"/>
    <w:basedOn w:val="affff3"/>
    <w:next w:val="af9"/>
    <w:qFormat/>
    <w:pPr>
      <w:jc w:val="left"/>
    </w:pPr>
  </w:style>
  <w:style w:type="paragraph" w:customStyle="1" w:styleId="a3">
    <w:name w:val="二级无标题条"/>
    <w:basedOn w:val="af9"/>
    <w:qFormat/>
    <w:pPr>
      <w:numPr>
        <w:ilvl w:val="3"/>
        <w:numId w:val="5"/>
      </w:numPr>
    </w:pPr>
  </w:style>
  <w:style w:type="paragraph" w:customStyle="1" w:styleId="affff6">
    <w:name w:val="附录表标题"/>
    <w:next w:val="afff4"/>
    <w:qFormat/>
    <w:pPr>
      <w:jc w:val="center"/>
      <w:textAlignment w:val="baseline"/>
    </w:pPr>
    <w:rPr>
      <w:rFonts w:ascii="黑体" w:eastAsia="黑体"/>
      <w:kern w:val="21"/>
      <w:sz w:val="21"/>
    </w:rPr>
  </w:style>
  <w:style w:type="paragraph" w:customStyle="1" w:styleId="affff7">
    <w:name w:val="文献分类号"/>
    <w:qFormat/>
    <w:pPr>
      <w:widowControl w:val="0"/>
      <w:textAlignment w:val="center"/>
    </w:pPr>
    <w:rPr>
      <w:rFonts w:eastAsia="黑体"/>
      <w:sz w:val="21"/>
    </w:rPr>
  </w:style>
  <w:style w:type="paragraph" w:customStyle="1" w:styleId="affff8">
    <w:name w:val="其他标准称谓"/>
    <w:qFormat/>
    <w:pPr>
      <w:spacing w:line="0" w:lineRule="atLeast"/>
      <w:jc w:val="distribute"/>
    </w:pPr>
    <w:rPr>
      <w:rFonts w:ascii="黑体" w:eastAsia="黑体" w:hAnsi="宋体"/>
      <w:sz w:val="52"/>
    </w:rPr>
  </w:style>
  <w:style w:type="paragraph" w:customStyle="1" w:styleId="affff9">
    <w:name w:val="封面正文"/>
    <w:qFormat/>
    <w:pPr>
      <w:jc w:val="both"/>
    </w:pPr>
  </w:style>
  <w:style w:type="paragraph" w:customStyle="1" w:styleId="ae">
    <w:name w:val="附录五级条标题"/>
    <w:basedOn w:val="ad"/>
    <w:next w:val="afff4"/>
    <w:qFormat/>
    <w:pPr>
      <w:numPr>
        <w:ilvl w:val="6"/>
      </w:numPr>
      <w:outlineLvl w:val="6"/>
    </w:pPr>
  </w:style>
  <w:style w:type="paragraph" w:customStyle="1" w:styleId="ad">
    <w:name w:val="附录四级条标题"/>
    <w:basedOn w:val="ac"/>
    <w:next w:val="afff4"/>
    <w:qFormat/>
    <w:pPr>
      <w:numPr>
        <w:ilvl w:val="5"/>
      </w:numPr>
      <w:outlineLvl w:val="5"/>
    </w:pPr>
  </w:style>
  <w:style w:type="paragraph" w:customStyle="1" w:styleId="ac">
    <w:name w:val="附录三级条标题"/>
    <w:basedOn w:val="ab"/>
    <w:next w:val="afff4"/>
    <w:qFormat/>
    <w:pPr>
      <w:numPr>
        <w:ilvl w:val="4"/>
      </w:numPr>
      <w:outlineLvl w:val="4"/>
    </w:pPr>
  </w:style>
  <w:style w:type="paragraph" w:customStyle="1" w:styleId="ab">
    <w:name w:val="附录二级条标题"/>
    <w:basedOn w:val="aa"/>
    <w:next w:val="afff4"/>
    <w:qFormat/>
    <w:pPr>
      <w:numPr>
        <w:ilvl w:val="3"/>
      </w:numPr>
      <w:outlineLvl w:val="3"/>
    </w:pPr>
  </w:style>
  <w:style w:type="paragraph" w:customStyle="1" w:styleId="aa">
    <w:name w:val="附录一级条标题"/>
    <w:basedOn w:val="a9"/>
    <w:next w:val="afff4"/>
    <w:qFormat/>
    <w:pPr>
      <w:numPr>
        <w:ilvl w:val="2"/>
      </w:numPr>
      <w:autoSpaceDN w:val="0"/>
      <w:spacing w:beforeLines="0" w:afterLines="0"/>
      <w:outlineLvl w:val="2"/>
    </w:pPr>
  </w:style>
  <w:style w:type="paragraph" w:customStyle="1" w:styleId="affffa">
    <w:name w:val="数字编号列项（二级）"/>
    <w:qFormat/>
    <w:pPr>
      <w:ind w:leftChars="400" w:left="1260" w:hangingChars="200" w:hanging="420"/>
      <w:jc w:val="both"/>
    </w:pPr>
    <w:rPr>
      <w:rFonts w:ascii="宋体"/>
      <w:sz w:val="21"/>
    </w:rPr>
  </w:style>
  <w:style w:type="paragraph" w:customStyle="1" w:styleId="affffb">
    <w:name w:val="附录图标题"/>
    <w:next w:val="afff4"/>
    <w:qFormat/>
    <w:pPr>
      <w:jc w:val="center"/>
    </w:pPr>
    <w:rPr>
      <w:rFonts w:ascii="黑体" w:eastAsia="黑体"/>
      <w:sz w:val="21"/>
    </w:rPr>
  </w:style>
  <w:style w:type="paragraph" w:customStyle="1" w:styleId="affffc">
    <w:name w:val="封面一致性程度标识"/>
    <w:qFormat/>
    <w:pPr>
      <w:spacing w:before="440" w:line="400" w:lineRule="exact"/>
      <w:jc w:val="center"/>
    </w:pPr>
    <w:rPr>
      <w:rFonts w:ascii="宋体"/>
      <w:sz w:val="28"/>
    </w:rPr>
  </w:style>
  <w:style w:type="paragraph" w:customStyle="1" w:styleId="af">
    <w:name w:val="正文表标题"/>
    <w:next w:val="afff4"/>
    <w:qFormat/>
    <w:pPr>
      <w:numPr>
        <w:numId w:val="8"/>
      </w:numPr>
      <w:jc w:val="center"/>
    </w:pPr>
    <w:rPr>
      <w:rFonts w:ascii="黑体" w:eastAsia="黑体"/>
      <w:sz w:val="21"/>
    </w:rPr>
  </w:style>
  <w:style w:type="paragraph" w:customStyle="1" w:styleId="a0">
    <w:name w:val="示例"/>
    <w:next w:val="afff4"/>
    <w:qFormat/>
    <w:pPr>
      <w:numPr>
        <w:numId w:val="9"/>
      </w:numPr>
      <w:tabs>
        <w:tab w:val="clear" w:pos="1120"/>
        <w:tab w:val="left" w:pos="816"/>
      </w:tabs>
      <w:ind w:firstLineChars="233" w:firstLine="419"/>
      <w:jc w:val="both"/>
    </w:pPr>
    <w:rPr>
      <w:rFonts w:ascii="宋体"/>
      <w:sz w:val="18"/>
    </w:rPr>
  </w:style>
  <w:style w:type="paragraph" w:customStyle="1" w:styleId="affffd">
    <w:name w:val="篇"/>
    <w:basedOn w:val="af9"/>
    <w:next w:val="af9"/>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9"/>
    <w:qFormat/>
    <w:pPr>
      <w:numPr>
        <w:ilvl w:val="5"/>
        <w:numId w:val="5"/>
      </w:numPr>
    </w:pPr>
  </w:style>
  <w:style w:type="paragraph" w:customStyle="1" w:styleId="affffe">
    <w:name w:val="目次、标准名称标题"/>
    <w:basedOn w:val="af1"/>
    <w:next w:val="afff4"/>
    <w:qFormat/>
    <w:pPr>
      <w:numPr>
        <w:numId w:val="0"/>
      </w:numPr>
      <w:spacing w:line="460" w:lineRule="exact"/>
    </w:pPr>
  </w:style>
  <w:style w:type="paragraph" w:customStyle="1" w:styleId="afffff">
    <w:name w:val="标准书眉一"/>
    <w:qFormat/>
    <w:pPr>
      <w:jc w:val="both"/>
    </w:pPr>
  </w:style>
  <w:style w:type="paragraph" w:customStyle="1" w:styleId="afffff0">
    <w:name w:val="标准称谓"/>
    <w:next w:val="af9"/>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1">
    <w:name w:val="其他发布部门"/>
    <w:basedOn w:val="afff7"/>
    <w:qFormat/>
    <w:pPr>
      <w:spacing w:line="0" w:lineRule="atLeast"/>
    </w:pPr>
    <w:rPr>
      <w:rFonts w:ascii="黑体" w:eastAsia="黑体"/>
      <w:b w:val="0"/>
    </w:rPr>
  </w:style>
  <w:style w:type="paragraph" w:customStyle="1" w:styleId="a7">
    <w:name w:val="列项·"/>
    <w:qFormat/>
    <w:pPr>
      <w:numPr>
        <w:numId w:val="10"/>
      </w:numPr>
      <w:tabs>
        <w:tab w:val="clear" w:pos="1140"/>
        <w:tab w:val="left" w:pos="840"/>
      </w:tabs>
      <w:ind w:leftChars="200" w:left="840" w:hangingChars="200" w:hanging="420"/>
      <w:jc w:val="both"/>
    </w:pPr>
    <w:rPr>
      <w:rFonts w:ascii="宋体"/>
      <w:sz w:val="21"/>
    </w:rPr>
  </w:style>
  <w:style w:type="paragraph" w:customStyle="1" w:styleId="a4">
    <w:name w:val="三级无标题条"/>
    <w:basedOn w:val="af9"/>
    <w:qFormat/>
    <w:pPr>
      <w:numPr>
        <w:ilvl w:val="4"/>
        <w:numId w:val="5"/>
      </w:numPr>
    </w:pPr>
  </w:style>
  <w:style w:type="paragraph" w:customStyle="1" w:styleId="afffff2">
    <w:name w:val="目次、索引正文"/>
    <w:qFormat/>
    <w:pPr>
      <w:spacing w:line="320" w:lineRule="exact"/>
      <w:jc w:val="both"/>
    </w:pPr>
    <w:rPr>
      <w:rFonts w:ascii="宋体"/>
      <w:sz w:val="21"/>
    </w:rPr>
  </w:style>
  <w:style w:type="paragraph" w:customStyle="1" w:styleId="a2">
    <w:name w:val="一级无标题条"/>
    <w:basedOn w:val="af9"/>
    <w:qFormat/>
    <w:pPr>
      <w:numPr>
        <w:ilvl w:val="2"/>
        <w:numId w:val="5"/>
      </w:numPr>
    </w:pPr>
  </w:style>
  <w:style w:type="paragraph" w:customStyle="1" w:styleId="afffff3">
    <w:name w:val="封面标准代替信息"/>
    <w:basedOn w:val="23"/>
    <w:qFormat/>
    <w:pPr>
      <w:spacing w:before="57"/>
    </w:pPr>
    <w:rPr>
      <w:rFonts w:ascii="宋体"/>
      <w:sz w:val="21"/>
    </w:rPr>
  </w:style>
  <w:style w:type="paragraph" w:customStyle="1" w:styleId="afffff4">
    <w:name w:val="标准正文"/>
    <w:basedOn w:val="af9"/>
    <w:qFormat/>
    <w:pPr>
      <w:adjustRightInd w:val="0"/>
      <w:spacing w:line="360" w:lineRule="atLeast"/>
      <w:ind w:firstLine="425"/>
      <w:jc w:val="left"/>
      <w:textAlignment w:val="baseline"/>
    </w:pPr>
    <w:rPr>
      <w:spacing w:val="-4"/>
      <w:kern w:val="21"/>
      <w:szCs w:val="20"/>
    </w:rPr>
  </w:style>
  <w:style w:type="paragraph" w:customStyle="1" w:styleId="font1">
    <w:name w:val="font1"/>
    <w:basedOn w:val="af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9"/>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9"/>
    <w:qFormat/>
    <w:pPr>
      <w:widowControl/>
      <w:spacing w:before="100" w:beforeAutospacing="1" w:after="100" w:afterAutospacing="1"/>
      <w:jc w:val="left"/>
    </w:pPr>
    <w:rPr>
      <w:b/>
      <w:bCs/>
      <w:kern w:val="0"/>
      <w:sz w:val="20"/>
      <w:szCs w:val="20"/>
    </w:rPr>
  </w:style>
  <w:style w:type="paragraph" w:customStyle="1" w:styleId="font7">
    <w:name w:val="font7"/>
    <w:basedOn w:val="af9"/>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9"/>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9"/>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9"/>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9"/>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9"/>
    <w:qFormat/>
    <w:pPr>
      <w:widowControl/>
      <w:spacing w:before="100" w:beforeAutospacing="1" w:after="100" w:afterAutospacing="1"/>
      <w:jc w:val="center"/>
      <w:textAlignment w:val="center"/>
    </w:pPr>
    <w:rPr>
      <w:b/>
      <w:bCs/>
      <w:kern w:val="0"/>
      <w:sz w:val="24"/>
    </w:rPr>
  </w:style>
  <w:style w:type="paragraph" w:customStyle="1" w:styleId="xl79">
    <w:name w:val="xl79"/>
    <w:basedOn w:val="af9"/>
    <w:qFormat/>
    <w:pPr>
      <w:widowControl/>
      <w:spacing w:before="100" w:beforeAutospacing="1" w:after="100" w:afterAutospacing="1"/>
      <w:jc w:val="center"/>
      <w:textAlignment w:val="center"/>
    </w:pPr>
    <w:rPr>
      <w:b/>
      <w:bCs/>
      <w:kern w:val="0"/>
      <w:sz w:val="24"/>
    </w:rPr>
  </w:style>
  <w:style w:type="paragraph" w:customStyle="1" w:styleId="xl80">
    <w:name w:val="xl80"/>
    <w:basedOn w:val="af9"/>
    <w:qFormat/>
    <w:pPr>
      <w:widowControl/>
      <w:spacing w:before="100" w:beforeAutospacing="1" w:after="100" w:afterAutospacing="1"/>
      <w:jc w:val="center"/>
      <w:textAlignment w:val="center"/>
    </w:pPr>
    <w:rPr>
      <w:b/>
      <w:bCs/>
      <w:kern w:val="0"/>
      <w:sz w:val="24"/>
    </w:rPr>
  </w:style>
  <w:style w:type="paragraph" w:customStyle="1" w:styleId="xl81">
    <w:name w:val="xl8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9"/>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9"/>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9"/>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9"/>
    <w:qFormat/>
    <w:pPr>
      <w:adjustRightInd w:val="0"/>
      <w:jc w:val="center"/>
    </w:pPr>
    <w:rPr>
      <w:rFonts w:eastAsia="黑体"/>
      <w:kern w:val="0"/>
      <w:sz w:val="52"/>
      <w:szCs w:val="20"/>
    </w:rPr>
  </w:style>
  <w:style w:type="paragraph" w:customStyle="1" w:styleId="24">
    <w:name w:val="样式2"/>
    <w:basedOn w:val="af5"/>
    <w:qFormat/>
    <w:pPr>
      <w:numPr>
        <w:numId w:val="0"/>
      </w:numPr>
      <w:spacing w:line="240" w:lineRule="auto"/>
      <w:ind w:left="454"/>
    </w:pPr>
    <w:rPr>
      <w:color w:val="auto"/>
      <w:spacing w:val="0"/>
      <w:szCs w:val="20"/>
    </w:rPr>
  </w:style>
  <w:style w:type="paragraph" w:customStyle="1" w:styleId="12">
    <w:name w:val="列出段落1"/>
    <w:basedOn w:val="af9"/>
    <w:uiPriority w:val="34"/>
    <w:qFormat/>
    <w:pPr>
      <w:ind w:firstLineChars="200" w:firstLine="420"/>
    </w:pPr>
    <w:rPr>
      <w:rFonts w:ascii="Calibri" w:hAnsi="Calibri"/>
      <w:szCs w:val="22"/>
    </w:rPr>
  </w:style>
  <w:style w:type="paragraph" w:customStyle="1" w:styleId="afffff5">
    <w:name w:val="图表脚注说明"/>
    <w:basedOn w:val="af9"/>
    <w:qFormat/>
    <w:rPr>
      <w:rFonts w:ascii="宋体"/>
      <w:sz w:val="18"/>
      <w:szCs w:val="18"/>
    </w:rPr>
  </w:style>
  <w:style w:type="paragraph" w:customStyle="1" w:styleId="Char11">
    <w:name w:val="Char11"/>
    <w:basedOn w:val="af9"/>
    <w:qFormat/>
    <w:pPr>
      <w:widowControl/>
      <w:spacing w:after="160" w:line="240" w:lineRule="exact"/>
      <w:jc w:val="left"/>
    </w:pPr>
  </w:style>
  <w:style w:type="paragraph" w:customStyle="1" w:styleId="ordinary-output">
    <w:name w:val="ordinary-output"/>
    <w:basedOn w:val="af9"/>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9"/>
    <w:uiPriority w:val="34"/>
    <w:qFormat/>
    <w:pPr>
      <w:ind w:firstLineChars="200" w:firstLine="420"/>
    </w:pPr>
    <w:rPr>
      <w:sz w:val="24"/>
    </w:rPr>
  </w:style>
  <w:style w:type="paragraph" w:customStyle="1" w:styleId="Char1CharCharChar">
    <w:name w:val="Char1 Char Char Char"/>
    <w:basedOn w:val="af9"/>
    <w:qFormat/>
    <w:rPr>
      <w:szCs w:val="20"/>
    </w:rPr>
  </w:style>
  <w:style w:type="paragraph" w:customStyle="1" w:styleId="Char10">
    <w:name w:val="Char1"/>
    <w:basedOn w:val="af9"/>
    <w:qFormat/>
    <w:pPr>
      <w:widowControl/>
      <w:spacing w:after="160" w:line="240" w:lineRule="exact"/>
      <w:jc w:val="left"/>
    </w:pPr>
  </w:style>
  <w:style w:type="paragraph" w:customStyle="1" w:styleId="DecimalAligned">
    <w:name w:val="Decimal Aligned"/>
    <w:basedOn w:val="af9"/>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9"/>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9"/>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9"/>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9"/>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9"/>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9"/>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9"/>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9"/>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9"/>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9"/>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9"/>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9"/>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9"/>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9"/>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9"/>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9"/>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9"/>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9"/>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9"/>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9"/>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9"/>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9"/>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9"/>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9"/>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9"/>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9"/>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9"/>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9"/>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9"/>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9"/>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9"/>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9"/>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9"/>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9"/>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9"/>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9"/>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9"/>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9"/>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9"/>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9"/>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9"/>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9"/>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9"/>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9"/>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9"/>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9"/>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9"/>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9"/>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9"/>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9"/>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9"/>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9"/>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9"/>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9"/>
    <w:qFormat/>
    <w:pPr>
      <w:widowControl/>
      <w:spacing w:after="160" w:line="240" w:lineRule="exact"/>
      <w:jc w:val="left"/>
    </w:pPr>
  </w:style>
  <w:style w:type="paragraph" w:customStyle="1" w:styleId="13">
    <w:name w:val="正文1"/>
    <w:qFormat/>
    <w:pPr>
      <w:jc w:val="both"/>
    </w:pPr>
    <w:rPr>
      <w:rFonts w:ascii="Calibri" w:hAnsi="Calibri" w:cs="Calibri"/>
      <w:kern w:val="2"/>
      <w:sz w:val="21"/>
      <w:szCs w:val="21"/>
    </w:rPr>
  </w:style>
  <w:style w:type="paragraph" w:customStyle="1" w:styleId="Char30">
    <w:name w:val="Char3"/>
    <w:basedOn w:val="af9"/>
    <w:qFormat/>
    <w:pPr>
      <w:widowControl/>
      <w:spacing w:after="160" w:line="240" w:lineRule="exact"/>
      <w:jc w:val="left"/>
    </w:pPr>
    <w:rPr>
      <w:rFonts w:ascii="Verdana" w:hAnsi="Verdana"/>
      <w:kern w:val="0"/>
      <w:sz w:val="20"/>
      <w:szCs w:val="20"/>
      <w:lang w:eastAsia="en-US"/>
    </w:rPr>
  </w:style>
  <w:style w:type="paragraph" w:customStyle="1" w:styleId="p0">
    <w:name w:val="p0"/>
    <w:basedOn w:val="af9"/>
    <w:autoRedefine/>
    <w:qFormat/>
    <w:pPr>
      <w:widowControl/>
      <w:jc w:val="left"/>
    </w:pPr>
    <w:rPr>
      <w:kern w:val="0"/>
      <w:szCs w:val="21"/>
    </w:rPr>
  </w:style>
  <w:style w:type="paragraph" w:customStyle="1" w:styleId="25">
    <w:name w:val="正文2"/>
    <w:qFormat/>
    <w:pPr>
      <w:jc w:val="both"/>
    </w:pPr>
    <w:rPr>
      <w:kern w:val="2"/>
      <w:sz w:val="21"/>
      <w:szCs w:val="21"/>
    </w:rPr>
  </w:style>
  <w:style w:type="paragraph" w:customStyle="1" w:styleId="Char40">
    <w:name w:val="Char4"/>
    <w:basedOn w:val="af9"/>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9"/>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9"/>
    <w:qFormat/>
    <w:pPr>
      <w:widowControl/>
      <w:spacing w:after="160" w:line="240" w:lineRule="exact"/>
      <w:jc w:val="left"/>
    </w:pPr>
    <w:rPr>
      <w:rFonts w:ascii="Verdana" w:hAnsi="Verdana"/>
      <w:kern w:val="0"/>
      <w:sz w:val="20"/>
      <w:szCs w:val="20"/>
      <w:lang w:eastAsia="en-US"/>
    </w:rPr>
  </w:style>
  <w:style w:type="character" w:customStyle="1" w:styleId="afffff6">
    <w:name w:val="发布"/>
    <w:qFormat/>
    <w:rPr>
      <w:rFonts w:ascii="黑体" w:eastAsia="黑体"/>
      <w:spacing w:val="22"/>
      <w:w w:val="100"/>
      <w:position w:val="3"/>
      <w:sz w:val="28"/>
    </w:rPr>
  </w:style>
  <w:style w:type="character" w:customStyle="1" w:styleId="afffff7">
    <w:name w:val="个人答复风格"/>
    <w:qFormat/>
    <w:rPr>
      <w:rFonts w:ascii="Arial" w:eastAsia="宋体" w:hAnsi="Arial" w:cs="Arial"/>
      <w:color w:val="auto"/>
      <w:sz w:val="20"/>
    </w:rPr>
  </w:style>
  <w:style w:type="character" w:customStyle="1" w:styleId="Chara">
    <w:name w:val="段 Char"/>
    <w:link w:val="afff4"/>
    <w:qFormat/>
    <w:rPr>
      <w:rFonts w:ascii="宋体" w:eastAsia="宋体" w:hAnsi="宋体"/>
      <w:sz w:val="21"/>
      <w:lang w:val="en-US" w:eastAsia="zh-CN" w:bidi="ar-SA"/>
    </w:rPr>
  </w:style>
  <w:style w:type="character" w:customStyle="1" w:styleId="afffff8">
    <w:name w:val="个人撰写风格"/>
    <w:qFormat/>
    <w:rPr>
      <w:rFonts w:ascii="Arial" w:eastAsia="宋体" w:hAnsi="Arial" w:cs="Arial"/>
      <w:color w:val="auto"/>
      <w:sz w:val="20"/>
    </w:rPr>
  </w:style>
  <w:style w:type="character" w:customStyle="1" w:styleId="Charb">
    <w:name w:val="二级条标题 Char"/>
    <w:link w:val="af4"/>
    <w:qFormat/>
    <w:rPr>
      <w:rFonts w:ascii="黑体" w:eastAsia="黑体" w:hAnsi="黑体" w:cs="Times New Roman"/>
      <w:color w:val="000000" w:themeColor="text1"/>
      <w:spacing w:val="-6"/>
      <w:sz w:val="21"/>
      <w:szCs w:val="24"/>
    </w:rPr>
  </w:style>
  <w:style w:type="character" w:customStyle="1" w:styleId="Chard">
    <w:name w:val="章标题 Char"/>
    <w:link w:val="af2"/>
    <w:qFormat/>
    <w:rPr>
      <w:rFonts w:ascii="黑体" w:eastAsia="黑体" w:hAnsi="Times New Roman" w:cs="Times New Roman"/>
      <w:sz w:val="21"/>
    </w:rPr>
  </w:style>
  <w:style w:type="character" w:customStyle="1" w:styleId="Charc">
    <w:name w:val="一级条标题 Char"/>
    <w:link w:val="af3"/>
    <w:qFormat/>
    <w:rPr>
      <w:rFonts w:ascii="黑体" w:eastAsia="黑体" w:hAnsi="Times New Roman" w:cs="Times New Roman"/>
      <w:color w:val="FF0000"/>
      <w:spacing w:val="-4"/>
      <w:sz w:val="21"/>
      <w:szCs w:val="24"/>
    </w:rPr>
  </w:style>
  <w:style w:type="character" w:customStyle="1" w:styleId="Char2">
    <w:name w:val="纯文本 Char"/>
    <w:link w:val="aff2"/>
    <w:uiPriority w:val="99"/>
    <w:qFormat/>
    <w:rPr>
      <w:rFonts w:ascii="宋体" w:hAnsi="Courier New" w:cs="Courier New"/>
      <w:kern w:val="2"/>
      <w:sz w:val="21"/>
      <w:szCs w:val="21"/>
    </w:rPr>
  </w:style>
  <w:style w:type="character" w:customStyle="1" w:styleId="Charf">
    <w:name w:val="三级条标题 Char"/>
    <w:link w:val="af5"/>
    <w:qFormat/>
    <w:rPr>
      <w:rFonts w:ascii="黑体" w:eastAsia="黑体"/>
      <w:color w:val="FF0000"/>
      <w:spacing w:val="-4"/>
      <w:sz w:val="21"/>
      <w:szCs w:val="24"/>
    </w:rPr>
  </w:style>
  <w:style w:type="character" w:customStyle="1" w:styleId="Char4">
    <w:name w:val="批注框文本 Char"/>
    <w:link w:val="aff5"/>
    <w:qFormat/>
    <w:rPr>
      <w:kern w:val="2"/>
      <w:sz w:val="18"/>
      <w:szCs w:val="18"/>
    </w:rPr>
  </w:style>
  <w:style w:type="character" w:customStyle="1" w:styleId="Char0">
    <w:name w:val="正文文本 Char"/>
    <w:link w:val="aff0"/>
    <w:qFormat/>
    <w:rPr>
      <w:kern w:val="2"/>
      <w:sz w:val="21"/>
      <w:szCs w:val="24"/>
    </w:rPr>
  </w:style>
  <w:style w:type="character" w:customStyle="1" w:styleId="Charf1">
    <w:name w:val="注： Char"/>
    <w:link w:val="a1"/>
    <w:qFormat/>
    <w:rPr>
      <w:rFonts w:ascii="宋体"/>
      <w:sz w:val="18"/>
    </w:rPr>
  </w:style>
  <w:style w:type="character" w:customStyle="1" w:styleId="Char5">
    <w:name w:val="页脚 Char"/>
    <w:link w:val="aff6"/>
    <w:uiPriority w:val="99"/>
    <w:qFormat/>
    <w:rPr>
      <w:kern w:val="2"/>
      <w:sz w:val="18"/>
      <w:szCs w:val="18"/>
    </w:rPr>
  </w:style>
  <w:style w:type="character" w:customStyle="1" w:styleId="Char1">
    <w:name w:val="正文文本缩进 Char"/>
    <w:link w:val="aff1"/>
    <w:qFormat/>
    <w:rPr>
      <w:kern w:val="2"/>
      <w:sz w:val="24"/>
    </w:rPr>
  </w:style>
  <w:style w:type="character" w:customStyle="1" w:styleId="afffff9">
    <w:name w:val="表中文字"/>
    <w:qFormat/>
    <w:rPr>
      <w:rFonts w:ascii="宋体" w:eastAsia="宋体"/>
      <w:sz w:val="18"/>
    </w:rPr>
  </w:style>
  <w:style w:type="character" w:customStyle="1" w:styleId="Char">
    <w:name w:val="批注文字 Char"/>
    <w:link w:val="aff"/>
    <w:qFormat/>
    <w:rPr>
      <w:kern w:val="2"/>
      <w:sz w:val="21"/>
      <w:szCs w:val="24"/>
    </w:rPr>
  </w:style>
  <w:style w:type="character" w:customStyle="1" w:styleId="Char9">
    <w:name w:val="批注主题 Char"/>
    <w:link w:val="affb"/>
    <w:qFormat/>
    <w:rPr>
      <w:b/>
      <w:bCs/>
      <w:kern w:val="2"/>
      <w:sz w:val="21"/>
      <w:szCs w:val="24"/>
    </w:rPr>
  </w:style>
  <w:style w:type="character" w:customStyle="1" w:styleId="Char6">
    <w:name w:val="页眉 Char"/>
    <w:link w:val="aff7"/>
    <w:uiPriority w:val="99"/>
    <w:qFormat/>
    <w:rPr>
      <w:kern w:val="2"/>
      <w:sz w:val="18"/>
      <w:szCs w:val="18"/>
    </w:rPr>
  </w:style>
  <w:style w:type="character" w:customStyle="1" w:styleId="2Char0">
    <w:name w:val="正文文本缩进 2 Char"/>
    <w:link w:val="21"/>
    <w:qFormat/>
    <w:rPr>
      <w:kern w:val="2"/>
      <w:sz w:val="21"/>
      <w:szCs w:val="24"/>
    </w:rPr>
  </w:style>
  <w:style w:type="character" w:customStyle="1" w:styleId="Char3">
    <w:name w:val="日期 Char"/>
    <w:link w:val="aff3"/>
    <w:uiPriority w:val="99"/>
    <w:qFormat/>
    <w:rPr>
      <w:kern w:val="2"/>
      <w:sz w:val="24"/>
    </w:rPr>
  </w:style>
  <w:style w:type="character" w:customStyle="1" w:styleId="14">
    <w:name w:val="访问过的超链接1"/>
    <w:uiPriority w:val="99"/>
    <w:qFormat/>
    <w:rPr>
      <w:color w:val="800080"/>
      <w:u w:val="single"/>
    </w:rPr>
  </w:style>
  <w:style w:type="character" w:customStyle="1" w:styleId="CharCharCharChar">
    <w:name w:val="段 Char Char Char Char"/>
    <w:qFormat/>
    <w:rPr>
      <w:rFonts w:ascii="宋体"/>
      <w:sz w:val="21"/>
      <w:lang w:val="en-US" w:eastAsia="zh-CN" w:bidi="ar-SA"/>
    </w:rPr>
  </w:style>
  <w:style w:type="character" w:customStyle="1" w:styleId="CharChar">
    <w:name w:val="章标题 Char Char"/>
    <w:qFormat/>
    <w:rPr>
      <w:rFonts w:ascii="黑体" w:eastAsia="黑体"/>
      <w:sz w:val="21"/>
      <w:lang w:val="en-US" w:eastAsia="zh-CN" w:bidi="ar-SA"/>
    </w:rPr>
  </w:style>
  <w:style w:type="character" w:customStyle="1" w:styleId="Char12">
    <w:name w:val="正文文本缩进 Char1"/>
    <w:qFormat/>
    <w:rPr>
      <w:kern w:val="2"/>
      <w:sz w:val="21"/>
      <w:szCs w:val="24"/>
    </w:rPr>
  </w:style>
  <w:style w:type="character" w:customStyle="1" w:styleId="font21">
    <w:name w:val="font21"/>
    <w:qFormat/>
    <w:rPr>
      <w:rFonts w:ascii="宋体" w:eastAsia="宋体" w:hAnsi="宋体" w:cs="宋体" w:hint="eastAsia"/>
      <w:b/>
      <w:color w:val="FF0000"/>
      <w:sz w:val="21"/>
      <w:szCs w:val="21"/>
      <w:u w:val="none"/>
    </w:rPr>
  </w:style>
  <w:style w:type="character" w:customStyle="1" w:styleId="font41">
    <w:name w:val="font41"/>
    <w:qFormat/>
    <w:rPr>
      <w:rFonts w:ascii="宋体" w:eastAsia="宋体" w:hAnsi="宋体" w:cs="宋体" w:hint="eastAsia"/>
      <w:b/>
      <w:color w:val="FF0000"/>
      <w:sz w:val="21"/>
      <w:szCs w:val="21"/>
      <w:u w:val="none"/>
    </w:rPr>
  </w:style>
  <w:style w:type="character" w:customStyle="1" w:styleId="font01">
    <w:name w:val="font01"/>
    <w:qFormat/>
    <w:rPr>
      <w:rFonts w:ascii="宋体" w:eastAsia="宋体" w:hAnsi="宋体" w:hint="eastAsia"/>
      <w:color w:val="000000"/>
      <w:sz w:val="24"/>
      <w:szCs w:val="24"/>
      <w:u w:val="none"/>
    </w:rPr>
  </w:style>
  <w:style w:type="character" w:customStyle="1" w:styleId="Chare">
    <w:name w:val="附录标识 Char"/>
    <w:link w:val="a8"/>
    <w:qFormat/>
    <w:rPr>
      <w:sz w:val="21"/>
    </w:rPr>
  </w:style>
  <w:style w:type="character" w:customStyle="1" w:styleId="font31">
    <w:name w:val="font31"/>
    <w:qFormat/>
    <w:rPr>
      <w:rFonts w:ascii="宋体" w:eastAsia="宋体" w:hAnsi="宋体" w:cs="宋体" w:hint="eastAsia"/>
      <w:color w:val="000000"/>
      <w:sz w:val="22"/>
      <w:szCs w:val="22"/>
      <w:u w:val="none"/>
    </w:rPr>
  </w:style>
  <w:style w:type="paragraph" w:styleId="afffffa">
    <w:name w:val="List Paragraph"/>
    <w:basedOn w:val="af9"/>
    <w:uiPriority w:val="34"/>
    <w:qFormat/>
    <w:pPr>
      <w:ind w:firstLineChars="200" w:firstLine="420"/>
    </w:pPr>
  </w:style>
  <w:style w:type="paragraph" w:customStyle="1" w:styleId="TableParagraph">
    <w:name w:val="Table Paragraph"/>
    <w:basedOn w:val="af9"/>
    <w:uiPriority w:val="1"/>
    <w:qFormat/>
    <w:pPr>
      <w:autoSpaceDE w:val="0"/>
      <w:autoSpaceDN w:val="0"/>
      <w:jc w:val="left"/>
    </w:pPr>
    <w:rPr>
      <w:rFonts w:ascii="仿宋" w:eastAsia="仿宋" w:hAnsi="仿宋" w:cs="仿宋"/>
      <w:kern w:val="0"/>
      <w:sz w:val="22"/>
      <w:szCs w:val="22"/>
      <w:lang w:val="zh-CN" w:bidi="zh-CN"/>
    </w:rPr>
  </w:style>
  <w:style w:type="character" w:customStyle="1" w:styleId="fontstyle01">
    <w:name w:val="fontstyle01"/>
    <w:basedOn w:val="afa"/>
    <w:autoRedefine/>
    <w:qFormat/>
    <w:rPr>
      <w:rFonts w:ascii="宋体" w:eastAsia="宋体" w:hAnsi="宋体" w:hint="eastAsia"/>
      <w:color w:val="000000"/>
      <w:sz w:val="24"/>
      <w:szCs w:val="24"/>
    </w:rPr>
  </w:style>
  <w:style w:type="character" w:customStyle="1" w:styleId="1Char">
    <w:name w:val="标题 1 Char"/>
    <w:basedOn w:val="afa"/>
    <w:link w:val="1"/>
    <w:autoRedefine/>
    <w:qFormat/>
    <w:rPr>
      <w:rFonts w:ascii="Times New Roman" w:eastAsia="黑体" w:hAnsi="Times New Roman" w:cs="Times New Roman"/>
      <w:b/>
      <w:bCs/>
      <w:kern w:val="44"/>
      <w:sz w:val="28"/>
      <w:szCs w:val="44"/>
    </w:rPr>
  </w:style>
  <w:style w:type="character" w:customStyle="1" w:styleId="2Char">
    <w:name w:val="标题 2 Char"/>
    <w:basedOn w:val="afa"/>
    <w:link w:val="2"/>
    <w:autoRedefine/>
    <w:qFormat/>
    <w:rPr>
      <w:rFonts w:ascii="Arial" w:eastAsia="黑体" w:hAnsi="Arial" w:cs="Times New Roman"/>
      <w:b/>
      <w:bCs/>
      <w:kern w:val="2"/>
      <w:sz w:val="24"/>
      <w:szCs w:val="32"/>
    </w:rPr>
  </w:style>
  <w:style w:type="character" w:customStyle="1" w:styleId="3Char">
    <w:name w:val="标题 3 Char"/>
    <w:basedOn w:val="afa"/>
    <w:link w:val="3"/>
    <w:autoRedefine/>
    <w:qFormat/>
    <w:rPr>
      <w:rFonts w:ascii="Times New Roman" w:eastAsia="黑体" w:hAnsi="Times New Roman" w:cs="Times New Roman"/>
      <w:b/>
      <w:bCs/>
      <w:kern w:val="2"/>
      <w:sz w:val="21"/>
      <w:szCs w:val="32"/>
    </w:rPr>
  </w:style>
  <w:style w:type="character" w:customStyle="1" w:styleId="Char8">
    <w:name w:val="标题 Char"/>
    <w:link w:val="affa"/>
    <w:autoRedefine/>
    <w:qFormat/>
    <w:rPr>
      <w:rFonts w:ascii="Arial" w:eastAsia="宋体" w:hAnsi="Arial" w:cs="Arial"/>
      <w:b/>
      <w:bCs/>
      <w:kern w:val="2"/>
      <w:sz w:val="32"/>
      <w:szCs w:val="32"/>
    </w:rPr>
  </w:style>
  <w:style w:type="character" w:customStyle="1" w:styleId="Char7">
    <w:name w:val="脚注文本 Char"/>
    <w:link w:val="aff8"/>
    <w:autoRedefine/>
    <w:qFormat/>
    <w:rPr>
      <w:rFonts w:ascii="Times New Roman" w:eastAsia="宋体" w:hAnsi="Times New Roman" w:cs="Times New Roman"/>
      <w:kern w:val="2"/>
      <w:sz w:val="18"/>
      <w:szCs w:val="18"/>
    </w:rPr>
  </w:style>
  <w:style w:type="character" w:customStyle="1" w:styleId="15">
    <w:name w:val="未处理的提及1"/>
    <w:autoRedefine/>
    <w:uiPriority w:val="99"/>
    <w:unhideWhenUsed/>
    <w:qFormat/>
    <w:rPr>
      <w:color w:val="605E5C"/>
      <w:shd w:val="clear" w:color="auto" w:fill="E1DFDD"/>
    </w:rPr>
  </w:style>
  <w:style w:type="character" w:customStyle="1" w:styleId="Char13">
    <w:name w:val="批注框文本 Char1"/>
    <w:basedOn w:val="afa"/>
    <w:autoRedefine/>
    <w:uiPriority w:val="99"/>
    <w:semiHidden/>
    <w:qFormat/>
    <w:rPr>
      <w:rFonts w:ascii="Calibri" w:eastAsia="宋体" w:hAnsi="Calibri" w:cs="Times New Roman"/>
      <w:sz w:val="18"/>
      <w:szCs w:val="18"/>
    </w:rPr>
  </w:style>
  <w:style w:type="character" w:customStyle="1" w:styleId="Char14">
    <w:name w:val="脚注文本 Char1"/>
    <w:basedOn w:val="afa"/>
    <w:autoRedefine/>
    <w:uiPriority w:val="99"/>
    <w:semiHidden/>
    <w:qFormat/>
    <w:rPr>
      <w:rFonts w:ascii="Calibri" w:eastAsia="宋体" w:hAnsi="Calibri" w:cs="Times New Roman"/>
      <w:sz w:val="18"/>
      <w:szCs w:val="18"/>
    </w:rPr>
  </w:style>
  <w:style w:type="character" w:customStyle="1" w:styleId="Char15">
    <w:name w:val="标题 Char1"/>
    <w:basedOn w:val="afa"/>
    <w:autoRedefine/>
    <w:uiPriority w:val="10"/>
    <w:qFormat/>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f9"/>
    <w:autoRedefine/>
    <w:qFormat/>
  </w:style>
  <w:style w:type="paragraph" w:customStyle="1" w:styleId="WPSOffice1">
    <w:name w:val="WPSOffice手动目录 1"/>
    <w:autoRedefine/>
    <w:qFormat/>
    <w:rPr>
      <w:rFonts w:ascii="Calibri" w:hAnsi="Calibri"/>
    </w:rPr>
  </w:style>
  <w:style w:type="paragraph" w:customStyle="1" w:styleId="16">
    <w:name w:val="1"/>
    <w:basedOn w:val="af9"/>
    <w:next w:val="aff1"/>
    <w:autoRedefine/>
    <w:qFormat/>
    <w:pPr>
      <w:adjustRightInd w:val="0"/>
      <w:spacing w:line="360" w:lineRule="auto"/>
      <w:ind w:firstLineChars="200" w:firstLine="480"/>
      <w:textAlignment w:val="baseline"/>
      <w:outlineLvl w:val="0"/>
    </w:pPr>
    <w:rPr>
      <w:kern w:val="0"/>
      <w:sz w:val="24"/>
      <w:szCs w:val="20"/>
    </w:rPr>
  </w:style>
  <w:style w:type="paragraph" w:customStyle="1" w:styleId="CharChar0">
    <w:name w:val="Char Char"/>
    <w:basedOn w:val="af9"/>
    <w:autoRedefine/>
    <w:qFormat/>
  </w:style>
  <w:style w:type="paragraph" w:customStyle="1" w:styleId="WPSOffice2">
    <w:name w:val="WPSOffice手动目录 2"/>
    <w:qFormat/>
    <w:pPr>
      <w:ind w:leftChars="200" w:left="200"/>
    </w:pPr>
    <w:rPr>
      <w:rFonts w:ascii="Calibri" w:hAnsi="Calibri"/>
    </w:rPr>
  </w:style>
  <w:style w:type="table" w:customStyle="1" w:styleId="17">
    <w:name w:val="网格型1"/>
    <w:basedOn w:val="afb"/>
    <w:autoRedefine/>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b">
    <w:name w:val="Placeholder Text"/>
    <w:basedOn w:val="afa"/>
    <w:autoRedefine/>
    <w:uiPriority w:val="99"/>
    <w:semiHidden/>
    <w:qFormat/>
    <w:rPr>
      <w:color w:val="808080"/>
    </w:rPr>
  </w:style>
  <w:style w:type="table" w:customStyle="1" w:styleId="TableNormal">
    <w:name w:val="Table Normal"/>
    <w:autoRedefine/>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f9"/>
    <w:autoRedefine/>
    <w:uiPriority w:val="1"/>
    <w:qFormat/>
    <w:pPr>
      <w:autoSpaceDE w:val="0"/>
      <w:autoSpaceDN w:val="0"/>
      <w:ind w:left="216"/>
      <w:jc w:val="left"/>
      <w:outlineLvl w:val="2"/>
    </w:pPr>
    <w:rPr>
      <w:rFonts w:eastAsia="Times New Roman"/>
      <w:kern w:val="0"/>
      <w:sz w:val="28"/>
      <w:szCs w:val="28"/>
      <w:lang w:eastAsia="en-US" w:bidi="en-US"/>
    </w:rPr>
  </w:style>
  <w:style w:type="character" w:customStyle="1" w:styleId="2Char1">
    <w:name w:val="正文文本 2 Char"/>
    <w:basedOn w:val="afa"/>
    <w:link w:val="22"/>
    <w:autoRedefine/>
    <w:uiPriority w:val="99"/>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638A32-3771-4800-82F1-15E0F975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TotalTime>7</TotalTime>
  <Pages>10</Pages>
  <Words>1142</Words>
  <Characters>6513</Characters>
  <Application>Microsoft Office Word</Application>
  <DocSecurity>0</DocSecurity>
  <Lines>54</Lines>
  <Paragraphs>15</Paragraphs>
  <ScaleCrop>false</ScaleCrop>
  <Company>Microsoft</Company>
  <LinksUpToDate>false</LinksUpToDate>
  <CharactersWithSpaces>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标准李瑞山9585</dc:creator>
  <cp:lastModifiedBy>计量校准</cp:lastModifiedBy>
  <cp:revision>8</cp:revision>
  <cp:lastPrinted>2016-10-20T04:13:00Z</cp:lastPrinted>
  <dcterms:created xsi:type="dcterms:W3CDTF">2024-10-23T03:21:00Z</dcterms:created>
  <dcterms:modified xsi:type="dcterms:W3CDTF">2024-10-23T03:42:00Z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82E937F3F79B489D9C080A38915314E9_13</vt:lpwstr>
  </property>
</Properties>
</file>