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line="360" w:lineRule="auto"/>
        <w:ind w:left="0"/>
        <w:jc w:val="center"/>
        <w:rPr>
          <w:rFonts w:ascii="微软雅黑" w:hAnsi="微软雅黑" w:eastAsia="微软雅黑" w:cs="微软雅黑"/>
          <w:spacing w:val="-2"/>
          <w:position w:val="30"/>
          <w:sz w:val="28"/>
          <w:szCs w:val="28"/>
        </w:rPr>
      </w:pPr>
      <w:r>
        <w:rPr>
          <w:rFonts w:ascii="微软雅黑" w:hAnsi="微软雅黑" w:eastAsia="微软雅黑" w:cs="微软雅黑"/>
          <w:spacing w:val="-2"/>
          <w:position w:val="30"/>
          <w:sz w:val="28"/>
          <w:szCs w:val="28"/>
        </w:rPr>
        <w:t>国家标准《太阳能级硅多晶》</w:t>
      </w:r>
    </w:p>
    <w:p>
      <w:pPr>
        <w:autoSpaceDE/>
        <w:autoSpaceDN/>
        <w:spacing w:before="0" w:line="360" w:lineRule="auto"/>
        <w:ind w:left="0"/>
        <w:jc w:val="center"/>
        <w:rPr>
          <w:rFonts w:ascii="微软雅黑" w:hAnsi="微软雅黑" w:eastAsia="微软雅黑" w:cs="微软雅黑"/>
          <w:sz w:val="28"/>
          <w:szCs w:val="28"/>
        </w:rPr>
      </w:pPr>
      <w:r>
        <w:rPr>
          <w:rFonts w:ascii="微软雅黑" w:hAnsi="微软雅黑" w:eastAsia="微软雅黑" w:cs="微软雅黑"/>
          <w:spacing w:val="-1"/>
          <w:sz w:val="28"/>
          <w:szCs w:val="28"/>
        </w:rPr>
        <w:t>编制说明（</w:t>
      </w:r>
      <w:r>
        <w:rPr>
          <w:rFonts w:hint="eastAsia" w:ascii="微软雅黑" w:hAnsi="微软雅黑" w:eastAsia="微软雅黑" w:cs="微软雅黑"/>
          <w:spacing w:val="-1"/>
          <w:sz w:val="28"/>
          <w:szCs w:val="28"/>
          <w:lang w:val="en-US" w:eastAsia="zh-CN"/>
        </w:rPr>
        <w:t>审定</w:t>
      </w:r>
      <w:r>
        <w:rPr>
          <w:rFonts w:ascii="微软雅黑" w:hAnsi="微软雅黑" w:eastAsia="微软雅黑" w:cs="微软雅黑"/>
          <w:spacing w:val="-1"/>
          <w:sz w:val="28"/>
          <w:szCs w:val="28"/>
        </w:rPr>
        <w:t>稿）</w:t>
      </w:r>
    </w:p>
    <w:p>
      <w:pPr>
        <w:pStyle w:val="2"/>
        <w:keepNext/>
        <w:keepLines/>
        <w:widowControl w:val="0"/>
        <w:kinsoku/>
        <w:autoSpaceDE/>
        <w:autoSpaceDN/>
        <w:adjustRightInd/>
        <w:snapToGrid/>
        <w:spacing w:before="0" w:beforeLines="50" w:after="0" w:afterLines="50" w:line="360" w:lineRule="auto"/>
        <w:ind w:left="6"/>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pacing w:val="0"/>
          <w:sz w:val="28"/>
          <w:szCs w:val="28"/>
          <w:lang w:eastAsia="zh-CN"/>
          <w14:textOutline w14:w="5103" w14:cap="sq" w14:cmpd="sng">
            <w14:solidFill>
              <w14:srgbClr w14:val="000000"/>
            </w14:solidFill>
            <w14:prstDash w14:val="solid"/>
            <w14:bevel/>
          </w14:textOutline>
        </w:rPr>
        <w:t>工作简况</w:t>
      </w:r>
    </w:p>
    <w:p>
      <w:pPr>
        <w:pStyle w:val="4"/>
        <w:autoSpaceDE/>
        <w:autoSpaceDN/>
        <w:spacing w:before="140" w:after="140" w:afterLines="0" w:line="360" w:lineRule="auto"/>
        <w:ind w:left="0"/>
        <w:outlineLvl w:val="1"/>
      </w:pPr>
      <w:r>
        <w:rPr>
          <w:spacing w:val="-2"/>
          <w14:textOutline w14:w="4358" w14:cap="sq" w14:cmpd="sng">
            <w14:solidFill>
              <w14:srgbClr w14:val="000000"/>
            </w14:solidFill>
            <w14:prstDash w14:val="solid"/>
            <w14:bevel/>
          </w14:textOutline>
        </w:rPr>
        <w:t>（一）项目目的与意义</w:t>
      </w:r>
    </w:p>
    <w:p>
      <w:pPr>
        <w:pStyle w:val="4"/>
        <w:autoSpaceDE/>
        <w:autoSpaceDN/>
        <w:spacing w:before="0" w:afterLines="0" w:line="360" w:lineRule="auto"/>
        <w:ind w:left="0" w:right="0" w:firstLine="488" w:firstLineChars="200"/>
        <w:jc w:val="both"/>
      </w:pPr>
      <w:r>
        <w:rPr>
          <w:spacing w:val="2"/>
        </w:rPr>
        <w:t>伴随</w:t>
      </w:r>
      <w:r>
        <w:rPr>
          <w:rFonts w:hint="eastAsia" w:ascii="Times New Roman" w:hAnsi="Times New Roman" w:cs="Times New Roman"/>
          <w:spacing w:val="2"/>
          <w:lang w:eastAsia="zh-CN"/>
        </w:rPr>
        <w:t>“</w:t>
      </w:r>
      <w:r>
        <w:rPr>
          <w:spacing w:val="2"/>
        </w:rPr>
        <w:t>硅器时代</w:t>
      </w:r>
      <w:r>
        <w:rPr>
          <w:rFonts w:hint="eastAsia" w:ascii="Times New Roman" w:hAnsi="Times New Roman" w:cs="Times New Roman"/>
          <w:spacing w:val="2"/>
          <w:lang w:eastAsia="zh-CN"/>
        </w:rPr>
        <w:t>”</w:t>
      </w:r>
      <w:r>
        <w:rPr>
          <w:spacing w:val="2"/>
        </w:rPr>
        <w:t>的到来，硅在清洁能源生产、光通讯建设、集成电路领域均</w:t>
      </w:r>
      <w:r>
        <w:rPr>
          <w:spacing w:val="1"/>
        </w:rPr>
        <w:t>发挥</w:t>
      </w:r>
      <w:r>
        <w:rPr>
          <w:spacing w:val="2"/>
        </w:rPr>
        <w:t>着基础主导性作用。太阳能级硅多晶作为联通光伏产业链的中间枢纽，在多晶需求的</w:t>
      </w:r>
      <w:r>
        <w:rPr>
          <w:spacing w:val="1"/>
        </w:rPr>
        <w:t>占比达到</w:t>
      </w:r>
      <w:r>
        <w:rPr>
          <w:rFonts w:ascii="Times New Roman" w:hAnsi="Times New Roman" w:eastAsia="Times New Roman" w:cs="Times New Roman"/>
          <w:spacing w:val="1"/>
        </w:rPr>
        <w:t>90%</w:t>
      </w:r>
      <w:r>
        <w:rPr>
          <w:spacing w:val="1"/>
        </w:rPr>
        <w:t>以上，伴随高效化、大硅片化及薄片化的发展趋势，市场对高效高品质</w:t>
      </w:r>
      <w:r>
        <w:rPr>
          <w:spacing w:val="-1"/>
        </w:rPr>
        <w:t>电池市场的需求急剧增加，从而对硅多晶原料品质要</w:t>
      </w:r>
      <w:r>
        <w:rPr>
          <w:spacing w:val="-2"/>
        </w:rPr>
        <w:t>求也越来越严格。</w:t>
      </w:r>
    </w:p>
    <w:p>
      <w:pPr>
        <w:pStyle w:val="4"/>
        <w:autoSpaceDE/>
        <w:autoSpaceDN/>
        <w:spacing w:before="0" w:afterLines="0" w:line="360" w:lineRule="auto"/>
        <w:ind w:left="0" w:firstLine="484" w:firstLineChars="200"/>
        <w:jc w:val="both"/>
      </w:pPr>
      <w:r>
        <w:rPr>
          <w:rFonts w:ascii="Times New Roman" w:hAnsi="Times New Roman" w:eastAsia="Times New Roman" w:cs="Times New Roman"/>
          <w:spacing w:val="1"/>
        </w:rPr>
        <w:t>2015</w:t>
      </w:r>
      <w:r>
        <w:rPr>
          <w:spacing w:val="1"/>
        </w:rPr>
        <w:t>年</w:t>
      </w:r>
      <w:r>
        <w:rPr>
          <w:rFonts w:ascii="Times New Roman" w:hAnsi="Times New Roman" w:eastAsia="Times New Roman" w:cs="Times New Roman"/>
          <w:spacing w:val="1"/>
        </w:rPr>
        <w:t>~2016</w:t>
      </w:r>
      <w:r>
        <w:rPr>
          <w:spacing w:val="1"/>
        </w:rPr>
        <w:t>年经行业专家反复推敲、行业共同验证的</w:t>
      </w:r>
      <w:r>
        <w:rPr>
          <w:rFonts w:ascii="Times New Roman" w:hAnsi="Times New Roman" w:eastAsia="Times New Roman" w:cs="Times New Roman"/>
        </w:rPr>
        <w:t>GB</w:t>
      </w:r>
      <w:r>
        <w:rPr>
          <w:rFonts w:ascii="Times New Roman" w:hAnsi="Times New Roman" w:eastAsia="Times New Roman" w:cs="Times New Roman"/>
          <w:spacing w:val="1"/>
        </w:rPr>
        <w:t>/T 25074-2017</w:t>
      </w:r>
      <w:r>
        <w:rPr>
          <w:spacing w:val="1"/>
        </w:rPr>
        <w:t>的部分</w:t>
      </w:r>
      <w:r>
        <w:rPr>
          <w:spacing w:val="-2"/>
        </w:rPr>
        <w:t>指标，已在市场浪潮的推动下略显不宜；尤其是近五年与之配套的电阻</w:t>
      </w:r>
      <w:r>
        <w:rPr>
          <w:spacing w:val="-3"/>
        </w:rPr>
        <w:t>率、少子寿命、</w:t>
      </w:r>
      <w:r>
        <w:rPr>
          <w:spacing w:val="2"/>
        </w:rPr>
        <w:t>氧</w:t>
      </w:r>
      <w:r>
        <w:rPr>
          <w:rFonts w:hint="eastAsia"/>
          <w:spacing w:val="2"/>
          <w:lang w:eastAsia="zh-CN"/>
        </w:rPr>
        <w:t>、</w:t>
      </w:r>
      <w:r>
        <w:rPr>
          <w:spacing w:val="2"/>
        </w:rPr>
        <w:t>碳、施受主杂质等关键参数测试方法标准的修订，低温红外检测设备的普及，与之</w:t>
      </w:r>
      <w:r>
        <w:rPr>
          <w:spacing w:val="-2"/>
        </w:rPr>
        <w:t>匹配的技术参数也需更新。</w:t>
      </w:r>
    </w:p>
    <w:p>
      <w:pPr>
        <w:pStyle w:val="4"/>
        <w:autoSpaceDE/>
        <w:autoSpaceDN/>
        <w:spacing w:before="0" w:afterLines="0" w:line="360" w:lineRule="auto"/>
        <w:ind w:left="0" w:right="0" w:firstLine="484" w:firstLineChars="200"/>
        <w:jc w:val="both"/>
      </w:pPr>
      <w:r>
        <w:rPr>
          <w:spacing w:val="1"/>
        </w:rPr>
        <w:t>国内硅多晶的质量已完全能满足国内硅多晶片生产需求，正批量供应单晶硅生产</w:t>
      </w:r>
      <w:r>
        <w:rPr>
          <w:spacing w:val="-1"/>
        </w:rPr>
        <w:t>的应用。据《中国光伏产业发展路线图》统计，单晶用料占比达</w:t>
      </w:r>
      <w:r>
        <w:rPr>
          <w:rFonts w:ascii="Times New Roman" w:hAnsi="Times New Roman" w:eastAsia="Times New Roman" w:cs="Times New Roman"/>
          <w:spacing w:val="-1"/>
        </w:rPr>
        <w:t>80%</w:t>
      </w:r>
      <w:r>
        <w:rPr>
          <w:spacing w:val="-1"/>
        </w:rPr>
        <w:t>以上</w:t>
      </w:r>
      <w:r>
        <w:rPr>
          <w:spacing w:val="-2"/>
        </w:rPr>
        <w:t>，其中</w:t>
      </w:r>
      <w:r>
        <w:rPr>
          <w:rFonts w:hint="eastAsia" w:ascii="Times New Roman" w:hAnsi="Times New Roman" w:cs="Times New Roman"/>
          <w:spacing w:val="16"/>
          <w:lang w:val="en-US" w:eastAsia="zh-CN"/>
        </w:rPr>
        <w:t>n</w:t>
      </w:r>
      <w:r>
        <w:rPr>
          <w:spacing w:val="-2"/>
        </w:rPr>
        <w:t>型</w:t>
      </w:r>
      <w:r>
        <w:rPr>
          <w:spacing w:val="-1"/>
        </w:rPr>
        <w:t>用料对杂质含量有着更高的要求。</w:t>
      </w:r>
    </w:p>
    <w:p>
      <w:pPr>
        <w:pStyle w:val="4"/>
        <w:autoSpaceDE/>
        <w:autoSpaceDN/>
        <w:spacing w:before="0" w:afterLines="0" w:line="360" w:lineRule="auto"/>
        <w:ind w:left="0" w:right="0" w:firstLine="464" w:firstLineChars="200"/>
        <w:jc w:val="both"/>
      </w:pPr>
      <w:r>
        <w:rPr>
          <w:rFonts w:ascii="Times New Roman" w:hAnsi="Times New Roman" w:eastAsia="Times New Roman" w:cs="Times New Roman"/>
          <w:spacing w:val="-4"/>
        </w:rPr>
        <w:t>2023</w:t>
      </w:r>
      <w:r>
        <w:rPr>
          <w:spacing w:val="-4"/>
        </w:rPr>
        <w:t>年</w:t>
      </w:r>
      <w:r>
        <w:rPr>
          <w:rFonts w:ascii="Times New Roman" w:hAnsi="Times New Roman" w:eastAsia="Times New Roman" w:cs="Times New Roman"/>
          <w:spacing w:val="-4"/>
        </w:rPr>
        <w:t>7</w:t>
      </w:r>
      <w:r>
        <w:rPr>
          <w:spacing w:val="-4"/>
        </w:rPr>
        <w:t>月</w:t>
      </w:r>
      <w:r>
        <w:rPr>
          <w:rFonts w:ascii="Times New Roman" w:hAnsi="Times New Roman" w:eastAsia="Times New Roman" w:cs="Times New Roman"/>
          <w:spacing w:val="-4"/>
        </w:rPr>
        <w:t>1</w:t>
      </w:r>
      <w:r>
        <w:rPr>
          <w:spacing w:val="-4"/>
        </w:rPr>
        <w:t>日</w:t>
      </w:r>
      <w:r>
        <w:rPr>
          <w:rFonts w:ascii="Times New Roman" w:hAnsi="Times New Roman" w:eastAsia="Times New Roman" w:cs="Times New Roman"/>
          <w:spacing w:val="-4"/>
        </w:rPr>
        <w:t>GB/T</w:t>
      </w:r>
      <w:r>
        <w:rPr>
          <w:rFonts w:ascii="Times New Roman" w:hAnsi="Times New Roman" w:eastAsia="Times New Roman" w:cs="Times New Roman"/>
          <w:spacing w:val="26"/>
        </w:rPr>
        <w:t xml:space="preserve"> </w:t>
      </w:r>
      <w:r>
        <w:rPr>
          <w:rFonts w:ascii="Times New Roman" w:hAnsi="Times New Roman" w:eastAsia="Times New Roman" w:cs="Times New Roman"/>
          <w:spacing w:val="-4"/>
        </w:rPr>
        <w:t>12963</w:t>
      </w:r>
      <w:r>
        <w:rPr>
          <w:spacing w:val="-4"/>
        </w:rPr>
        <w:t>《电子级硅多晶》开始实施，</w:t>
      </w:r>
      <w:r>
        <w:rPr>
          <w:rFonts w:ascii="Times New Roman" w:hAnsi="Times New Roman" w:eastAsia="Times New Roman" w:cs="Times New Roman"/>
          <w:spacing w:val="-4"/>
        </w:rPr>
        <w:t>GB/T</w:t>
      </w:r>
      <w:r>
        <w:rPr>
          <w:rFonts w:hint="eastAsia" w:ascii="Times New Roman" w:hAnsi="Times New Roman" w:cs="Times New Roman"/>
          <w:spacing w:val="-4"/>
          <w:lang w:val="en-US" w:eastAsia="zh-CN"/>
        </w:rPr>
        <w:t xml:space="preserve"> </w:t>
      </w:r>
      <w:r>
        <w:rPr>
          <w:rFonts w:ascii="Times New Roman" w:hAnsi="Times New Roman" w:eastAsia="Times New Roman" w:cs="Times New Roman"/>
          <w:spacing w:val="-4"/>
        </w:rPr>
        <w:t>35307</w:t>
      </w:r>
      <w:r>
        <w:rPr>
          <w:spacing w:val="-4"/>
        </w:rPr>
        <w:t>《流化床</w:t>
      </w:r>
      <w:r>
        <w:rPr>
          <w:spacing w:val="-3"/>
        </w:rPr>
        <w:t>法颗粒硅》也于</w:t>
      </w:r>
      <w:r>
        <w:rPr>
          <w:rFonts w:ascii="Times New Roman" w:hAnsi="Times New Roman" w:eastAsia="Times New Roman" w:cs="Times New Roman"/>
          <w:spacing w:val="-3"/>
        </w:rPr>
        <w:t>2023</w:t>
      </w:r>
      <w:r>
        <w:rPr>
          <w:spacing w:val="-3"/>
        </w:rPr>
        <w:t>年</w:t>
      </w:r>
      <w:r>
        <w:rPr>
          <w:rFonts w:ascii="Times New Roman" w:hAnsi="Times New Roman" w:eastAsia="Times New Roman" w:cs="Times New Roman"/>
          <w:spacing w:val="-3"/>
        </w:rPr>
        <w:t>8</w:t>
      </w:r>
      <w:r>
        <w:rPr>
          <w:spacing w:val="-3"/>
        </w:rPr>
        <w:t>月</w:t>
      </w:r>
      <w:r>
        <w:rPr>
          <w:rFonts w:ascii="Times New Roman" w:hAnsi="Times New Roman" w:eastAsia="Times New Roman" w:cs="Times New Roman"/>
          <w:spacing w:val="-3"/>
        </w:rPr>
        <w:t>6</w:t>
      </w:r>
      <w:r>
        <w:rPr>
          <w:spacing w:val="-3"/>
        </w:rPr>
        <w:t>日发</w:t>
      </w:r>
      <w:r>
        <w:rPr>
          <w:spacing w:val="-4"/>
        </w:rPr>
        <w:t>布，</w:t>
      </w:r>
      <w:r>
        <w:rPr>
          <w:rFonts w:hint="default" w:ascii="Times New Roman" w:hAnsi="Times New Roman" w:cs="Times New Roman"/>
          <w:spacing w:val="-4"/>
          <w:lang w:val="en-US" w:eastAsia="zh-CN"/>
        </w:rPr>
        <w:t>2024年3月1日</w:t>
      </w:r>
      <w:r>
        <w:rPr>
          <w:spacing w:val="-4"/>
        </w:rPr>
        <w:t>开始实施，作为介于两种产品品质之间</w:t>
      </w:r>
      <w:r>
        <w:rPr>
          <w:spacing w:val="-1"/>
        </w:rPr>
        <w:t>的《太阳能级硅多晶》产品标准需要同步协同调整，更科学的指引行业应用。</w:t>
      </w:r>
    </w:p>
    <w:p>
      <w:pPr>
        <w:pStyle w:val="4"/>
        <w:autoSpaceDE/>
        <w:autoSpaceDN/>
        <w:spacing w:before="0" w:afterLines="0" w:line="360" w:lineRule="auto"/>
        <w:ind w:left="0" w:firstLine="488" w:firstLineChars="200"/>
        <w:rPr>
          <w:rFonts w:hint="eastAsia"/>
          <w:spacing w:val="1"/>
          <w:position w:val="17"/>
          <w:lang w:eastAsia="zh-CN"/>
        </w:rPr>
      </w:pPr>
      <w:r>
        <w:rPr>
          <w:spacing w:val="2"/>
          <w:position w:val="17"/>
        </w:rPr>
        <w:t>因此作为太阳能硅多晶行业的指导性产品标准，亟须与</w:t>
      </w:r>
      <w:r>
        <w:rPr>
          <w:spacing w:val="1"/>
          <w:position w:val="17"/>
        </w:rPr>
        <w:t>时俱进，科学引领行业</w:t>
      </w:r>
      <w:r>
        <w:rPr>
          <w:rFonts w:hint="eastAsia"/>
          <w:spacing w:val="1"/>
          <w:position w:val="17"/>
          <w:lang w:eastAsia="zh-CN"/>
        </w:rPr>
        <w:t>发展。</w:t>
      </w:r>
    </w:p>
    <w:p>
      <w:pPr>
        <w:pStyle w:val="4"/>
        <w:autoSpaceDE/>
        <w:autoSpaceDN/>
        <w:spacing w:before="140" w:after="140" w:afterLines="0" w:line="360" w:lineRule="auto"/>
        <w:ind w:left="0"/>
        <w:outlineLvl w:val="1"/>
        <w:rPr>
          <w:spacing w:val="-2"/>
          <w14:textOutline w14:w="4358" w14:cap="sq" w14:cmpd="sng">
            <w14:solidFill>
              <w14:srgbClr w14:val="000000"/>
            </w14:solidFill>
            <w14:prstDash w14:val="solid"/>
            <w14:bevel/>
          </w14:textOutline>
        </w:rPr>
      </w:pPr>
      <w:r>
        <w:rPr>
          <w:spacing w:val="-2"/>
          <w14:textOutline w14:w="4358" w14:cap="sq" w14:cmpd="sng">
            <w14:solidFill>
              <w14:srgbClr w14:val="000000"/>
            </w14:solidFill>
            <w14:prstDash w14:val="solid"/>
            <w14:bevel/>
          </w14:textOutline>
        </w:rPr>
        <w:t>（二）任务来源</w:t>
      </w:r>
    </w:p>
    <w:p>
      <w:pPr>
        <w:pStyle w:val="4"/>
        <w:autoSpaceDE/>
        <w:autoSpaceDN/>
        <w:spacing w:before="0" w:line="360" w:lineRule="auto"/>
        <w:ind w:right="0" w:firstLine="476" w:firstLineChars="200"/>
        <w:jc w:val="both"/>
      </w:pPr>
      <w:r>
        <w:rPr>
          <w:spacing w:val="-1"/>
        </w:rPr>
        <w:t>根据《国家标准化管理委员会关于下达</w:t>
      </w:r>
      <w:r>
        <w:rPr>
          <w:rFonts w:ascii="Times New Roman" w:hAnsi="Times New Roman" w:eastAsia="Times New Roman" w:cs="Times New Roman"/>
          <w:spacing w:val="-1"/>
        </w:rPr>
        <w:t>2023</w:t>
      </w:r>
      <w:r>
        <w:rPr>
          <w:spacing w:val="-1"/>
        </w:rPr>
        <w:t>年第三批推荐性</w:t>
      </w:r>
      <w:r>
        <w:rPr>
          <w:spacing w:val="-2"/>
        </w:rPr>
        <w:t>国家标准计划及相关</w:t>
      </w:r>
      <w:r>
        <w:rPr>
          <w:spacing w:val="1"/>
        </w:rPr>
        <w:t>标准外文版计划的通知》</w:t>
      </w:r>
      <w:r>
        <w:rPr>
          <w:rFonts w:ascii="Times New Roman" w:hAnsi="Times New Roman" w:eastAsia="Times New Roman" w:cs="Times New Roman"/>
          <w:spacing w:val="1"/>
        </w:rPr>
        <w:t>(</w:t>
      </w:r>
      <w:r>
        <w:rPr>
          <w:spacing w:val="1"/>
        </w:rPr>
        <w:t>国标委发〔</w:t>
      </w:r>
      <w:r>
        <w:rPr>
          <w:rFonts w:ascii="Times New Roman" w:hAnsi="Times New Roman" w:eastAsia="Times New Roman" w:cs="Times New Roman"/>
          <w:spacing w:val="1"/>
        </w:rPr>
        <w:t>2023</w:t>
      </w:r>
      <w:r>
        <w:rPr>
          <w:spacing w:val="1"/>
        </w:rPr>
        <w:t>〕</w:t>
      </w:r>
      <w:r>
        <w:rPr>
          <w:rFonts w:ascii="Times New Roman" w:hAnsi="Times New Roman" w:eastAsia="Times New Roman" w:cs="Times New Roman"/>
          <w:spacing w:val="1"/>
        </w:rPr>
        <w:t>58</w:t>
      </w:r>
      <w:r>
        <w:rPr>
          <w:spacing w:val="1"/>
        </w:rPr>
        <w:t>号</w:t>
      </w:r>
      <w:r>
        <w:rPr>
          <w:rFonts w:ascii="Times New Roman" w:hAnsi="Times New Roman" w:eastAsia="Times New Roman" w:cs="Times New Roman"/>
          <w:spacing w:val="1"/>
        </w:rPr>
        <w:t>)</w:t>
      </w:r>
      <w:r>
        <w:rPr>
          <w:spacing w:val="1"/>
        </w:rPr>
        <w:t>，国家标准《太阳能级硅多晶》由</w:t>
      </w:r>
      <w:r>
        <w:rPr>
          <w:spacing w:val="22"/>
        </w:rPr>
        <w:t>全国半导体设备和材料标准化技术委员会材料分技术委员会归口，</w:t>
      </w:r>
      <w:r>
        <w:rPr>
          <w:spacing w:val="21"/>
        </w:rPr>
        <w:t>任务编号为</w:t>
      </w:r>
      <w:r>
        <w:rPr>
          <w:rFonts w:hint="eastAsia" w:ascii="Times New Roman" w:hAnsi="Times New Roman" w:cs="Times New Roman"/>
          <w:spacing w:val="-1"/>
          <w:lang w:val="en-US" w:eastAsia="zh-CN"/>
        </w:rPr>
        <w:t>3</w:t>
      </w:r>
      <w:r>
        <w:rPr>
          <w:rFonts w:ascii="Times New Roman" w:hAnsi="Times New Roman" w:eastAsia="Times New Roman" w:cs="Times New Roman"/>
          <w:spacing w:val="-1"/>
        </w:rPr>
        <w:t>20231109-T-469</w:t>
      </w:r>
      <w:r>
        <w:rPr>
          <w:spacing w:val="-1"/>
        </w:rPr>
        <w:t>，由洛阳中硅高科技</w:t>
      </w:r>
      <w:r>
        <w:rPr>
          <w:spacing w:val="-2"/>
        </w:rPr>
        <w:t>有限公司牵头起草。</w:t>
      </w:r>
    </w:p>
    <w:p>
      <w:pPr>
        <w:pStyle w:val="4"/>
        <w:numPr>
          <w:ilvl w:val="0"/>
          <w:numId w:val="2"/>
        </w:numPr>
        <w:autoSpaceDE/>
        <w:autoSpaceDN/>
        <w:spacing w:before="140" w:after="140" w:afterLines="0" w:line="360" w:lineRule="auto"/>
        <w:ind w:left="0"/>
        <w:outlineLvl w:val="1"/>
        <w:rPr>
          <w:rFonts w:ascii="宋体" w:hAnsi="宋体" w:eastAsia="宋体" w:cs="宋体"/>
          <w:spacing w:val="-2"/>
          <w14:textOutline w14:w="4358" w14:cap="sq" w14:cmpd="sng">
            <w14:solidFill>
              <w14:srgbClr w14:val="000000"/>
            </w14:solidFill>
            <w14:prstDash w14:val="solid"/>
            <w14:bevel/>
          </w14:textOutline>
        </w:rPr>
      </w:pPr>
      <w:r>
        <w:rPr>
          <w:spacing w:val="-2"/>
          <w14:textOutline w14:w="4358" w14:cap="sq" w14:cmpd="sng">
            <w14:solidFill>
              <w14:srgbClr w14:val="000000"/>
            </w14:solidFill>
            <w14:prstDash w14:val="solid"/>
            <w14:bevel/>
          </w14:textOutline>
        </w:rPr>
        <w:t>主要参加单位和工作成员及其所作的工作</w:t>
      </w:r>
    </w:p>
    <w:p>
      <w:pPr>
        <w:pStyle w:val="4"/>
        <w:numPr>
          <w:ilvl w:val="0"/>
          <w:numId w:val="3"/>
        </w:numPr>
        <w:autoSpaceDE/>
        <w:autoSpaceDN/>
        <w:spacing w:before="140" w:after="140" w:afterLines="0" w:line="360" w:lineRule="auto"/>
        <w:ind w:left="425" w:hanging="425"/>
        <w:outlineLvl w:val="1"/>
        <w:rPr>
          <w:rFonts w:hint="eastAsia"/>
          <w:b/>
          <w:bCs/>
          <w:snapToGrid/>
          <w:kern w:val="2"/>
          <w:lang w:eastAsia="zh-CN"/>
        </w:rPr>
      </w:pPr>
      <w:r>
        <w:rPr>
          <w:rFonts w:hint="eastAsia"/>
          <w:b/>
          <w:bCs/>
          <w:snapToGrid/>
          <w:spacing w:val="0"/>
          <w:kern w:val="2"/>
          <w:lang w:eastAsia="zh-CN"/>
        </w:rPr>
        <w:t>主要参加单位情况</w:t>
      </w:r>
    </w:p>
    <w:p>
      <w:pPr>
        <w:pStyle w:val="4"/>
        <w:autoSpaceDE/>
        <w:autoSpaceDN/>
        <w:spacing w:before="0" w:line="360" w:lineRule="auto"/>
        <w:ind w:left="0" w:right="0" w:firstLine="464" w:firstLineChars="200"/>
        <w:rPr>
          <w:rFonts w:hint="eastAsia"/>
          <w:spacing w:val="-1"/>
        </w:rPr>
      </w:pPr>
      <w:r>
        <w:rPr>
          <w:spacing w:val="-4"/>
        </w:rPr>
        <w:t>标准主编单位洛阳中硅高科技有限公司</w:t>
      </w:r>
      <w:r>
        <w:rPr>
          <w:rFonts w:hint="eastAsia"/>
          <w:spacing w:val="-1"/>
        </w:rPr>
        <w:t>（简称：中硅高科）成立于2003年，注册资金10.57亿元，现有员工796人，隶属于中国五矿集团有限公司</w:t>
      </w:r>
      <w:r>
        <w:rPr>
          <w:rFonts w:hint="eastAsia"/>
          <w:spacing w:val="-1"/>
          <w:lang w:eastAsia="zh-CN"/>
        </w:rPr>
        <w:t>，</w:t>
      </w:r>
      <w:r>
        <w:rPr>
          <w:rFonts w:hint="eastAsia"/>
          <w:spacing w:val="-1"/>
          <w:lang w:val="en-US" w:eastAsia="zh-CN"/>
        </w:rPr>
        <w:t>采用自主知识产权的技术，突破了国外技术封锁，2003建立了国内第一条百吨级太阳能级多晶硅生产线，引领行业发展，持续太阳能级多晶硅技术和人才输出。近年</w:t>
      </w:r>
      <w:r>
        <w:rPr>
          <w:rFonts w:hint="eastAsia"/>
          <w:spacing w:val="-1"/>
        </w:rPr>
        <w:t>中硅高科践行中国</w:t>
      </w:r>
      <w:r>
        <w:rPr>
          <w:rFonts w:hint="eastAsia"/>
          <w:spacing w:val="-1"/>
          <w:lang w:val="en-US" w:eastAsia="zh-CN"/>
        </w:rPr>
        <w:t>国家</w:t>
      </w:r>
      <w:r>
        <w:rPr>
          <w:rFonts w:hint="eastAsia"/>
          <w:spacing w:val="-1"/>
        </w:rPr>
        <w:t>资源保障战略，</w:t>
      </w:r>
      <w:r>
        <w:rPr>
          <w:rFonts w:hint="eastAsia"/>
          <w:spacing w:val="-1"/>
          <w:lang w:val="en-US" w:eastAsia="zh-CN"/>
        </w:rPr>
        <w:t>在保留多晶硅产业的同时，</w:t>
      </w:r>
      <w:r>
        <w:rPr>
          <w:rFonts w:hint="eastAsia"/>
          <w:spacing w:val="-1"/>
        </w:rPr>
        <w:t>聚焦国家战略必争领域关键材料，进行新能源、光通信及集成电路用高端基础材料研发、生产，是国家高新技术企业、电子信息行业优秀创新企业、河南省创新龙头企业、专精特新企业、制造业单项冠军企业、技术创新示范企业和知识产权优势企业。</w:t>
      </w:r>
    </w:p>
    <w:p>
      <w:pPr>
        <w:pStyle w:val="4"/>
        <w:autoSpaceDE/>
        <w:autoSpaceDN/>
        <w:spacing w:before="0" w:line="360" w:lineRule="auto"/>
        <w:ind w:left="0" w:right="0" w:firstLine="476" w:firstLineChars="200"/>
        <w:rPr>
          <w:rFonts w:hint="eastAsia"/>
          <w:spacing w:val="-1"/>
        </w:rPr>
      </w:pPr>
      <w:r>
        <w:rPr>
          <w:rFonts w:hint="eastAsia"/>
          <w:spacing w:val="-1"/>
        </w:rPr>
        <w:t>企业研发应用了一大批具有自主知识产权的核心技术和产品。建成不同层级和侧重的科技平台：设立了博士后科研工作站、硅基材料制备技术国家工程研究中心等2个国家级创新平台、3个省级创新平台和3个市级创新平台。积极融入国家科技创新体系，针对国家重大需求，先后承担实施国家重点研发计划、高质量发展专项等26项国家项目。通过校企合作、课题共研、平台共建、定制开发、产品应用迭代验证、柔性引才等举措，构建了基于市场需求的复合型研发体系，获得授权专利240余项，牵头制定国际、国家、行业和团体标准71项，多项成果填补国内空白，其中3项成果达到国际领先水平，荣获国家科技进步二等奖、中国发明专利金奖、国家工业大奖提名奖等省部级以上荣誉奖励40多项。</w:t>
      </w:r>
    </w:p>
    <w:p>
      <w:pPr>
        <w:pStyle w:val="4"/>
        <w:autoSpaceDE/>
        <w:autoSpaceDN/>
        <w:spacing w:before="0" w:line="360" w:lineRule="auto"/>
        <w:ind w:left="0" w:right="0" w:firstLine="476" w:firstLineChars="200"/>
        <w:rPr>
          <w:spacing w:val="-1"/>
        </w:rPr>
      </w:pPr>
      <w:r>
        <w:rPr>
          <w:rFonts w:hint="eastAsia"/>
          <w:spacing w:val="-1"/>
        </w:rPr>
        <w:t>企业始终肩负“担国家责任、补行业短板”使命，围绕国家战略布局，聚焦国家战略必争领域关键基础材料开展科技攻关，实现硅基电子材料行业科技自立自强。已有20种高端材料实现产业化，成功进入台积电、中芯国际、美国英特尔、韩国三星、韩国海力士等知名企业供应链，应用于28 nm及以下先进集成电路芯片制造，部分产品的客户覆盖率超过90%，有力保障了我国集成电路材料供应链和国防科工安全。</w:t>
      </w:r>
    </w:p>
    <w:p>
      <w:pPr>
        <w:pStyle w:val="4"/>
        <w:keepNext/>
        <w:keepLines/>
        <w:pageBreakBefore w:val="0"/>
        <w:widowControl w:val="0"/>
        <w:numPr>
          <w:ilvl w:val="0"/>
          <w:numId w:val="3"/>
        </w:numPr>
        <w:kinsoku/>
        <w:wordWrap/>
        <w:overflowPunct/>
        <w:topLinePunct w:val="0"/>
        <w:autoSpaceDE/>
        <w:autoSpaceDN/>
        <w:bidi w:val="0"/>
        <w:adjustRightInd/>
        <w:snapToGrid/>
        <w:spacing w:before="140" w:after="140" w:afterLines="0" w:line="360" w:lineRule="auto"/>
        <w:ind w:left="425" w:leftChars="0" w:hanging="425" w:firstLineChars="0"/>
        <w:textAlignment w:val="auto"/>
        <w:outlineLvl w:val="1"/>
        <w:rPr>
          <w:rFonts w:hint="eastAsia" w:ascii="宋体" w:hAnsi="宋体" w:eastAsia="宋体" w:cs="宋体"/>
          <w:b w:val="0"/>
          <w:bCs w:val="0"/>
          <w:spacing w:val="-2"/>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2"/>
          <w:sz w:val="24"/>
          <w:szCs w:val="24"/>
          <w14:textOutline w14:w="4358" w14:cap="sq" w14:cmpd="sng">
            <w14:solidFill>
              <w14:srgbClr w14:val="000000"/>
            </w14:solidFill>
            <w14:prstDash w14:val="solid"/>
            <w14:bevel/>
          </w14:textOutline>
        </w:rPr>
        <w:t>主要工作成员所负责的工作情况</w:t>
      </w:r>
    </w:p>
    <w:p>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本标准主要起草人及工作职责见表1。</w:t>
      </w:r>
    </w:p>
    <w:p>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表1 主要起草人及工作职责</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起草人</w:t>
            </w:r>
          </w:p>
        </w:tc>
        <w:tc>
          <w:tcPr>
            <w:tcW w:w="6688" w:type="dxa"/>
            <w:noWrap w:val="0"/>
            <w:vAlign w:val="center"/>
          </w:tcPr>
          <w:p>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pPr>
              <w:spacing w:line="360" w:lineRule="auto"/>
              <w:jc w:val="center"/>
              <w:rPr>
                <w:rFonts w:hint="default" w:ascii="Times New Roman" w:hAnsi="Times New Roman" w:eastAsia="宋体" w:cs="Times New Roman"/>
                <w:color w:val="auto"/>
                <w:sz w:val="24"/>
              </w:rPr>
            </w:pPr>
          </w:p>
        </w:tc>
        <w:tc>
          <w:tcPr>
            <w:tcW w:w="6688" w:type="dxa"/>
            <w:noWrap w:val="0"/>
            <w:vAlign w:val="center"/>
          </w:tcPr>
          <w:p>
            <w:pPr>
              <w:spacing w:line="360" w:lineRule="auto"/>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负责标准</w:t>
            </w:r>
            <w:r>
              <w:rPr>
                <w:rFonts w:hint="default" w:ascii="Times New Roman" w:hAnsi="Times New Roman" w:eastAsia="宋体" w:cs="Times New Roman"/>
                <w:color w:val="auto"/>
                <w:sz w:val="24"/>
                <w:lang w:eastAsia="zh-CN"/>
              </w:rPr>
              <w:t>前期调研，技术指标收集</w:t>
            </w:r>
            <w:r>
              <w:rPr>
                <w:rFonts w:hint="default" w:ascii="Times New Roman" w:hAnsi="Times New Roman" w:eastAsia="宋体" w:cs="Times New Roman"/>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pPr>
              <w:spacing w:line="360" w:lineRule="auto"/>
              <w:jc w:val="center"/>
              <w:rPr>
                <w:rFonts w:hint="default" w:ascii="Times New Roman" w:hAnsi="Times New Roman" w:eastAsia="宋体" w:cs="Times New Roman"/>
                <w:color w:val="auto"/>
                <w:sz w:val="24"/>
              </w:rPr>
            </w:pPr>
          </w:p>
        </w:tc>
        <w:tc>
          <w:tcPr>
            <w:tcW w:w="6688" w:type="dxa"/>
            <w:noWrap w:val="0"/>
            <w:vAlign w:val="center"/>
          </w:tcPr>
          <w:p>
            <w:pPr>
              <w:spacing w:line="360" w:lineRule="auto"/>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负责草案的编制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pPr>
              <w:spacing w:line="360" w:lineRule="auto"/>
              <w:jc w:val="center"/>
              <w:rPr>
                <w:rFonts w:hint="default" w:ascii="Times New Roman" w:hAnsi="Times New Roman" w:eastAsia="宋体" w:cs="Times New Roman"/>
                <w:color w:val="auto"/>
                <w:sz w:val="24"/>
              </w:rPr>
            </w:pPr>
          </w:p>
        </w:tc>
        <w:tc>
          <w:tcPr>
            <w:tcW w:w="6688" w:type="dxa"/>
            <w:noWrap w:val="0"/>
            <w:vAlign w:val="center"/>
          </w:tcPr>
          <w:p>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pPr>
              <w:spacing w:line="360" w:lineRule="auto"/>
              <w:jc w:val="center"/>
              <w:rPr>
                <w:rFonts w:hint="default" w:ascii="Times New Roman" w:hAnsi="Times New Roman" w:eastAsia="宋体" w:cs="Times New Roman"/>
                <w:color w:val="auto"/>
                <w:sz w:val="24"/>
              </w:rPr>
            </w:pPr>
          </w:p>
        </w:tc>
        <w:tc>
          <w:tcPr>
            <w:tcW w:w="6688" w:type="dxa"/>
            <w:noWrap w:val="0"/>
            <w:vAlign w:val="center"/>
          </w:tcPr>
          <w:p>
            <w:pPr>
              <w:spacing w:line="360" w:lineRule="auto"/>
              <w:jc w:val="left"/>
              <w:rPr>
                <w:rFonts w:hint="default"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pPr>
              <w:spacing w:line="360" w:lineRule="auto"/>
              <w:jc w:val="center"/>
              <w:rPr>
                <w:rFonts w:hint="default" w:ascii="Times New Roman" w:hAnsi="Times New Roman" w:eastAsia="宋体" w:cs="Times New Roman"/>
                <w:color w:val="auto"/>
                <w:sz w:val="24"/>
              </w:rPr>
            </w:pPr>
          </w:p>
        </w:tc>
        <w:tc>
          <w:tcPr>
            <w:tcW w:w="6688" w:type="dxa"/>
            <w:noWrap w:val="0"/>
            <w:vAlign w:val="center"/>
          </w:tcPr>
          <w:p>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91" w:type="dxa"/>
            <w:noWrap w:val="0"/>
            <w:vAlign w:val="center"/>
          </w:tcPr>
          <w:p>
            <w:pPr>
              <w:spacing w:line="360" w:lineRule="auto"/>
              <w:jc w:val="center"/>
              <w:rPr>
                <w:rFonts w:hint="default" w:ascii="Times New Roman" w:hAnsi="Times New Roman" w:eastAsia="宋体" w:cs="Times New Roman"/>
                <w:color w:val="auto"/>
                <w:sz w:val="24"/>
              </w:rPr>
            </w:pPr>
          </w:p>
        </w:tc>
        <w:tc>
          <w:tcPr>
            <w:tcW w:w="6688" w:type="dxa"/>
            <w:noWrap w:val="0"/>
            <w:vAlign w:val="center"/>
          </w:tcPr>
          <w:p>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p>
        </w:tc>
      </w:tr>
    </w:tbl>
    <w:p>
      <w:pPr>
        <w:pStyle w:val="4"/>
        <w:autoSpaceDE/>
        <w:autoSpaceDN/>
        <w:spacing w:before="0" w:line="360" w:lineRule="auto"/>
        <w:ind w:right="0" w:firstLine="420" w:firstLineChars="200"/>
        <w:rPr>
          <w:rFonts w:ascii="Arial"/>
          <w:sz w:val="21"/>
        </w:rPr>
      </w:pPr>
    </w:p>
    <w:p>
      <w:pPr>
        <w:pStyle w:val="4"/>
        <w:autoSpaceDE/>
        <w:autoSpaceDN/>
        <w:spacing w:before="140" w:after="140" w:afterLines="0" w:line="360" w:lineRule="auto"/>
        <w:ind w:left="0"/>
        <w:outlineLvl w:val="1"/>
        <w:rPr>
          <w:rFonts w:ascii="宋体" w:hAnsi="宋体" w:eastAsia="宋体" w:cs="宋体"/>
          <w:spacing w:val="-2"/>
          <w:sz w:val="24"/>
          <w14:textOutline w14:w="4358" w14:cap="sq" w14:cmpd="sng">
            <w14:solidFill>
              <w14:srgbClr w14:val="000000"/>
            </w14:solidFill>
            <w14:prstDash w14:val="solid"/>
            <w14:bevel/>
          </w14:textOutline>
        </w:rPr>
      </w:pPr>
      <w:r>
        <w:rPr>
          <w:spacing w:val="-2"/>
          <w14:textOutline w14:w="4358" w14:cap="sq" w14:cmpd="sng">
            <w14:solidFill>
              <w14:srgbClr w14:val="000000"/>
            </w14:solidFill>
            <w14:prstDash w14:val="solid"/>
            <w14:bevel/>
          </w14:textOutline>
        </w:rPr>
        <w:t>（四）主要工作过程</w:t>
      </w:r>
    </w:p>
    <w:p>
      <w:pPr>
        <w:pStyle w:val="4"/>
        <w:spacing w:before="0" w:line="360" w:lineRule="auto"/>
        <w:ind w:left="0" w:firstLine="480" w:firstLineChars="200"/>
      </w:pPr>
      <w:r>
        <w:t>根据正在公示的计划（</w:t>
      </w:r>
      <w:r>
        <w:rPr>
          <w:rFonts w:ascii="Times New Roman" w:hAnsi="Times New Roman" w:eastAsia="Times New Roman" w:cs="Times New Roman"/>
        </w:rPr>
        <w:t>2023000379</w:t>
      </w:r>
      <w:r>
        <w:t>）的要求，国家标准</w:t>
      </w:r>
      <w:r>
        <w:rPr>
          <w:spacing w:val="-1"/>
        </w:rPr>
        <w:t>《太阳能级硅多晶》的编</w:t>
      </w:r>
      <w:r>
        <w:t>制工作由洛阳中硅高科技有限公司牵头负责，组建了由洛阳中</w:t>
      </w:r>
      <w:r>
        <w:rPr>
          <w:spacing w:val="-1"/>
        </w:rPr>
        <w:t>硅高科技有限公司、新特能源股份有限公司、内蒙古通威高纯晶硅有限公司、亚洲硅</w:t>
      </w:r>
      <w:r>
        <w:rPr>
          <w:spacing w:val="-2"/>
        </w:rPr>
        <w:t>业</w:t>
      </w:r>
      <w:r>
        <w:rPr>
          <w:rFonts w:ascii="Times New Roman" w:hAnsi="Times New Roman" w:eastAsia="Times New Roman" w:cs="Times New Roman"/>
          <w:spacing w:val="-2"/>
        </w:rPr>
        <w:t>(</w:t>
      </w:r>
      <w:r>
        <w:rPr>
          <w:spacing w:val="-2"/>
        </w:rPr>
        <w:t>青海</w:t>
      </w:r>
      <w:r>
        <w:rPr>
          <w:rFonts w:ascii="Times New Roman" w:hAnsi="Times New Roman" w:eastAsia="Times New Roman" w:cs="Times New Roman"/>
          <w:spacing w:val="-2"/>
        </w:rPr>
        <w:t>)</w:t>
      </w:r>
      <w:r>
        <w:rPr>
          <w:spacing w:val="-2"/>
        </w:rPr>
        <w:t>股份有限公司、</w:t>
      </w:r>
      <w:r>
        <w:t>新疆大全新能源股份有限公司、陕西有色天宏瑞科硅材料有限</w:t>
      </w:r>
      <w:r>
        <w:rPr>
          <w:spacing w:val="-1"/>
        </w:rPr>
        <w:t>责任公司、江苏中能硅</w:t>
      </w:r>
      <w:r>
        <w:t>业科技发展有限公司等专家成立标准编制组。编制组详细讨论</w:t>
      </w:r>
      <w:r>
        <w:rPr>
          <w:spacing w:val="-1"/>
        </w:rPr>
        <w:t>并广泛调研收集整理了</w:t>
      </w:r>
      <w:r>
        <w:t>国内外与本标准项目相关的标准、论文、专著等文献资料，为</w:t>
      </w:r>
      <w:r>
        <w:rPr>
          <w:spacing w:val="-1"/>
        </w:rPr>
        <w:t>标准修订提供技术参考</w:t>
      </w:r>
      <w:r>
        <w:t>和支撑。同时标准编制组也充分调研了硅多晶生产企业公司和</w:t>
      </w:r>
      <w:r>
        <w:rPr>
          <w:spacing w:val="-1"/>
        </w:rPr>
        <w:t>下游客户单位的对太阳</w:t>
      </w:r>
      <w:r>
        <w:t>能级硅多晶产品的技术要求，并组织相关人员整理，对拟制定</w:t>
      </w:r>
      <w:r>
        <w:rPr>
          <w:spacing w:val="-1"/>
        </w:rPr>
        <w:t>标准所涉及的内容、范</w:t>
      </w:r>
      <w:r>
        <w:t>围、适用性、和科学性等内容进行了认真研讨、论证和改进，</w:t>
      </w:r>
      <w:r>
        <w:rPr>
          <w:spacing w:val="-1"/>
        </w:rPr>
        <w:t>在调研的基础上，初步</w:t>
      </w:r>
      <w:r>
        <w:t>确立了标准的主要内容。最终形成了《太阳能级硅多晶》的讨</w:t>
      </w:r>
      <w:r>
        <w:rPr>
          <w:spacing w:val="-1"/>
        </w:rPr>
        <w:t>论稿，并在编制组成员单位内进行了充分的讨论。</w:t>
      </w:r>
    </w:p>
    <w:p>
      <w:pPr>
        <w:pStyle w:val="4"/>
        <w:spacing w:line="360" w:lineRule="auto"/>
        <w:ind w:left="0" w:firstLine="468" w:firstLineChars="200"/>
      </w:pPr>
      <w:r>
        <w:rPr>
          <w:rFonts w:ascii="Times New Roman" w:hAnsi="Times New Roman" w:eastAsia="Times New Roman" w:cs="Times New Roman"/>
          <w:spacing w:val="-3"/>
        </w:rPr>
        <w:t>2023</w:t>
      </w:r>
      <w:r>
        <w:rPr>
          <w:spacing w:val="-3"/>
        </w:rPr>
        <w:t>年</w:t>
      </w:r>
      <w:r>
        <w:rPr>
          <w:rFonts w:ascii="Times New Roman" w:hAnsi="Times New Roman" w:eastAsia="Times New Roman" w:cs="Times New Roman"/>
          <w:spacing w:val="-3"/>
        </w:rPr>
        <w:t>11</w:t>
      </w:r>
      <w:r>
        <w:rPr>
          <w:spacing w:val="-3"/>
        </w:rPr>
        <w:t>月</w:t>
      </w:r>
      <w:r>
        <w:rPr>
          <w:rFonts w:ascii="Times New Roman" w:hAnsi="Times New Roman" w:eastAsia="Times New Roman" w:cs="Times New Roman"/>
          <w:spacing w:val="-3"/>
        </w:rPr>
        <w:t>15</w:t>
      </w:r>
      <w:r>
        <w:rPr>
          <w:spacing w:val="-3"/>
        </w:rPr>
        <w:t>日，行业内近百名专家相聚浙江丽水对该标准展开了集中讨论，</w:t>
      </w:r>
      <w:r>
        <w:rPr>
          <w:spacing w:val="-5"/>
        </w:rPr>
        <w:t>形成数十条修改意见，其中在本次会议中确定了该标准的名称为《太阳能级硅多晶》，</w:t>
      </w:r>
      <w:r>
        <w:t>会后洛阳中硅根据讨论会意见，联合标准起草组，形成</w:t>
      </w:r>
      <w:r>
        <w:rPr>
          <w:spacing w:val="-1"/>
        </w:rPr>
        <w:t>了标准的征求意见稿并于</w:t>
      </w:r>
      <w:r>
        <w:rPr>
          <w:rFonts w:ascii="Times New Roman" w:hAnsi="Times New Roman" w:eastAsia="Times New Roman" w:cs="Times New Roman"/>
          <w:spacing w:val="-1"/>
        </w:rPr>
        <w:t>2024</w:t>
      </w:r>
      <w:r>
        <w:rPr>
          <w:spacing w:val="-4"/>
        </w:rPr>
        <w:t>年</w:t>
      </w:r>
      <w:r>
        <w:rPr>
          <w:spacing w:val="-39"/>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w w:val="101"/>
        </w:rPr>
        <w:t xml:space="preserve"> </w:t>
      </w:r>
      <w:r>
        <w:rPr>
          <w:spacing w:val="-4"/>
        </w:rPr>
        <w:t>月进行公开意见征集。</w:t>
      </w:r>
    </w:p>
    <w:p>
      <w:pPr>
        <w:pStyle w:val="4"/>
        <w:spacing w:before="0" w:line="360" w:lineRule="auto"/>
        <w:ind w:right="0" w:firstLine="460" w:firstLineChars="200"/>
        <w:rPr>
          <w:rFonts w:hint="eastAsia"/>
          <w:spacing w:val="-5"/>
          <w:lang w:val="en-US" w:eastAsia="zh-CN"/>
        </w:rPr>
      </w:pPr>
      <w:r>
        <w:rPr>
          <w:rFonts w:hint="eastAsia"/>
          <w:spacing w:val="-5"/>
          <w:lang w:val="en-US" w:eastAsia="zh-CN"/>
        </w:rPr>
        <w:t>2024年7～8月份，编制组充分吸收并转化各相关防提出的意见，形成标准预审稿并在徐州会议上实施预审。</w:t>
      </w:r>
    </w:p>
    <w:p>
      <w:pPr>
        <w:pStyle w:val="4"/>
        <w:spacing w:before="0" w:line="360" w:lineRule="auto"/>
        <w:ind w:right="0" w:firstLine="480" w:firstLineChars="200"/>
        <w:rPr>
          <w:rFonts w:hint="eastAsia"/>
          <w:spacing w:val="-5"/>
          <w:lang w:val="en-US" w:eastAsia="zh-CN"/>
        </w:rPr>
      </w:pPr>
      <w:r>
        <w:rPr>
          <w:rFonts w:hint="eastAsia" w:ascii="宋体" w:hAnsi="宋体"/>
          <w:color w:val="auto"/>
          <w:sz w:val="24"/>
          <w:highlight w:val="none"/>
          <w:lang w:val="en-US" w:eastAsia="zh-CN"/>
        </w:rPr>
        <w:t>2024年8月23日，由全国半导体设备和材料标准化技术委员会材料分技术委员会组织，在江苏徐州召开了《太阳能级硅多晶》第二次标准工作会议（预审会），会议对本标准的技术指标、试验方法等提出了相应修改建议。会后标准编制组根据会议内容对标准预审稿进行了修改和补充、完善，于2024年10月完成了审定稿及编制说明。</w:t>
      </w:r>
    </w:p>
    <w:p>
      <w:pPr>
        <w:pStyle w:val="2"/>
        <w:keepNext/>
        <w:keepLines/>
        <w:widowControl w:val="0"/>
        <w:kinsoku/>
        <w:autoSpaceDE/>
        <w:autoSpaceDN/>
        <w:adjustRightInd/>
        <w:snapToGrid/>
        <w:spacing w:before="157" w:beforeLines="50" w:after="157" w:afterLines="50" w:line="360" w:lineRule="auto"/>
        <w:ind w:left="207"/>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pacing w:val="0"/>
          <w:sz w:val="28"/>
          <w:szCs w:val="28"/>
          <w:lang w:eastAsia="zh-CN"/>
          <w14:textOutline w14:w="5103" w14:cap="sq" w14:cmpd="sng">
            <w14:solidFill>
              <w14:srgbClr w14:val="000000"/>
            </w14:solidFill>
            <w14:prstDash w14:val="solid"/>
            <w14:bevel/>
          </w14:textOutline>
        </w:rPr>
        <w:t>标准编制原则</w:t>
      </w:r>
    </w:p>
    <w:p>
      <w:pPr>
        <w:pStyle w:val="4"/>
        <w:spacing w:before="0" w:line="360" w:lineRule="auto"/>
        <w:ind w:left="0" w:firstLine="0" w:firstLineChars="0"/>
      </w:pPr>
      <w:r>
        <w:rPr>
          <w:spacing w:val="-1"/>
        </w:rPr>
        <w:t>本标准的编制原则如下：</w:t>
      </w:r>
    </w:p>
    <w:p>
      <w:pPr>
        <w:pStyle w:val="4"/>
        <w:spacing w:before="0" w:line="360" w:lineRule="auto"/>
        <w:ind w:left="0" w:firstLine="460" w:firstLineChars="200"/>
        <w:rPr>
          <w:rFonts w:hint="eastAsia"/>
          <w:spacing w:val="-5"/>
          <w:lang w:eastAsia="zh-CN"/>
        </w:rPr>
      </w:pPr>
      <w:r>
        <w:rPr>
          <w:rFonts w:hint="eastAsia"/>
          <w:spacing w:val="-5"/>
          <w:lang w:eastAsia="zh-CN"/>
        </w:rPr>
        <w:t>（一）细化修改太阳能级硅多晶的质量要求，使之满足和保证行业应用的技术发展需</w:t>
      </w:r>
      <w:r>
        <w:rPr>
          <w:rFonts w:hint="eastAsia" w:ascii="宋体" w:hAnsi="宋体" w:eastAsia="宋体" w:cs="宋体"/>
          <w:spacing w:val="-5"/>
          <w:position w:val="0"/>
          <w:lang w:eastAsia="zh-CN"/>
        </w:rPr>
        <w:t>要。根据行业水平和用户需求，一方面对现有《太阳能级硅多晶》国家标准技术指标</w:t>
      </w:r>
      <w:r>
        <w:rPr>
          <w:rFonts w:hint="eastAsia" w:ascii="宋体" w:hAnsi="宋体" w:eastAsia="宋体" w:cs="宋体"/>
          <w:spacing w:val="-5"/>
          <w:lang w:eastAsia="zh-CN"/>
        </w:rPr>
        <w:t>进行修订，另一方面删减部分技术指标。</w:t>
      </w:r>
    </w:p>
    <w:p>
      <w:pPr>
        <w:pStyle w:val="4"/>
        <w:spacing w:before="0" w:line="360" w:lineRule="auto"/>
        <w:ind w:left="0" w:firstLine="460" w:firstLineChars="200"/>
        <w:outlineLvl w:val="9"/>
        <w:rPr>
          <w:rFonts w:hint="eastAsia"/>
          <w:spacing w:val="-5"/>
          <w:lang w:eastAsia="zh-CN"/>
        </w:rPr>
      </w:pPr>
      <w:r>
        <w:rPr>
          <w:rFonts w:hint="eastAsia"/>
          <w:spacing w:val="-5"/>
          <w:lang w:eastAsia="zh-CN"/>
        </w:rPr>
        <w:t>（二）将氧含量和少数载流子寿命作为供需双方协商项目，更符合现有产品质量和客户需求。</w:t>
      </w:r>
    </w:p>
    <w:p>
      <w:pPr>
        <w:pStyle w:val="4"/>
        <w:autoSpaceDE/>
        <w:autoSpaceDN/>
        <w:spacing w:before="0" w:line="360" w:lineRule="auto"/>
        <w:ind w:left="0" w:firstLine="480" w:firstLineChars="200"/>
        <w:jc w:val="both"/>
        <w:outlineLvl w:val="9"/>
        <w:rPr>
          <w:rFonts w:hint="eastAsia"/>
          <w:color w:val="auto"/>
          <w:highlight w:val="none"/>
          <w:lang w:eastAsia="zh-CN"/>
        </w:rPr>
      </w:pPr>
      <w:r>
        <w:rPr>
          <w:rFonts w:hint="eastAsia"/>
          <w:color w:val="auto"/>
          <w:spacing w:val="0"/>
          <w:highlight w:val="none"/>
          <w:lang w:eastAsia="zh-CN"/>
        </w:rPr>
        <w:t>（三）尺寸、表面质量部分按照最新的市场需求进行调整。</w:t>
      </w:r>
    </w:p>
    <w:p>
      <w:pPr>
        <w:pStyle w:val="4"/>
        <w:spacing w:before="0" w:line="360" w:lineRule="auto"/>
        <w:ind w:left="0" w:firstLine="460" w:firstLineChars="200"/>
        <w:outlineLvl w:val="9"/>
        <w:rPr>
          <w:rFonts w:hint="eastAsia"/>
          <w:spacing w:val="-5"/>
          <w:lang w:eastAsia="zh-CN"/>
        </w:rPr>
      </w:pPr>
      <w:r>
        <w:rPr>
          <w:rFonts w:hint="eastAsia"/>
          <w:spacing w:val="-5"/>
          <w:lang w:eastAsia="zh-CN"/>
        </w:rPr>
        <w:t>（四）结合国内硅多晶实际生产水平，同时根据产品用户的意见反馈，正确兼顾好彼此之间的关系，追求技术的先进性、指标的合理性和严谨性的统一。</w:t>
      </w:r>
    </w:p>
    <w:p>
      <w:pPr>
        <w:pStyle w:val="2"/>
        <w:keepNext/>
        <w:keepLines/>
        <w:widowControl w:val="0"/>
        <w:kinsoku/>
        <w:autoSpaceDE/>
        <w:autoSpaceDN/>
        <w:adjustRightInd/>
        <w:snapToGrid/>
        <w:spacing w:before="157" w:beforeLines="50" w:after="157" w:afterLines="50" w:line="360" w:lineRule="auto"/>
        <w:ind w:left="202"/>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z w:val="28"/>
          <w:szCs w:val="28"/>
          <w:lang w:eastAsia="zh-CN"/>
          <w14:textOutline w14:w="5103" w14:cap="sq" w14:cmpd="sng">
            <w14:solidFill>
              <w14:srgbClr w14:val="000000"/>
            </w14:solidFill>
            <w14:prstDash w14:val="solid"/>
            <w14:bevel/>
          </w14:textOutline>
        </w:rPr>
        <w:t>标准主要内容的确定依据及主要试验验证情况分析</w:t>
      </w:r>
    </w:p>
    <w:p>
      <w:pPr>
        <w:pStyle w:val="4"/>
        <w:spacing w:before="0" w:line="360" w:lineRule="auto"/>
        <w:ind w:left="0" w:firstLine="476" w:firstLineChars="200"/>
      </w:pPr>
      <w:r>
        <w:rPr>
          <w:spacing w:val="-1"/>
        </w:rPr>
        <w:t>本次修订，主要技术变动内容及其依据如下：</w:t>
      </w:r>
    </w:p>
    <w:p>
      <w:pPr>
        <w:pStyle w:val="4"/>
        <w:spacing w:before="0" w:line="360" w:lineRule="auto"/>
        <w:ind w:left="0"/>
        <w:outlineLvl w:val="1"/>
      </w:pPr>
      <w:r>
        <w:rPr>
          <w:spacing w:val="-1"/>
          <w14:textOutline w14:w="4358" w14:cap="sq" w14:cmpd="sng">
            <w14:solidFill>
              <w14:srgbClr w14:val="000000"/>
            </w14:solidFill>
            <w14:prstDash w14:val="solid"/>
            <w14:bevel/>
          </w14:textOutline>
        </w:rPr>
        <w:t>（一）第二章：规范性引用文件的说明</w:t>
      </w:r>
    </w:p>
    <w:p>
      <w:pPr>
        <w:pStyle w:val="4"/>
        <w:spacing w:before="0" w:line="360" w:lineRule="auto"/>
        <w:ind w:left="0" w:firstLine="480" w:firstLineChars="200"/>
        <w:rPr>
          <w:rFonts w:ascii="Arial"/>
          <w:sz w:val="21"/>
        </w:rPr>
      </w:pPr>
      <w:r>
        <w:t>规范性引用文件增加了最新的检测方法标准，删除了</w:t>
      </w:r>
      <w:r>
        <w:rPr>
          <w:spacing w:val="-1"/>
        </w:rPr>
        <w:t>换算类的准确度低的方法。</w:t>
      </w:r>
    </w:p>
    <w:p>
      <w:pPr>
        <w:pStyle w:val="4"/>
        <w:spacing w:before="0" w:line="360" w:lineRule="auto"/>
        <w:ind w:left="0"/>
        <w:outlineLvl w:val="1"/>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（二）第四章：牌号及分类</w:t>
      </w:r>
    </w:p>
    <w:p>
      <w:pPr>
        <w:pStyle w:val="4"/>
        <w:spacing w:before="0" w:line="360" w:lineRule="auto"/>
        <w:ind w:left="0" w:firstLine="476" w:firstLineChars="200"/>
        <w:rPr>
          <w:rFonts w:ascii="Arial"/>
          <w:sz w:val="21"/>
        </w:rPr>
      </w:pPr>
      <w:r>
        <w:rPr>
          <w:spacing w:val="-1"/>
        </w:rPr>
        <w:t>牌号部分按照最新《半导体材料牌号表示方法》进行约束；</w:t>
      </w:r>
    </w:p>
    <w:p>
      <w:pPr>
        <w:pStyle w:val="4"/>
        <w:spacing w:before="0" w:line="360" w:lineRule="auto"/>
        <w:ind w:left="0"/>
        <w:outlineLvl w:val="1"/>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（三）第四章：标准主要技术内容确定依据</w:t>
      </w:r>
    </w:p>
    <w:p>
      <w:pPr>
        <w:pStyle w:val="4"/>
        <w:spacing w:before="0" w:line="360" w:lineRule="auto"/>
        <w:ind w:left="0" w:firstLine="488" w:firstLineChars="200"/>
      </w:pPr>
      <w:r>
        <w:rPr>
          <w:spacing w:val="2"/>
        </w:rPr>
        <w:t>标准编制小组首先开始搜集相关的资料，起草小组对国际、国内太阳能级硅多晶</w:t>
      </w:r>
      <w:r>
        <w:rPr>
          <w:spacing w:val="-2"/>
        </w:rPr>
        <w:t>产品生产情况进行了深入调研和分析，各企业内控指标均为太</w:t>
      </w:r>
      <w:r>
        <w:rPr>
          <w:spacing w:val="-3"/>
        </w:rPr>
        <w:t>阳能特级品比例</w:t>
      </w:r>
      <w:r>
        <w:rPr>
          <w:rFonts w:ascii="Times New Roman" w:hAnsi="Times New Roman" w:eastAsia="Times New Roman" w:cs="Times New Roman"/>
          <w:spacing w:val="-3"/>
        </w:rPr>
        <w:t>100%</w:t>
      </w:r>
      <w:r>
        <w:rPr>
          <w:spacing w:val="-3"/>
        </w:rPr>
        <w:t>，</w:t>
      </w:r>
      <w:r>
        <w:rPr>
          <w:spacing w:val="-1"/>
        </w:rPr>
        <w:t>原太阳能二、三级品形同虚设，现有指标体系的“分辨率”无法区分</w:t>
      </w:r>
      <w:r>
        <w:rPr>
          <w:rFonts w:hint="eastAsia" w:ascii="Times New Roman" w:hAnsi="Times New Roman" w:cs="Times New Roman"/>
          <w:spacing w:val="-1"/>
          <w:lang w:val="en-US" w:eastAsia="zh-CN"/>
        </w:rPr>
        <w:t>n</w:t>
      </w:r>
      <w:r>
        <w:rPr>
          <w:spacing w:val="-1"/>
        </w:rPr>
        <w:t>型单晶与普通</w:t>
      </w:r>
      <w:r>
        <w:rPr>
          <w:spacing w:val="2"/>
        </w:rPr>
        <w:t>光伏用的质量差，在标准讨论稿中将国内外太阳能级硅多晶企业标准和用户需求与国</w:t>
      </w:r>
      <w:r>
        <w:rPr>
          <w:spacing w:val="-2"/>
        </w:rPr>
        <w:t>内实际生产情况相结合，经过讨论形成讨论稿技术指标见表</w:t>
      </w:r>
      <w:r>
        <w:rPr>
          <w:rFonts w:ascii="Times New Roman" w:hAnsi="Times New Roman" w:eastAsia="Times New Roman" w:cs="Times New Roman"/>
          <w:spacing w:val="-2"/>
        </w:rPr>
        <w:t>2</w:t>
      </w:r>
      <w:r>
        <w:rPr>
          <w:spacing w:val="-2"/>
        </w:rPr>
        <w:t>。</w:t>
      </w:r>
    </w:p>
    <w:tbl>
      <w:tblPr>
        <w:tblStyle w:val="9"/>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2"/>
        <w:gridCol w:w="1204"/>
        <w:gridCol w:w="15"/>
        <w:gridCol w:w="1216"/>
        <w:gridCol w:w="42"/>
        <w:gridCol w:w="1364"/>
        <w:gridCol w:w="22"/>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4152" w:type="dxa"/>
            <w:vMerge w:val="restart"/>
            <w:tcBorders>
              <w:top w:val="single" w:color="000000" w:sz="6" w:space="0"/>
              <w:left w:val="single" w:color="000000" w:sz="6" w:space="0"/>
              <w:bottom w:val="nil"/>
            </w:tcBorders>
            <w:shd w:val="clear" w:color="auto" w:fill="FFFFFF" w:themeFill="background1"/>
            <w:vAlign w:val="center"/>
          </w:tcPr>
          <w:p>
            <w:pPr>
              <w:pStyle w:val="10"/>
              <w:spacing w:before="252" w:line="220" w:lineRule="auto"/>
              <w:ind w:left="1897" w:leftChars="0"/>
              <w:jc w:val="center"/>
            </w:pPr>
            <w:r>
              <w:rPr>
                <w:spacing w:val="-5"/>
              </w:rPr>
              <w:t>项目</w:t>
            </w:r>
          </w:p>
        </w:tc>
        <w:tc>
          <w:tcPr>
            <w:tcW w:w="5185" w:type="dxa"/>
            <w:gridSpan w:val="7"/>
            <w:tcBorders>
              <w:top w:val="single" w:color="000000" w:sz="6" w:space="0"/>
              <w:right w:val="single" w:color="000000" w:sz="6" w:space="0"/>
            </w:tcBorders>
            <w:shd w:val="clear" w:color="auto" w:fill="FFFFFF" w:themeFill="background1"/>
            <w:vAlign w:val="center"/>
          </w:tcPr>
          <w:p>
            <w:pPr>
              <w:pStyle w:val="10"/>
              <w:spacing w:before="82" w:line="219" w:lineRule="auto"/>
              <w:ind w:left="2236" w:leftChars="0"/>
              <w:jc w:val="center"/>
            </w:pPr>
            <w:r>
              <w:rPr>
                <w:spacing w:val="-2"/>
              </w:rPr>
              <w:t>技术指标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152" w:type="dxa"/>
            <w:vMerge w:val="continue"/>
            <w:tcBorders>
              <w:top w:val="nil"/>
              <w:left w:val="single" w:color="000000" w:sz="6" w:space="0"/>
            </w:tcBorders>
            <w:shd w:val="clear" w:color="auto" w:fill="FFFFFF" w:themeFill="background1"/>
            <w:vAlign w:val="center"/>
          </w:tcPr>
          <w:p>
            <w:pPr>
              <w:jc w:val="center"/>
              <w:rPr>
                <w:rFonts w:ascii="Arial"/>
                <w:sz w:val="21"/>
              </w:rPr>
            </w:pPr>
          </w:p>
        </w:tc>
        <w:tc>
          <w:tcPr>
            <w:tcW w:w="1219" w:type="dxa"/>
            <w:gridSpan w:val="2"/>
            <w:shd w:val="clear" w:color="auto" w:fill="FFFFFF" w:themeFill="background1"/>
            <w:vAlign w:val="center"/>
          </w:tcPr>
          <w:p>
            <w:pPr>
              <w:pStyle w:val="10"/>
              <w:spacing w:before="78" w:line="219" w:lineRule="auto"/>
              <w:ind w:left="337" w:leftChars="0"/>
              <w:jc w:val="center"/>
            </w:pPr>
            <w:r>
              <w:rPr>
                <w:spacing w:val="-3"/>
              </w:rPr>
              <w:t>特级品</w:t>
            </w:r>
          </w:p>
        </w:tc>
        <w:tc>
          <w:tcPr>
            <w:tcW w:w="1216" w:type="dxa"/>
            <w:shd w:val="clear" w:color="auto" w:fill="FFFFFF" w:themeFill="background1"/>
            <w:vAlign w:val="center"/>
          </w:tcPr>
          <w:p>
            <w:pPr>
              <w:pStyle w:val="10"/>
              <w:spacing w:before="78" w:line="221" w:lineRule="auto"/>
              <w:ind w:left="409" w:leftChars="0"/>
              <w:jc w:val="center"/>
            </w:pPr>
            <w:r>
              <w:rPr>
                <w:spacing w:val="-11"/>
              </w:rPr>
              <w:t>1</w:t>
            </w:r>
            <w:r>
              <w:rPr>
                <w:spacing w:val="-34"/>
              </w:rPr>
              <w:t xml:space="preserve"> </w:t>
            </w:r>
            <w:r>
              <w:rPr>
                <w:spacing w:val="-11"/>
              </w:rPr>
              <w:t>级品</w:t>
            </w:r>
          </w:p>
        </w:tc>
        <w:tc>
          <w:tcPr>
            <w:tcW w:w="1406" w:type="dxa"/>
            <w:gridSpan w:val="2"/>
            <w:shd w:val="clear" w:color="auto" w:fill="FFFFFF" w:themeFill="background1"/>
            <w:vAlign w:val="center"/>
          </w:tcPr>
          <w:p>
            <w:pPr>
              <w:pStyle w:val="10"/>
              <w:spacing w:before="78" w:line="221" w:lineRule="auto"/>
              <w:ind w:left="454" w:leftChars="0"/>
              <w:jc w:val="center"/>
            </w:pPr>
            <w:r>
              <w:rPr>
                <w:spacing w:val="-7"/>
              </w:rPr>
              <w:t>2</w:t>
            </w:r>
            <w:r>
              <w:rPr>
                <w:spacing w:val="-33"/>
              </w:rPr>
              <w:t xml:space="preserve"> </w:t>
            </w:r>
            <w:r>
              <w:rPr>
                <w:spacing w:val="-7"/>
              </w:rPr>
              <w:t>级品</w:t>
            </w:r>
          </w:p>
        </w:tc>
        <w:tc>
          <w:tcPr>
            <w:tcW w:w="1344" w:type="dxa"/>
            <w:gridSpan w:val="2"/>
            <w:tcBorders>
              <w:right w:val="single" w:color="000000" w:sz="6" w:space="0"/>
            </w:tcBorders>
            <w:shd w:val="clear" w:color="auto" w:fill="FFFFFF" w:themeFill="background1"/>
            <w:vAlign w:val="center"/>
          </w:tcPr>
          <w:p>
            <w:pPr>
              <w:pStyle w:val="10"/>
              <w:spacing w:before="78" w:line="221" w:lineRule="auto"/>
              <w:ind w:left="423" w:leftChars="0"/>
              <w:jc w:val="center"/>
            </w:pPr>
            <w:r>
              <w:rPr>
                <w:spacing w:val="-7"/>
              </w:rPr>
              <w:t>3</w:t>
            </w:r>
            <w:r>
              <w:rPr>
                <w:spacing w:val="-36"/>
              </w:rPr>
              <w:t xml:space="preserve"> </w:t>
            </w:r>
            <w:r>
              <w:rPr>
                <w:spacing w:val="-7"/>
              </w:rPr>
              <w:t>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152" w:type="dxa"/>
            <w:tcBorders>
              <w:left w:val="single" w:color="000000" w:sz="6" w:space="0"/>
            </w:tcBorders>
            <w:shd w:val="clear" w:color="auto" w:fill="FFFFFF" w:themeFill="background1"/>
            <w:vAlign w:val="center"/>
          </w:tcPr>
          <w:p>
            <w:pPr>
              <w:pStyle w:val="10"/>
              <w:spacing w:before="68" w:line="280" w:lineRule="auto"/>
              <w:ind w:left="1943" w:leftChars="0" w:right="132" w:rightChars="0" w:hanging="1825" w:firstLineChars="0"/>
              <w:jc w:val="center"/>
              <w:rPr>
                <w:sz w:val="8"/>
                <w:szCs w:val="8"/>
              </w:rPr>
            </w:pPr>
            <w:r>
              <w:rPr>
                <w:spacing w:val="-2"/>
              </w:rPr>
              <w:t>施主杂质含量（P、As、Sb</w:t>
            </w:r>
            <w:r>
              <w:rPr>
                <w:spacing w:val="-22"/>
              </w:rPr>
              <w:t xml:space="preserve"> </w:t>
            </w:r>
            <w:r>
              <w:rPr>
                <w:spacing w:val="-2"/>
              </w:rPr>
              <w:t>总含量，以原子数计）</w:t>
            </w:r>
            <w:r>
              <w:rPr>
                <w:spacing w:val="-1"/>
              </w:rPr>
              <w:t>cm</w:t>
            </w:r>
            <w:r>
              <w:rPr>
                <w:spacing w:val="-1"/>
                <w:position w:val="8"/>
                <w:sz w:val="8"/>
                <w:szCs w:val="8"/>
              </w:rPr>
              <w:t>-3</w:t>
            </w:r>
          </w:p>
        </w:tc>
        <w:tc>
          <w:tcPr>
            <w:tcW w:w="1204" w:type="dxa"/>
            <w:shd w:val="clear" w:color="auto" w:fill="FFFFFF" w:themeFill="background1"/>
            <w:vAlign w:val="center"/>
          </w:tcPr>
          <w:p>
            <w:pPr>
              <w:pStyle w:val="10"/>
              <w:spacing w:before="226" w:line="238" w:lineRule="auto"/>
              <w:jc w:val="center"/>
              <w:rPr>
                <w:sz w:val="8"/>
                <w:szCs w:val="8"/>
              </w:rPr>
            </w:pPr>
            <w:r>
              <w:rPr>
                <w:spacing w:val="-2"/>
              </w:rPr>
              <w:t>≤2.0×10</w:t>
            </w:r>
            <w:r>
              <w:rPr>
                <w:spacing w:val="-2"/>
                <w:vertAlign w:val="superscript"/>
              </w:rPr>
              <w:t>13</w:t>
            </w:r>
          </w:p>
        </w:tc>
        <w:tc>
          <w:tcPr>
            <w:tcW w:w="1273" w:type="dxa"/>
            <w:gridSpan w:val="3"/>
            <w:shd w:val="clear" w:color="auto" w:fill="FFFFFF" w:themeFill="background1"/>
            <w:vAlign w:val="center"/>
          </w:tcPr>
          <w:p>
            <w:pPr>
              <w:pStyle w:val="10"/>
              <w:spacing w:before="226" w:line="238" w:lineRule="auto"/>
              <w:jc w:val="center"/>
              <w:rPr>
                <w:spacing w:val="-2"/>
              </w:rPr>
            </w:pPr>
            <w:r>
              <w:rPr>
                <w:spacing w:val="-2"/>
              </w:rPr>
              <w:t>≤3.0×10</w:t>
            </w:r>
            <w:r>
              <w:rPr>
                <w:spacing w:val="-2"/>
                <w:vertAlign w:val="superscript"/>
              </w:rPr>
              <w:t>13</w:t>
            </w:r>
          </w:p>
        </w:tc>
        <w:tc>
          <w:tcPr>
            <w:tcW w:w="1386" w:type="dxa"/>
            <w:gridSpan w:val="2"/>
            <w:shd w:val="clear" w:color="auto" w:fill="FFFFFF" w:themeFill="background1"/>
            <w:vAlign w:val="center"/>
          </w:tcPr>
          <w:p>
            <w:pPr>
              <w:pStyle w:val="10"/>
              <w:spacing w:before="226" w:line="238" w:lineRule="auto"/>
              <w:jc w:val="center"/>
              <w:rPr>
                <w:spacing w:val="-2"/>
              </w:rPr>
            </w:pPr>
            <w:r>
              <w:rPr>
                <w:spacing w:val="-2"/>
              </w:rPr>
              <w:t>≤4.5×10</w:t>
            </w:r>
            <w:r>
              <w:rPr>
                <w:spacing w:val="-2"/>
                <w:vertAlign w:val="superscript"/>
              </w:rPr>
              <w:t>13</w:t>
            </w:r>
          </w:p>
        </w:tc>
        <w:tc>
          <w:tcPr>
            <w:tcW w:w="1322" w:type="dxa"/>
            <w:tcBorders>
              <w:right w:val="single" w:color="000000" w:sz="6" w:space="0"/>
            </w:tcBorders>
            <w:shd w:val="clear" w:color="auto" w:fill="FFFFFF" w:themeFill="background1"/>
            <w:vAlign w:val="center"/>
          </w:tcPr>
          <w:p>
            <w:pPr>
              <w:pStyle w:val="10"/>
              <w:spacing w:before="226" w:line="238" w:lineRule="auto"/>
              <w:jc w:val="center"/>
              <w:rPr>
                <w:spacing w:val="-2"/>
              </w:rPr>
            </w:pPr>
            <w:r>
              <w:rPr>
                <w:spacing w:val="-2"/>
              </w:rPr>
              <w:t>≤6.0×10</w:t>
            </w:r>
            <w:r>
              <w:rPr>
                <w:spacing w:val="-2"/>
                <w:vertAlign w:val="superscript"/>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152" w:type="dxa"/>
            <w:tcBorders>
              <w:left w:val="single" w:color="000000" w:sz="6" w:space="0"/>
            </w:tcBorders>
            <w:shd w:val="clear" w:color="auto" w:fill="FFFFFF" w:themeFill="background1"/>
            <w:vAlign w:val="center"/>
          </w:tcPr>
          <w:p>
            <w:pPr>
              <w:pStyle w:val="10"/>
              <w:spacing w:before="71" w:line="279" w:lineRule="auto"/>
              <w:ind w:left="1943" w:leftChars="0" w:right="312" w:rightChars="0" w:hanging="1641" w:firstLineChars="0"/>
              <w:jc w:val="center"/>
              <w:rPr>
                <w:sz w:val="8"/>
                <w:szCs w:val="8"/>
              </w:rPr>
            </w:pPr>
            <w:r>
              <w:rPr>
                <w:spacing w:val="-2"/>
              </w:rPr>
              <w:t>受主杂质含量（B、Al总含量，以原子数计）</w:t>
            </w:r>
            <w:r>
              <w:rPr>
                <w:spacing w:val="-1"/>
              </w:rPr>
              <w:t>cm</w:t>
            </w:r>
            <w:r>
              <w:rPr>
                <w:spacing w:val="-1"/>
                <w:position w:val="8"/>
                <w:sz w:val="8"/>
                <w:szCs w:val="8"/>
              </w:rPr>
              <w:t>-3</w:t>
            </w:r>
          </w:p>
        </w:tc>
        <w:tc>
          <w:tcPr>
            <w:tcW w:w="1204" w:type="dxa"/>
            <w:shd w:val="clear" w:color="auto" w:fill="FFFFFF" w:themeFill="background1"/>
            <w:vAlign w:val="center"/>
          </w:tcPr>
          <w:p>
            <w:pPr>
              <w:pStyle w:val="10"/>
              <w:spacing w:before="226" w:line="238" w:lineRule="auto"/>
              <w:ind w:left="170"/>
              <w:jc w:val="center"/>
              <w:rPr>
                <w:spacing w:val="-2"/>
              </w:rPr>
            </w:pPr>
            <w:r>
              <w:rPr>
                <w:spacing w:val="-2"/>
              </w:rPr>
              <w:t>≤7.5×10</w:t>
            </w:r>
            <w:r>
              <w:rPr>
                <w:spacing w:val="-2"/>
                <w:vertAlign w:val="superscript"/>
              </w:rPr>
              <w:t>12</w:t>
            </w:r>
          </w:p>
        </w:tc>
        <w:tc>
          <w:tcPr>
            <w:tcW w:w="1273" w:type="dxa"/>
            <w:gridSpan w:val="3"/>
            <w:shd w:val="clear" w:color="auto" w:fill="FFFFFF" w:themeFill="background1"/>
            <w:vAlign w:val="center"/>
          </w:tcPr>
          <w:p>
            <w:pPr>
              <w:pStyle w:val="10"/>
              <w:spacing w:before="226" w:line="238" w:lineRule="auto"/>
              <w:ind w:left="170"/>
              <w:jc w:val="center"/>
              <w:rPr>
                <w:spacing w:val="-2"/>
              </w:rPr>
            </w:pPr>
            <w:r>
              <w:rPr>
                <w:spacing w:val="-2"/>
              </w:rPr>
              <w:t>≤1.0×10</w:t>
            </w:r>
            <w:r>
              <w:rPr>
                <w:spacing w:val="-2"/>
                <w:vertAlign w:val="superscript"/>
              </w:rPr>
              <w:t>13</w:t>
            </w:r>
          </w:p>
        </w:tc>
        <w:tc>
          <w:tcPr>
            <w:tcW w:w="1386" w:type="dxa"/>
            <w:gridSpan w:val="2"/>
            <w:shd w:val="clear" w:color="auto" w:fill="FFFFFF" w:themeFill="background1"/>
            <w:vAlign w:val="center"/>
          </w:tcPr>
          <w:p>
            <w:pPr>
              <w:pStyle w:val="10"/>
              <w:spacing w:before="226" w:line="238" w:lineRule="auto"/>
              <w:ind w:left="170"/>
              <w:jc w:val="center"/>
              <w:rPr>
                <w:spacing w:val="-2"/>
              </w:rPr>
            </w:pPr>
            <w:r>
              <w:rPr>
                <w:spacing w:val="-2"/>
              </w:rPr>
              <w:t>≤2.0×10</w:t>
            </w:r>
            <w:r>
              <w:rPr>
                <w:spacing w:val="-2"/>
                <w:vertAlign w:val="superscript"/>
              </w:rPr>
              <w:t>13</w:t>
            </w:r>
          </w:p>
        </w:tc>
        <w:tc>
          <w:tcPr>
            <w:tcW w:w="1322" w:type="dxa"/>
            <w:tcBorders>
              <w:right w:val="single" w:color="000000" w:sz="6" w:space="0"/>
            </w:tcBorders>
            <w:shd w:val="clear" w:color="auto" w:fill="FFFFFF" w:themeFill="background1"/>
            <w:vAlign w:val="center"/>
          </w:tcPr>
          <w:p>
            <w:pPr>
              <w:pStyle w:val="10"/>
              <w:spacing w:before="226" w:line="238" w:lineRule="auto"/>
              <w:ind w:left="170"/>
              <w:jc w:val="center"/>
              <w:rPr>
                <w:spacing w:val="-2"/>
              </w:rPr>
            </w:pPr>
            <w:r>
              <w:rPr>
                <w:spacing w:val="-2"/>
              </w:rPr>
              <w:t>≤4.0×10</w:t>
            </w:r>
            <w:r>
              <w:rPr>
                <w:spacing w:val="-2"/>
                <w:vertAlign w:val="superscript"/>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152" w:type="dxa"/>
            <w:tcBorders>
              <w:left w:val="single" w:color="000000" w:sz="6" w:space="0"/>
            </w:tcBorders>
            <w:shd w:val="clear" w:color="auto" w:fill="FFFFFF" w:themeFill="background1"/>
            <w:vAlign w:val="center"/>
          </w:tcPr>
          <w:p>
            <w:pPr>
              <w:pStyle w:val="10"/>
              <w:spacing w:before="79" w:line="221" w:lineRule="auto"/>
              <w:ind w:left="1040" w:leftChars="0"/>
              <w:jc w:val="center"/>
              <w:rPr>
                <w:spacing w:val="-1"/>
                <w:shd w:val="clear" w:fill="E5E5E5"/>
              </w:rPr>
            </w:pPr>
            <w:r>
              <w:t>碳含量（以原子数计）cm</w:t>
            </w:r>
            <w:r>
              <w:rPr>
                <w:position w:val="9"/>
                <w:sz w:val="8"/>
                <w:szCs w:val="8"/>
              </w:rPr>
              <w:t>-3</w:t>
            </w:r>
          </w:p>
        </w:tc>
        <w:tc>
          <w:tcPr>
            <w:tcW w:w="1204" w:type="dxa"/>
            <w:shd w:val="clear" w:color="auto" w:fill="FFFFFF" w:themeFill="background1"/>
            <w:vAlign w:val="center"/>
          </w:tcPr>
          <w:p>
            <w:pPr>
              <w:pStyle w:val="10"/>
              <w:spacing w:before="226" w:line="238" w:lineRule="auto"/>
              <w:ind w:left="170"/>
              <w:jc w:val="center"/>
              <w:rPr>
                <w:spacing w:val="-2"/>
              </w:rPr>
            </w:pPr>
            <w:r>
              <w:rPr>
                <w:spacing w:val="-2"/>
              </w:rPr>
              <w:t>≤1.5×10</w:t>
            </w:r>
            <w:r>
              <w:rPr>
                <w:spacing w:val="-2"/>
                <w:vertAlign w:val="superscript"/>
              </w:rPr>
              <w:t>16</w:t>
            </w:r>
          </w:p>
        </w:tc>
        <w:tc>
          <w:tcPr>
            <w:tcW w:w="1273" w:type="dxa"/>
            <w:gridSpan w:val="3"/>
            <w:shd w:val="clear" w:color="auto" w:fill="FFFFFF" w:themeFill="background1"/>
            <w:vAlign w:val="center"/>
          </w:tcPr>
          <w:p>
            <w:pPr>
              <w:pStyle w:val="10"/>
              <w:spacing w:before="226" w:line="238" w:lineRule="auto"/>
              <w:ind w:left="170"/>
              <w:jc w:val="center"/>
              <w:rPr>
                <w:spacing w:val="-2"/>
              </w:rPr>
            </w:pPr>
            <w:r>
              <w:rPr>
                <w:spacing w:val="-2"/>
              </w:rPr>
              <w:t>≤2.0×10</w:t>
            </w:r>
            <w:r>
              <w:rPr>
                <w:spacing w:val="-2"/>
                <w:vertAlign w:val="superscript"/>
              </w:rPr>
              <w:t>16</w:t>
            </w:r>
          </w:p>
        </w:tc>
        <w:tc>
          <w:tcPr>
            <w:tcW w:w="1386" w:type="dxa"/>
            <w:gridSpan w:val="2"/>
            <w:shd w:val="clear" w:color="auto" w:fill="FFFFFF" w:themeFill="background1"/>
            <w:vAlign w:val="center"/>
          </w:tcPr>
          <w:p>
            <w:pPr>
              <w:pStyle w:val="10"/>
              <w:spacing w:before="226" w:line="238" w:lineRule="auto"/>
              <w:ind w:left="170"/>
              <w:jc w:val="center"/>
              <w:rPr>
                <w:spacing w:val="-2"/>
              </w:rPr>
            </w:pPr>
            <w:r>
              <w:rPr>
                <w:spacing w:val="-2"/>
              </w:rPr>
              <w:t>≤2.5×10</w:t>
            </w:r>
            <w:r>
              <w:rPr>
                <w:spacing w:val="-2"/>
                <w:vertAlign w:val="superscript"/>
              </w:rPr>
              <w:t>16</w:t>
            </w:r>
          </w:p>
        </w:tc>
        <w:tc>
          <w:tcPr>
            <w:tcW w:w="1322" w:type="dxa"/>
            <w:tcBorders>
              <w:right w:val="single" w:color="000000" w:sz="6" w:space="0"/>
            </w:tcBorders>
            <w:shd w:val="clear" w:color="auto" w:fill="FFFFFF" w:themeFill="background1"/>
            <w:vAlign w:val="center"/>
          </w:tcPr>
          <w:p>
            <w:pPr>
              <w:pStyle w:val="10"/>
              <w:spacing w:before="226" w:line="238" w:lineRule="auto"/>
              <w:ind w:left="170"/>
              <w:jc w:val="center"/>
              <w:rPr>
                <w:spacing w:val="-2"/>
              </w:rPr>
            </w:pPr>
            <w:r>
              <w:rPr>
                <w:spacing w:val="-2"/>
              </w:rPr>
              <w:t>≤3.0×10</w:t>
            </w:r>
            <w:r>
              <w:rPr>
                <w:spacing w:val="-2"/>
                <w:vertAlign w:val="superscript"/>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152" w:type="dxa"/>
            <w:tcBorders>
              <w:left w:val="single" w:color="000000" w:sz="6" w:space="0"/>
            </w:tcBorders>
            <w:shd w:val="clear" w:color="auto" w:fill="FFFFFF" w:themeFill="background1"/>
            <w:vAlign w:val="center"/>
          </w:tcPr>
          <w:p>
            <w:pPr>
              <w:pStyle w:val="10"/>
              <w:spacing w:before="74" w:line="267" w:lineRule="auto"/>
              <w:ind w:left="1311" w:leftChars="0" w:right="106" w:rightChars="0" w:hanging="1202" w:firstLineChars="0"/>
              <w:jc w:val="center"/>
              <w:rPr>
                <w:spacing w:val="-1"/>
                <w:shd w:val="clear" w:fill="E5E5E5"/>
              </w:rPr>
            </w:pPr>
            <w:r>
              <w:rPr>
                <w:spacing w:val="-3"/>
              </w:rPr>
              <w:t>基体金属杂质含量（Fe、Cr、Ni、Cu、</w:t>
            </w:r>
            <w:r>
              <w:rPr>
                <w:spacing w:val="-4"/>
              </w:rPr>
              <w:t>Zn、Na总含</w:t>
            </w:r>
            <w:r>
              <w:rPr>
                <w:spacing w:val="-2"/>
              </w:rPr>
              <w:t>量</w:t>
            </w:r>
            <w:r>
              <w:rPr>
                <w:spacing w:val="-39"/>
              </w:rPr>
              <w:t>），</w:t>
            </w:r>
            <w:r>
              <w:rPr>
                <w:spacing w:val="-2"/>
              </w:rPr>
              <w:t>ng/g（ppbw）</w:t>
            </w:r>
          </w:p>
        </w:tc>
        <w:tc>
          <w:tcPr>
            <w:tcW w:w="1204" w:type="dxa"/>
            <w:shd w:val="clear" w:color="auto" w:fill="FFFFFF" w:themeFill="background1"/>
            <w:vAlign w:val="center"/>
          </w:tcPr>
          <w:p>
            <w:pPr>
              <w:pStyle w:val="10"/>
              <w:spacing w:before="226" w:line="238" w:lineRule="auto"/>
              <w:ind w:left="170"/>
              <w:jc w:val="center"/>
              <w:rPr>
                <w:spacing w:val="-2"/>
              </w:rPr>
            </w:pPr>
            <w:r>
              <w:rPr>
                <w:spacing w:val="-2"/>
              </w:rPr>
              <w:t>≤3</w:t>
            </w:r>
          </w:p>
        </w:tc>
        <w:tc>
          <w:tcPr>
            <w:tcW w:w="1273" w:type="dxa"/>
            <w:gridSpan w:val="3"/>
            <w:shd w:val="clear" w:color="auto" w:fill="FFFFFF" w:themeFill="background1"/>
            <w:vAlign w:val="center"/>
          </w:tcPr>
          <w:p>
            <w:pPr>
              <w:pStyle w:val="10"/>
              <w:spacing w:before="226" w:line="238" w:lineRule="auto"/>
              <w:ind w:left="170"/>
              <w:jc w:val="center"/>
              <w:rPr>
                <w:spacing w:val="-2"/>
              </w:rPr>
            </w:pPr>
            <w:r>
              <w:rPr>
                <w:spacing w:val="-2"/>
              </w:rPr>
              <w:t>≤10</w:t>
            </w:r>
          </w:p>
        </w:tc>
        <w:tc>
          <w:tcPr>
            <w:tcW w:w="1386" w:type="dxa"/>
            <w:gridSpan w:val="2"/>
            <w:shd w:val="clear" w:color="auto" w:fill="FFFFFF" w:themeFill="background1"/>
            <w:vAlign w:val="center"/>
          </w:tcPr>
          <w:p>
            <w:pPr>
              <w:pStyle w:val="10"/>
              <w:spacing w:before="226" w:line="238" w:lineRule="auto"/>
              <w:ind w:left="170"/>
              <w:jc w:val="center"/>
              <w:rPr>
                <w:spacing w:val="-2"/>
              </w:rPr>
            </w:pPr>
            <w:r>
              <w:rPr>
                <w:spacing w:val="-2"/>
              </w:rPr>
              <w:t>≤20</w:t>
            </w:r>
          </w:p>
        </w:tc>
        <w:tc>
          <w:tcPr>
            <w:tcW w:w="1322" w:type="dxa"/>
            <w:tcBorders>
              <w:right w:val="single" w:color="000000" w:sz="6" w:space="0"/>
            </w:tcBorders>
            <w:shd w:val="clear" w:color="auto" w:fill="FFFFFF" w:themeFill="background1"/>
            <w:vAlign w:val="center"/>
          </w:tcPr>
          <w:p>
            <w:pPr>
              <w:pStyle w:val="10"/>
              <w:spacing w:before="226" w:line="238" w:lineRule="auto"/>
              <w:ind w:left="170"/>
              <w:jc w:val="center"/>
              <w:rPr>
                <w:spacing w:val="-2"/>
              </w:rPr>
            </w:pPr>
            <w:r>
              <w:rPr>
                <w:spacing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152" w:type="dxa"/>
            <w:tcBorders>
              <w:left w:val="single" w:color="000000" w:sz="6" w:space="0"/>
            </w:tcBorders>
            <w:shd w:val="clear" w:color="auto" w:fill="FFFFFF" w:themeFill="background1"/>
            <w:vAlign w:val="center"/>
          </w:tcPr>
          <w:p>
            <w:pPr>
              <w:pStyle w:val="10"/>
              <w:spacing w:before="78" w:line="219" w:lineRule="auto"/>
              <w:ind w:right="16"/>
              <w:jc w:val="center"/>
            </w:pPr>
            <w:r>
              <w:rPr>
                <w:spacing w:val="-4"/>
              </w:rPr>
              <w:t>表面金属杂质含量（Fe、Cr、Ni、Cu、Zn、Na</w:t>
            </w:r>
            <w:r>
              <w:rPr>
                <w:spacing w:val="-5"/>
              </w:rPr>
              <w:t>、Al、</w:t>
            </w:r>
          </w:p>
          <w:p>
            <w:pPr>
              <w:pStyle w:val="10"/>
              <w:spacing w:before="97" w:line="179" w:lineRule="auto"/>
              <w:ind w:left="384" w:leftChars="0"/>
              <w:jc w:val="center"/>
              <w:rPr>
                <w:spacing w:val="-1"/>
                <w:shd w:val="clear" w:fill="E5E5E5"/>
              </w:rPr>
            </w:pPr>
            <w:r>
              <w:rPr>
                <w:spacing w:val="-1"/>
              </w:rPr>
              <w:t>K、Ti、Mo、W、Co</w:t>
            </w:r>
            <w:r>
              <w:rPr>
                <w:spacing w:val="-33"/>
              </w:rPr>
              <w:t xml:space="preserve"> </w:t>
            </w:r>
            <w:r>
              <w:rPr>
                <w:spacing w:val="-1"/>
              </w:rPr>
              <w:t>总含量</w:t>
            </w:r>
            <w:r>
              <w:rPr>
                <w:spacing w:val="-40"/>
              </w:rPr>
              <w:t>），</w:t>
            </w:r>
            <w:r>
              <w:rPr>
                <w:spacing w:val="-1"/>
              </w:rPr>
              <w:t>ng/g（ppbw）</w:t>
            </w:r>
          </w:p>
        </w:tc>
        <w:tc>
          <w:tcPr>
            <w:tcW w:w="1204" w:type="dxa"/>
            <w:shd w:val="clear" w:color="auto" w:fill="FFFFFF" w:themeFill="background1"/>
            <w:vAlign w:val="center"/>
          </w:tcPr>
          <w:p>
            <w:pPr>
              <w:pStyle w:val="10"/>
              <w:spacing w:before="226" w:line="238" w:lineRule="auto"/>
              <w:ind w:left="170"/>
              <w:jc w:val="center"/>
              <w:rPr>
                <w:spacing w:val="-2"/>
              </w:rPr>
            </w:pPr>
            <w:r>
              <w:rPr>
                <w:spacing w:val="-2"/>
              </w:rPr>
              <w:t>≤10</w:t>
            </w:r>
          </w:p>
        </w:tc>
        <w:tc>
          <w:tcPr>
            <w:tcW w:w="1273" w:type="dxa"/>
            <w:gridSpan w:val="3"/>
            <w:shd w:val="clear" w:color="auto" w:fill="FFFFFF" w:themeFill="background1"/>
            <w:vAlign w:val="center"/>
          </w:tcPr>
          <w:p>
            <w:pPr>
              <w:pStyle w:val="10"/>
              <w:spacing w:before="226" w:line="238" w:lineRule="auto"/>
              <w:ind w:left="170"/>
              <w:jc w:val="center"/>
              <w:rPr>
                <w:spacing w:val="-2"/>
              </w:rPr>
            </w:pPr>
            <w:r>
              <w:rPr>
                <w:spacing w:val="-2"/>
              </w:rPr>
              <w:t>≤20</w:t>
            </w:r>
          </w:p>
        </w:tc>
        <w:tc>
          <w:tcPr>
            <w:tcW w:w="1386" w:type="dxa"/>
            <w:gridSpan w:val="2"/>
            <w:shd w:val="clear" w:color="auto" w:fill="FFFFFF" w:themeFill="background1"/>
            <w:vAlign w:val="center"/>
          </w:tcPr>
          <w:p>
            <w:pPr>
              <w:pStyle w:val="10"/>
              <w:spacing w:before="226" w:line="238" w:lineRule="auto"/>
              <w:ind w:left="170"/>
              <w:jc w:val="center"/>
              <w:rPr>
                <w:spacing w:val="-2"/>
              </w:rPr>
            </w:pPr>
            <w:r>
              <w:rPr>
                <w:spacing w:val="-2"/>
              </w:rPr>
              <w:t>≤30</w:t>
            </w:r>
          </w:p>
        </w:tc>
        <w:tc>
          <w:tcPr>
            <w:tcW w:w="1322" w:type="dxa"/>
            <w:tcBorders>
              <w:right w:val="single" w:color="000000" w:sz="6" w:space="0"/>
            </w:tcBorders>
            <w:shd w:val="clear" w:color="auto" w:fill="FFFFFF" w:themeFill="background1"/>
            <w:vAlign w:val="center"/>
          </w:tcPr>
          <w:p>
            <w:pPr>
              <w:pStyle w:val="10"/>
              <w:spacing w:before="226" w:line="238" w:lineRule="auto"/>
              <w:ind w:left="170"/>
              <w:jc w:val="center"/>
              <w:rPr>
                <w:spacing w:val="-2"/>
              </w:rPr>
            </w:pPr>
            <w:r>
              <w:rPr>
                <w:spacing w:val="-2"/>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337" w:type="dxa"/>
            <w:gridSpan w:val="8"/>
            <w:tcBorders>
              <w:left w:val="single" w:color="000000" w:sz="6" w:space="0"/>
            </w:tcBorders>
            <w:shd w:val="clear" w:color="auto" w:fill="FFFFFF" w:themeFill="background1"/>
            <w:vAlign w:val="center"/>
          </w:tcPr>
          <w:p>
            <w:pPr>
              <w:pStyle w:val="10"/>
              <w:spacing w:before="117" w:line="222" w:lineRule="auto"/>
              <w:ind w:left="111" w:leftChars="0"/>
              <w:jc w:val="left"/>
              <w:rPr>
                <w:spacing w:val="-11"/>
                <w:shd w:val="clear" w:fill="E5E5E5"/>
              </w:rPr>
            </w:pPr>
            <w:r>
              <w:rPr>
                <w:rFonts w:ascii="黑体" w:hAnsi="黑体" w:eastAsia="黑体" w:cs="黑体"/>
                <w:shd w:val="clear"/>
              </w:rPr>
              <w:t>注</w:t>
            </w:r>
            <w:r>
              <w:rPr>
                <w:shd w:val="clear"/>
              </w:rPr>
              <w:t>：硅多晶的导电类型、电阻率、少数载流子寿命和氧含量由供需双方确定。</w:t>
            </w:r>
          </w:p>
        </w:tc>
      </w:tr>
    </w:tbl>
    <w:p>
      <w:pPr>
        <w:pStyle w:val="4"/>
        <w:autoSpaceDE/>
        <w:autoSpaceDN/>
        <w:spacing w:line="360" w:lineRule="auto"/>
        <w:ind w:left="0" w:firstLine="488" w:firstLineChars="200"/>
        <w:jc w:val="both"/>
      </w:pPr>
      <w:r>
        <w:rPr>
          <w:spacing w:val="2"/>
        </w:rPr>
        <w:t>因硅多晶结构（氧化夹层、温度夹层）的出现，会影响</w:t>
      </w:r>
      <w:r>
        <w:rPr>
          <w:spacing w:val="1"/>
        </w:rPr>
        <w:t>产品纯度，导致产品质量</w:t>
      </w:r>
      <w:r>
        <w:rPr>
          <w:spacing w:val="2"/>
        </w:rPr>
        <w:t>下降从而引发质量风险，所以在标准中增加了结构条款“硅多晶应无氧</w:t>
      </w:r>
      <w:r>
        <w:rPr>
          <w:spacing w:val="1"/>
        </w:rPr>
        <w:t>化夹层和温度</w:t>
      </w:r>
      <w:r>
        <w:rPr>
          <w:spacing w:val="-11"/>
        </w:rPr>
        <w:t>夹层</w:t>
      </w:r>
      <w:r>
        <w:rPr>
          <w:spacing w:val="-89"/>
        </w:rPr>
        <w:t xml:space="preserve"> </w:t>
      </w:r>
      <w:r>
        <w:rPr>
          <w:spacing w:val="-11"/>
        </w:rPr>
        <w:t>”。</w:t>
      </w:r>
    </w:p>
    <w:p>
      <w:pPr>
        <w:pStyle w:val="4"/>
        <w:spacing w:line="360" w:lineRule="auto"/>
        <w:ind w:left="0" w:firstLine="488" w:firstLineChars="200"/>
        <w:jc w:val="both"/>
        <w:rPr>
          <w:rFonts w:ascii="Arial"/>
          <w:sz w:val="21"/>
        </w:rPr>
      </w:pPr>
      <w:r>
        <w:rPr>
          <w:spacing w:val="2"/>
        </w:rPr>
        <w:t>在标准公开讨论过程中，与会专家认为，表面金属对下游客户的影响度较高，且</w:t>
      </w:r>
      <w:r>
        <w:rPr>
          <w:rFonts w:ascii="Times New Roman" w:hAnsi="Times New Roman" w:eastAsia="Times New Roman" w:cs="Times New Roman"/>
          <w:spacing w:val="-3"/>
        </w:rPr>
        <w:t>Al</w:t>
      </w:r>
      <w:r>
        <w:rPr>
          <w:spacing w:val="-3"/>
        </w:rPr>
        <w:t>、</w:t>
      </w:r>
      <w:r>
        <w:rPr>
          <w:rFonts w:ascii="Times New Roman" w:hAnsi="Times New Roman" w:eastAsia="Times New Roman" w:cs="Times New Roman"/>
          <w:spacing w:val="-3"/>
        </w:rPr>
        <w:t>K</w:t>
      </w:r>
      <w:r>
        <w:rPr>
          <w:spacing w:val="-3"/>
        </w:rPr>
        <w:t>等碱金属也为关键质量特性，因此扩项了表金属的监测范围并收紧其规格要求，</w:t>
      </w:r>
      <w:r>
        <w:rPr>
          <w:spacing w:val="2"/>
        </w:rPr>
        <w:t>匹配行业高质量发展要求。但同时专家认为，标准在高质量发展的同时也要考虑中小企业的发展以及不合格物料的处置问题，因此建议三级品的指标适当放宽至原二级品附近作为兜底。同时考虑体表金属的逻辑匹配问题，最终形成征求意见稿的技术指标</w:t>
      </w:r>
      <w:r>
        <w:rPr>
          <w:rFonts w:hint="eastAsia"/>
          <w:spacing w:val="2"/>
          <w:lang w:eastAsia="zh-CN"/>
        </w:rPr>
        <w:t>如</w:t>
      </w:r>
      <w:r>
        <w:rPr>
          <w:spacing w:val="-4"/>
        </w:rPr>
        <w:t>表</w:t>
      </w:r>
      <w:r>
        <w:rPr>
          <w:spacing w:val="-47"/>
        </w:rPr>
        <w:t xml:space="preserve"> </w:t>
      </w:r>
      <w:r>
        <w:rPr>
          <w:rFonts w:ascii="Times New Roman" w:hAnsi="Times New Roman" w:eastAsia="Times New Roman" w:cs="Times New Roman"/>
          <w:spacing w:val="-4"/>
        </w:rPr>
        <w:t xml:space="preserve">3 </w:t>
      </w:r>
      <w:r>
        <w:rPr>
          <w:spacing w:val="-4"/>
        </w:rPr>
        <w:t>所示：</w:t>
      </w:r>
    </w:p>
    <w:p>
      <w:pPr>
        <w:spacing w:before="0" w:line="360" w:lineRule="auto"/>
        <w:ind w:left="0"/>
        <w:jc w:val="center"/>
        <w:rPr>
          <w:rFonts w:ascii="黑体" w:hAnsi="黑体" w:eastAsia="黑体" w:cs="黑体"/>
          <w:sz w:val="20"/>
          <w:szCs w:val="20"/>
        </w:rPr>
      </w:pPr>
      <w:r>
        <w:rPr>
          <w:rFonts w:ascii="黑体" w:hAnsi="黑体" w:eastAsia="黑体" w:cs="黑体"/>
          <w:spacing w:val="7"/>
          <w:sz w:val="20"/>
          <w:szCs w:val="20"/>
        </w:rPr>
        <w:t>表</w:t>
      </w:r>
      <w:r>
        <w:rPr>
          <w:rFonts w:ascii="黑体" w:hAnsi="黑体" w:eastAsia="黑体" w:cs="黑体"/>
          <w:spacing w:val="-38"/>
          <w:sz w:val="20"/>
          <w:szCs w:val="20"/>
        </w:rPr>
        <w:t xml:space="preserve"> </w:t>
      </w:r>
      <w:r>
        <w:rPr>
          <w:rFonts w:ascii="黑体" w:hAnsi="黑体" w:eastAsia="黑体" w:cs="黑体"/>
          <w:spacing w:val="7"/>
          <w:sz w:val="20"/>
          <w:szCs w:val="20"/>
        </w:rPr>
        <w:t xml:space="preserve">3 </w:t>
      </w:r>
      <w:r>
        <w:rPr>
          <w:rFonts w:hint="eastAsia" w:ascii="黑体" w:hAnsi="黑体" w:eastAsia="黑体" w:cs="黑体"/>
          <w:spacing w:val="7"/>
          <w:sz w:val="20"/>
          <w:szCs w:val="20"/>
          <w:lang w:val="en-US" w:eastAsia="zh-CN"/>
        </w:rPr>
        <w:t xml:space="preserve"> </w:t>
      </w:r>
      <w:r>
        <w:rPr>
          <w:rFonts w:ascii="黑体" w:hAnsi="黑体" w:eastAsia="黑体" w:cs="黑体"/>
          <w:spacing w:val="7"/>
          <w:sz w:val="20"/>
          <w:szCs w:val="20"/>
        </w:rPr>
        <w:t>征求意见稿技术指标</w:t>
      </w:r>
    </w:p>
    <w:tbl>
      <w:tblPr>
        <w:tblStyle w:val="9"/>
        <w:tblW w:w="919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6"/>
        <w:gridCol w:w="1184"/>
        <w:gridCol w:w="1181"/>
        <w:gridCol w:w="1365"/>
        <w:gridCol w:w="1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4166" w:type="dxa"/>
            <w:vMerge w:val="restart"/>
            <w:tcBorders>
              <w:top w:val="single" w:color="000000" w:sz="6" w:space="0"/>
              <w:left w:val="single" w:color="000000" w:sz="6" w:space="0"/>
              <w:bottom w:val="nil"/>
            </w:tcBorders>
            <w:vAlign w:val="top"/>
          </w:tcPr>
          <w:p>
            <w:pPr>
              <w:pStyle w:val="10"/>
              <w:spacing w:before="252" w:line="220" w:lineRule="auto"/>
              <w:ind w:left="1897"/>
            </w:pPr>
            <w:r>
              <w:rPr>
                <w:spacing w:val="-5"/>
              </w:rPr>
              <w:t>项目</w:t>
            </w:r>
          </w:p>
        </w:tc>
        <w:tc>
          <w:tcPr>
            <w:tcW w:w="5033" w:type="dxa"/>
            <w:gridSpan w:val="4"/>
            <w:tcBorders>
              <w:top w:val="single" w:color="000000" w:sz="6" w:space="0"/>
              <w:right w:val="single" w:color="000000" w:sz="6" w:space="0"/>
            </w:tcBorders>
            <w:vAlign w:val="top"/>
          </w:tcPr>
          <w:p>
            <w:pPr>
              <w:pStyle w:val="10"/>
              <w:spacing w:before="82" w:line="219" w:lineRule="auto"/>
              <w:ind w:left="2236"/>
            </w:pPr>
            <w:r>
              <w:rPr>
                <w:spacing w:val="-2"/>
              </w:rPr>
              <w:t>技术指标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4166" w:type="dxa"/>
            <w:vMerge w:val="continue"/>
            <w:tcBorders>
              <w:top w:val="nil"/>
              <w:left w:val="single" w:color="000000" w:sz="6" w:space="0"/>
            </w:tcBorders>
            <w:vAlign w:val="top"/>
          </w:tcPr>
          <w:p>
            <w:pPr>
              <w:rPr>
                <w:rFonts w:ascii="Arial"/>
                <w:sz w:val="21"/>
              </w:rPr>
            </w:pPr>
          </w:p>
        </w:tc>
        <w:tc>
          <w:tcPr>
            <w:tcW w:w="1184" w:type="dxa"/>
            <w:vAlign w:val="top"/>
          </w:tcPr>
          <w:p>
            <w:pPr>
              <w:pStyle w:val="10"/>
              <w:spacing w:before="78" w:line="219" w:lineRule="auto"/>
              <w:ind w:left="337"/>
            </w:pPr>
            <w:r>
              <w:rPr>
                <w:spacing w:val="-3"/>
              </w:rPr>
              <w:t>特级品</w:t>
            </w:r>
          </w:p>
        </w:tc>
        <w:tc>
          <w:tcPr>
            <w:tcW w:w="1181" w:type="dxa"/>
            <w:vAlign w:val="top"/>
          </w:tcPr>
          <w:p>
            <w:pPr>
              <w:pStyle w:val="10"/>
              <w:spacing w:before="78" w:line="221" w:lineRule="auto"/>
              <w:ind w:left="409"/>
            </w:pPr>
            <w:r>
              <w:rPr>
                <w:spacing w:val="-11"/>
              </w:rPr>
              <w:t>1</w:t>
            </w:r>
            <w:r>
              <w:rPr>
                <w:spacing w:val="-34"/>
              </w:rPr>
              <w:t xml:space="preserve"> </w:t>
            </w:r>
            <w:r>
              <w:rPr>
                <w:spacing w:val="-11"/>
              </w:rPr>
              <w:t>级品</w:t>
            </w:r>
          </w:p>
        </w:tc>
        <w:tc>
          <w:tcPr>
            <w:tcW w:w="1365" w:type="dxa"/>
            <w:vAlign w:val="top"/>
          </w:tcPr>
          <w:p>
            <w:pPr>
              <w:pStyle w:val="10"/>
              <w:spacing w:before="78" w:line="221" w:lineRule="auto"/>
              <w:ind w:left="454"/>
            </w:pPr>
            <w:r>
              <w:rPr>
                <w:spacing w:val="-7"/>
              </w:rPr>
              <w:t>2</w:t>
            </w:r>
            <w:r>
              <w:rPr>
                <w:spacing w:val="-33"/>
              </w:rPr>
              <w:t xml:space="preserve"> </w:t>
            </w:r>
            <w:r>
              <w:rPr>
                <w:spacing w:val="-7"/>
              </w:rPr>
              <w:t>级品</w:t>
            </w:r>
          </w:p>
        </w:tc>
        <w:tc>
          <w:tcPr>
            <w:tcW w:w="1303" w:type="dxa"/>
            <w:tcBorders>
              <w:right w:val="single" w:color="000000" w:sz="6" w:space="0"/>
            </w:tcBorders>
            <w:vAlign w:val="top"/>
          </w:tcPr>
          <w:p>
            <w:pPr>
              <w:pStyle w:val="10"/>
              <w:spacing w:before="78" w:line="221" w:lineRule="auto"/>
              <w:ind w:left="423"/>
            </w:pPr>
            <w:r>
              <w:rPr>
                <w:spacing w:val="-7"/>
              </w:rPr>
              <w:t>3</w:t>
            </w:r>
            <w:r>
              <w:rPr>
                <w:spacing w:val="-36"/>
              </w:rPr>
              <w:t xml:space="preserve"> </w:t>
            </w:r>
            <w:r>
              <w:rPr>
                <w:spacing w:val="-7"/>
              </w:rPr>
              <w:t>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166" w:type="dxa"/>
            <w:tcBorders>
              <w:left w:val="single" w:color="000000" w:sz="6" w:space="0"/>
            </w:tcBorders>
            <w:vAlign w:val="top"/>
          </w:tcPr>
          <w:p>
            <w:pPr>
              <w:pStyle w:val="10"/>
              <w:spacing w:before="68" w:line="280" w:lineRule="auto"/>
              <w:ind w:left="1943" w:right="132" w:hanging="1825"/>
              <w:rPr>
                <w:sz w:val="8"/>
                <w:szCs w:val="8"/>
              </w:rPr>
            </w:pPr>
            <w:r>
              <w:rPr>
                <w:spacing w:val="-2"/>
              </w:rPr>
              <w:t>施主杂质含量（P、As、Sb</w:t>
            </w:r>
            <w:r>
              <w:rPr>
                <w:spacing w:val="-22"/>
              </w:rPr>
              <w:t xml:space="preserve"> </w:t>
            </w:r>
            <w:r>
              <w:rPr>
                <w:spacing w:val="-2"/>
              </w:rPr>
              <w:t>总含量，以原子数计）</w:t>
            </w:r>
            <w:r>
              <w:rPr>
                <w:spacing w:val="-1"/>
              </w:rPr>
              <w:t>cm</w:t>
            </w:r>
            <w:r>
              <w:rPr>
                <w:spacing w:val="-1"/>
                <w:position w:val="8"/>
                <w:sz w:val="8"/>
                <w:szCs w:val="8"/>
              </w:rPr>
              <w:t>-3</w:t>
            </w:r>
          </w:p>
        </w:tc>
        <w:tc>
          <w:tcPr>
            <w:tcW w:w="1184" w:type="dxa"/>
            <w:vAlign w:val="top"/>
          </w:tcPr>
          <w:p>
            <w:pPr>
              <w:pStyle w:val="10"/>
              <w:spacing w:before="222" w:line="238" w:lineRule="auto"/>
              <w:ind w:left="170"/>
              <w:rPr>
                <w:sz w:val="8"/>
                <w:szCs w:val="8"/>
              </w:rPr>
            </w:pPr>
            <w:r>
              <w:rPr>
                <w:spacing w:val="-2"/>
              </w:rPr>
              <w:t>≤2.0×10</w:t>
            </w:r>
            <w:r>
              <w:rPr>
                <w:spacing w:val="-2"/>
                <w:position w:val="8"/>
                <w:sz w:val="8"/>
                <w:szCs w:val="8"/>
              </w:rPr>
              <w:t>13</w:t>
            </w:r>
          </w:p>
        </w:tc>
        <w:tc>
          <w:tcPr>
            <w:tcW w:w="1181" w:type="dxa"/>
            <w:vAlign w:val="top"/>
          </w:tcPr>
          <w:p>
            <w:pPr>
              <w:pStyle w:val="10"/>
              <w:spacing w:before="222" w:line="238" w:lineRule="auto"/>
              <w:ind w:left="204"/>
              <w:rPr>
                <w:sz w:val="8"/>
                <w:szCs w:val="8"/>
              </w:rPr>
            </w:pPr>
            <w:r>
              <w:rPr>
                <w:spacing w:val="-1"/>
              </w:rPr>
              <w:t>≤3.0×10</w:t>
            </w:r>
            <w:r>
              <w:rPr>
                <w:spacing w:val="-1"/>
                <w:position w:val="8"/>
                <w:sz w:val="8"/>
                <w:szCs w:val="8"/>
              </w:rPr>
              <w:t>13</w:t>
            </w:r>
          </w:p>
        </w:tc>
        <w:tc>
          <w:tcPr>
            <w:tcW w:w="1365" w:type="dxa"/>
            <w:vAlign w:val="top"/>
          </w:tcPr>
          <w:p>
            <w:pPr>
              <w:pStyle w:val="10"/>
              <w:spacing w:before="222" w:line="238" w:lineRule="auto"/>
              <w:ind w:left="263"/>
              <w:rPr>
                <w:sz w:val="8"/>
                <w:szCs w:val="8"/>
              </w:rPr>
            </w:pPr>
            <w:r>
              <w:rPr>
                <w:spacing w:val="-1"/>
              </w:rPr>
              <w:t>≤4.5×10</w:t>
            </w:r>
            <w:r>
              <w:rPr>
                <w:spacing w:val="-1"/>
                <w:position w:val="8"/>
                <w:sz w:val="8"/>
                <w:szCs w:val="8"/>
              </w:rPr>
              <w:t>13</w:t>
            </w:r>
          </w:p>
        </w:tc>
        <w:tc>
          <w:tcPr>
            <w:tcW w:w="1303" w:type="dxa"/>
            <w:tcBorders>
              <w:right w:val="single" w:color="000000" w:sz="6" w:space="0"/>
            </w:tcBorders>
            <w:vAlign w:val="top"/>
          </w:tcPr>
          <w:p>
            <w:pPr>
              <w:pStyle w:val="10"/>
              <w:spacing w:before="222" w:line="238" w:lineRule="auto"/>
              <w:ind w:left="183"/>
              <w:rPr>
                <w:sz w:val="8"/>
                <w:szCs w:val="8"/>
              </w:rPr>
            </w:pPr>
            <w:r>
              <w:rPr>
                <w:spacing w:val="-1"/>
              </w:rPr>
              <w:t>≤10.0×10</w:t>
            </w:r>
            <w:r>
              <w:rPr>
                <w:spacing w:val="-1"/>
                <w:position w:val="8"/>
                <w:sz w:val="8"/>
                <w:szCs w:val="8"/>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166" w:type="dxa"/>
            <w:tcBorders>
              <w:left w:val="single" w:color="000000" w:sz="6" w:space="0"/>
            </w:tcBorders>
            <w:vAlign w:val="top"/>
          </w:tcPr>
          <w:p>
            <w:pPr>
              <w:pStyle w:val="10"/>
              <w:spacing w:before="71" w:line="279" w:lineRule="auto"/>
              <w:ind w:left="1943" w:right="312" w:hanging="1641"/>
              <w:rPr>
                <w:sz w:val="8"/>
                <w:szCs w:val="8"/>
              </w:rPr>
            </w:pPr>
            <w:r>
              <w:rPr>
                <w:spacing w:val="-2"/>
              </w:rPr>
              <w:t>受主杂质含量（B、Al</w:t>
            </w:r>
            <w:r>
              <w:rPr>
                <w:spacing w:val="-33"/>
              </w:rPr>
              <w:t xml:space="preserve"> </w:t>
            </w:r>
            <w:r>
              <w:rPr>
                <w:spacing w:val="-2"/>
              </w:rPr>
              <w:t>总含量，以原子数计）</w:t>
            </w:r>
            <w:r>
              <w:rPr>
                <w:spacing w:val="-1"/>
              </w:rPr>
              <w:t>cm</w:t>
            </w:r>
            <w:r>
              <w:rPr>
                <w:spacing w:val="-1"/>
                <w:position w:val="8"/>
                <w:sz w:val="8"/>
                <w:szCs w:val="8"/>
              </w:rPr>
              <w:t>-3</w:t>
            </w:r>
          </w:p>
        </w:tc>
        <w:tc>
          <w:tcPr>
            <w:tcW w:w="1184" w:type="dxa"/>
            <w:vAlign w:val="top"/>
          </w:tcPr>
          <w:p>
            <w:pPr>
              <w:pStyle w:val="10"/>
              <w:spacing w:before="227" w:line="236" w:lineRule="auto"/>
              <w:ind w:left="170"/>
              <w:rPr>
                <w:sz w:val="8"/>
                <w:szCs w:val="8"/>
              </w:rPr>
            </w:pPr>
            <w:r>
              <w:rPr>
                <w:spacing w:val="-2"/>
              </w:rPr>
              <w:t>≤7.5×10</w:t>
            </w:r>
            <w:r>
              <w:rPr>
                <w:spacing w:val="-2"/>
                <w:position w:val="8"/>
                <w:sz w:val="8"/>
                <w:szCs w:val="8"/>
              </w:rPr>
              <w:t>12</w:t>
            </w:r>
          </w:p>
        </w:tc>
        <w:tc>
          <w:tcPr>
            <w:tcW w:w="1181" w:type="dxa"/>
            <w:vAlign w:val="top"/>
          </w:tcPr>
          <w:p>
            <w:pPr>
              <w:pStyle w:val="10"/>
              <w:spacing w:before="227" w:line="236" w:lineRule="auto"/>
              <w:ind w:left="204"/>
              <w:rPr>
                <w:sz w:val="8"/>
                <w:szCs w:val="8"/>
              </w:rPr>
            </w:pPr>
            <w:r>
              <w:rPr>
                <w:spacing w:val="-1"/>
              </w:rPr>
              <w:t>≤1.0×10</w:t>
            </w:r>
            <w:r>
              <w:rPr>
                <w:spacing w:val="-1"/>
                <w:position w:val="8"/>
                <w:sz w:val="8"/>
                <w:szCs w:val="8"/>
              </w:rPr>
              <w:t>13</w:t>
            </w:r>
          </w:p>
        </w:tc>
        <w:tc>
          <w:tcPr>
            <w:tcW w:w="1365" w:type="dxa"/>
            <w:vAlign w:val="top"/>
          </w:tcPr>
          <w:p>
            <w:pPr>
              <w:pStyle w:val="10"/>
              <w:spacing w:before="227" w:line="236" w:lineRule="auto"/>
              <w:ind w:left="263"/>
              <w:rPr>
                <w:sz w:val="8"/>
                <w:szCs w:val="8"/>
              </w:rPr>
            </w:pPr>
            <w:r>
              <w:rPr>
                <w:spacing w:val="-1"/>
              </w:rPr>
              <w:t>≤2.0×10</w:t>
            </w:r>
            <w:r>
              <w:rPr>
                <w:spacing w:val="-1"/>
                <w:position w:val="8"/>
                <w:sz w:val="8"/>
                <w:szCs w:val="8"/>
              </w:rPr>
              <w:t>13</w:t>
            </w:r>
          </w:p>
        </w:tc>
        <w:tc>
          <w:tcPr>
            <w:tcW w:w="1303" w:type="dxa"/>
            <w:tcBorders>
              <w:right w:val="single" w:color="000000" w:sz="6" w:space="0"/>
            </w:tcBorders>
            <w:vAlign w:val="top"/>
          </w:tcPr>
          <w:p>
            <w:pPr>
              <w:pStyle w:val="10"/>
              <w:spacing w:before="227" w:line="236" w:lineRule="auto"/>
              <w:ind w:left="228"/>
              <w:rPr>
                <w:sz w:val="8"/>
                <w:szCs w:val="8"/>
              </w:rPr>
            </w:pPr>
            <w:r>
              <w:rPr>
                <w:spacing w:val="-1"/>
              </w:rPr>
              <w:t>≤4.0×10</w:t>
            </w:r>
            <w:r>
              <w:rPr>
                <w:spacing w:val="-1"/>
                <w:position w:val="8"/>
                <w:sz w:val="8"/>
                <w:szCs w:val="8"/>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166" w:type="dxa"/>
            <w:tcBorders>
              <w:left w:val="single" w:color="000000" w:sz="6" w:space="0"/>
            </w:tcBorders>
            <w:vAlign w:val="top"/>
          </w:tcPr>
          <w:p>
            <w:pPr>
              <w:pStyle w:val="10"/>
              <w:spacing w:before="79" w:line="221" w:lineRule="auto"/>
              <w:ind w:left="1040"/>
              <w:rPr>
                <w:sz w:val="8"/>
                <w:szCs w:val="8"/>
              </w:rPr>
            </w:pPr>
            <w:r>
              <w:t>碳含量（以原子数计）cm</w:t>
            </w:r>
            <w:r>
              <w:rPr>
                <w:position w:val="9"/>
                <w:sz w:val="8"/>
                <w:szCs w:val="8"/>
              </w:rPr>
              <w:t>-3</w:t>
            </w:r>
          </w:p>
        </w:tc>
        <w:tc>
          <w:tcPr>
            <w:tcW w:w="1184" w:type="dxa"/>
            <w:vAlign w:val="top"/>
          </w:tcPr>
          <w:p>
            <w:pPr>
              <w:pStyle w:val="10"/>
              <w:spacing w:before="79" w:line="238" w:lineRule="auto"/>
              <w:ind w:left="170"/>
              <w:rPr>
                <w:sz w:val="8"/>
                <w:szCs w:val="8"/>
              </w:rPr>
            </w:pPr>
            <w:r>
              <w:rPr>
                <w:spacing w:val="-2"/>
              </w:rPr>
              <w:t>≤1.5×10</w:t>
            </w:r>
            <w:r>
              <w:rPr>
                <w:spacing w:val="-2"/>
                <w:position w:val="8"/>
                <w:sz w:val="8"/>
                <w:szCs w:val="8"/>
              </w:rPr>
              <w:t>16</w:t>
            </w:r>
          </w:p>
        </w:tc>
        <w:tc>
          <w:tcPr>
            <w:tcW w:w="1181" w:type="dxa"/>
            <w:vAlign w:val="top"/>
          </w:tcPr>
          <w:p>
            <w:pPr>
              <w:pStyle w:val="10"/>
              <w:spacing w:before="79" w:line="238" w:lineRule="auto"/>
              <w:ind w:left="204"/>
              <w:rPr>
                <w:sz w:val="8"/>
                <w:szCs w:val="8"/>
              </w:rPr>
            </w:pPr>
            <w:r>
              <w:rPr>
                <w:spacing w:val="-1"/>
              </w:rPr>
              <w:t>≤2.0×10</w:t>
            </w:r>
            <w:r>
              <w:rPr>
                <w:spacing w:val="-1"/>
                <w:position w:val="8"/>
                <w:sz w:val="8"/>
                <w:szCs w:val="8"/>
              </w:rPr>
              <w:t>16</w:t>
            </w:r>
          </w:p>
        </w:tc>
        <w:tc>
          <w:tcPr>
            <w:tcW w:w="1365" w:type="dxa"/>
            <w:vAlign w:val="top"/>
          </w:tcPr>
          <w:p>
            <w:pPr>
              <w:pStyle w:val="10"/>
              <w:spacing w:before="79" w:line="238" w:lineRule="auto"/>
              <w:ind w:left="263"/>
              <w:rPr>
                <w:sz w:val="8"/>
                <w:szCs w:val="8"/>
              </w:rPr>
            </w:pPr>
            <w:r>
              <w:rPr>
                <w:spacing w:val="-1"/>
              </w:rPr>
              <w:t>≤2.5×10</w:t>
            </w:r>
            <w:r>
              <w:rPr>
                <w:spacing w:val="-1"/>
                <w:position w:val="8"/>
                <w:sz w:val="8"/>
                <w:szCs w:val="8"/>
              </w:rPr>
              <w:t>16</w:t>
            </w:r>
          </w:p>
        </w:tc>
        <w:tc>
          <w:tcPr>
            <w:tcW w:w="1303" w:type="dxa"/>
            <w:tcBorders>
              <w:right w:val="single" w:color="000000" w:sz="6" w:space="0"/>
            </w:tcBorders>
            <w:vAlign w:val="top"/>
          </w:tcPr>
          <w:p>
            <w:pPr>
              <w:pStyle w:val="10"/>
              <w:spacing w:before="79" w:line="238" w:lineRule="auto"/>
              <w:ind w:left="228"/>
              <w:rPr>
                <w:sz w:val="8"/>
                <w:szCs w:val="8"/>
              </w:rPr>
            </w:pPr>
            <w:r>
              <w:rPr>
                <w:spacing w:val="-1"/>
              </w:rPr>
              <w:t>≤3.0×10</w:t>
            </w:r>
            <w:r>
              <w:rPr>
                <w:spacing w:val="-1"/>
                <w:position w:val="8"/>
                <w:sz w:val="8"/>
                <w:szCs w:val="8"/>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166" w:type="dxa"/>
            <w:tcBorders>
              <w:left w:val="single" w:color="000000" w:sz="6" w:space="0"/>
            </w:tcBorders>
            <w:vAlign w:val="top"/>
          </w:tcPr>
          <w:p>
            <w:pPr>
              <w:pStyle w:val="10"/>
              <w:spacing w:before="74" w:line="267" w:lineRule="auto"/>
              <w:ind w:left="1311" w:right="106" w:hanging="1202"/>
            </w:pPr>
            <w:r>
              <w:rPr>
                <w:spacing w:val="-3"/>
              </w:rPr>
              <w:t>基体金属杂质含量（Fe、Cr、Ni、Cu、</w:t>
            </w:r>
            <w:r>
              <w:rPr>
                <w:spacing w:val="-4"/>
              </w:rPr>
              <w:t>Zn、Na</w:t>
            </w:r>
            <w:r>
              <w:rPr>
                <w:spacing w:val="-34"/>
              </w:rPr>
              <w:t xml:space="preserve"> </w:t>
            </w:r>
            <w:r>
              <w:rPr>
                <w:spacing w:val="-4"/>
              </w:rPr>
              <w:t>总含</w:t>
            </w:r>
            <w:r>
              <w:t xml:space="preserve"> </w:t>
            </w:r>
            <w:r>
              <w:rPr>
                <w:spacing w:val="-2"/>
              </w:rPr>
              <w:t>量</w:t>
            </w:r>
            <w:r>
              <w:rPr>
                <w:spacing w:val="-39"/>
              </w:rPr>
              <w:t>），</w:t>
            </w:r>
            <w:r>
              <w:rPr>
                <w:spacing w:val="-2"/>
              </w:rPr>
              <w:t>ng/g（ppbw）</w:t>
            </w:r>
          </w:p>
        </w:tc>
        <w:tc>
          <w:tcPr>
            <w:tcW w:w="1184" w:type="dxa"/>
            <w:vAlign w:val="top"/>
          </w:tcPr>
          <w:p>
            <w:pPr>
              <w:pStyle w:val="10"/>
              <w:spacing w:before="228" w:line="236" w:lineRule="auto"/>
              <w:ind w:left="484"/>
            </w:pPr>
            <w:r>
              <w:rPr>
                <w:spacing w:val="-10"/>
              </w:rPr>
              <w:t>≤3</w:t>
            </w:r>
          </w:p>
        </w:tc>
        <w:tc>
          <w:tcPr>
            <w:tcW w:w="1181" w:type="dxa"/>
            <w:vAlign w:val="top"/>
          </w:tcPr>
          <w:p>
            <w:pPr>
              <w:pStyle w:val="10"/>
              <w:spacing w:before="228" w:line="236" w:lineRule="auto"/>
              <w:ind w:left="521"/>
            </w:pPr>
            <w:r>
              <w:rPr>
                <w:spacing w:val="-10"/>
              </w:rPr>
              <w:t>≤8</w:t>
            </w:r>
          </w:p>
        </w:tc>
        <w:tc>
          <w:tcPr>
            <w:tcW w:w="1365" w:type="dxa"/>
            <w:vAlign w:val="top"/>
          </w:tcPr>
          <w:p>
            <w:pPr>
              <w:pStyle w:val="10"/>
              <w:spacing w:before="228" w:line="236" w:lineRule="auto"/>
              <w:ind w:left="534"/>
            </w:pPr>
            <w:r>
              <w:rPr>
                <w:spacing w:val="-7"/>
              </w:rPr>
              <w:t>≤15</w:t>
            </w:r>
          </w:p>
        </w:tc>
        <w:tc>
          <w:tcPr>
            <w:tcW w:w="1303" w:type="dxa"/>
            <w:tcBorders>
              <w:right w:val="single" w:color="000000" w:sz="6" w:space="0"/>
            </w:tcBorders>
            <w:vAlign w:val="top"/>
          </w:tcPr>
          <w:p>
            <w:pPr>
              <w:pStyle w:val="10"/>
              <w:spacing w:before="228" w:line="236" w:lineRule="auto"/>
              <w:ind w:left="499"/>
            </w:pPr>
            <w:r>
              <w:rPr>
                <w:spacing w:val="-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166" w:type="dxa"/>
            <w:tcBorders>
              <w:left w:val="single" w:color="000000" w:sz="6" w:space="0"/>
              <w:bottom w:val="single" w:color="000000" w:sz="6" w:space="0"/>
            </w:tcBorders>
            <w:vAlign w:val="top"/>
          </w:tcPr>
          <w:p>
            <w:pPr>
              <w:pStyle w:val="10"/>
              <w:spacing w:before="78" w:line="219" w:lineRule="auto"/>
              <w:ind w:right="16"/>
              <w:jc w:val="right"/>
            </w:pPr>
            <w:r>
              <w:rPr>
                <w:spacing w:val="-4"/>
              </w:rPr>
              <w:t>表面金属杂质含量（Fe、Cr、Ni、Cu、Zn、Na</w:t>
            </w:r>
            <w:r>
              <w:rPr>
                <w:spacing w:val="-5"/>
              </w:rPr>
              <w:t>、Al、</w:t>
            </w:r>
          </w:p>
          <w:p>
            <w:pPr>
              <w:pStyle w:val="10"/>
              <w:spacing w:before="97" w:line="179" w:lineRule="auto"/>
              <w:ind w:left="384"/>
            </w:pPr>
            <w:r>
              <w:rPr>
                <w:spacing w:val="-1"/>
              </w:rPr>
              <w:t>K、Ti、Mo、W、Co</w:t>
            </w:r>
            <w:r>
              <w:rPr>
                <w:spacing w:val="-33"/>
              </w:rPr>
              <w:t xml:space="preserve"> </w:t>
            </w:r>
            <w:r>
              <w:rPr>
                <w:spacing w:val="-1"/>
              </w:rPr>
              <w:t>总含量</w:t>
            </w:r>
            <w:r>
              <w:rPr>
                <w:spacing w:val="-40"/>
              </w:rPr>
              <w:t>），</w:t>
            </w:r>
            <w:r>
              <w:rPr>
                <w:spacing w:val="-1"/>
              </w:rPr>
              <w:t>ng/g（ppbw）</w:t>
            </w:r>
          </w:p>
        </w:tc>
        <w:tc>
          <w:tcPr>
            <w:tcW w:w="1184" w:type="dxa"/>
            <w:tcBorders>
              <w:bottom w:val="single" w:color="000000" w:sz="6" w:space="0"/>
            </w:tcBorders>
            <w:vAlign w:val="top"/>
          </w:tcPr>
          <w:p>
            <w:pPr>
              <w:pStyle w:val="10"/>
              <w:spacing w:before="200" w:line="236" w:lineRule="auto"/>
              <w:ind w:left="484"/>
            </w:pPr>
            <w:r>
              <w:rPr>
                <w:spacing w:val="-10"/>
              </w:rPr>
              <w:t>≤5</w:t>
            </w:r>
          </w:p>
        </w:tc>
        <w:tc>
          <w:tcPr>
            <w:tcW w:w="1181" w:type="dxa"/>
            <w:tcBorders>
              <w:bottom w:val="single" w:color="000000" w:sz="6" w:space="0"/>
            </w:tcBorders>
            <w:vAlign w:val="top"/>
          </w:tcPr>
          <w:p>
            <w:pPr>
              <w:pStyle w:val="10"/>
              <w:spacing w:before="200" w:line="236" w:lineRule="auto"/>
              <w:ind w:left="475"/>
            </w:pPr>
            <w:r>
              <w:rPr>
                <w:spacing w:val="-7"/>
              </w:rPr>
              <w:t>≤10</w:t>
            </w:r>
          </w:p>
        </w:tc>
        <w:tc>
          <w:tcPr>
            <w:tcW w:w="1365" w:type="dxa"/>
            <w:tcBorders>
              <w:bottom w:val="single" w:color="000000" w:sz="6" w:space="0"/>
            </w:tcBorders>
            <w:vAlign w:val="top"/>
          </w:tcPr>
          <w:p>
            <w:pPr>
              <w:pStyle w:val="10"/>
              <w:spacing w:before="200" w:line="236" w:lineRule="auto"/>
              <w:ind w:left="534"/>
            </w:pPr>
            <w:r>
              <w:rPr>
                <w:spacing w:val="-7"/>
              </w:rPr>
              <w:t>≤20</w:t>
            </w:r>
          </w:p>
        </w:tc>
        <w:tc>
          <w:tcPr>
            <w:tcW w:w="1303" w:type="dxa"/>
            <w:tcBorders>
              <w:bottom w:val="single" w:color="000000" w:sz="6" w:space="0"/>
              <w:right w:val="single" w:color="000000" w:sz="6" w:space="0"/>
            </w:tcBorders>
            <w:vAlign w:val="top"/>
          </w:tcPr>
          <w:p>
            <w:pPr>
              <w:pStyle w:val="10"/>
              <w:spacing w:before="200" w:line="236" w:lineRule="auto"/>
              <w:ind w:left="499"/>
            </w:pPr>
            <w:r>
              <w:rPr>
                <w:spacing w:val="-7"/>
              </w:rPr>
              <w:t>≤30</w:t>
            </w:r>
          </w:p>
        </w:tc>
      </w:tr>
    </w:tbl>
    <w:p>
      <w:pPr>
        <w:pStyle w:val="4"/>
        <w:spacing w:before="0" w:line="360" w:lineRule="auto"/>
        <w:ind w:left="0" w:right="0" w:firstLine="488" w:firstLineChars="200"/>
        <w:jc w:val="both"/>
        <w:rPr>
          <w:rFonts w:hint="eastAsia"/>
          <w:spacing w:val="2"/>
          <w:lang w:val="en-US" w:eastAsia="zh-CN"/>
        </w:rPr>
      </w:pPr>
      <w:r>
        <w:rPr>
          <w:rFonts w:hint="eastAsia"/>
          <w:spacing w:val="2"/>
          <w:lang w:val="en-US" w:eastAsia="zh-CN"/>
        </w:rPr>
        <w:t>2024年8月22日，标准</w:t>
      </w:r>
      <w:r>
        <w:rPr>
          <w:rFonts w:hint="eastAsia"/>
          <w:spacing w:val="2"/>
          <w:lang w:eastAsia="zh-CN"/>
        </w:rPr>
        <w:t>预审会上，与会专家提出太阳能硅多晶特级品施主杂质和受主杂质应与</w:t>
      </w:r>
      <w:r>
        <w:rPr>
          <w:rFonts w:hint="eastAsia"/>
          <w:spacing w:val="2"/>
          <w:lang w:val="en-US" w:eastAsia="zh-CN"/>
        </w:rPr>
        <w:t>GB/T12963电子3级指标一致，其他指标不变，并考虑正在制定的团体标准</w:t>
      </w:r>
      <w:r>
        <w:rPr>
          <w:rFonts w:hint="eastAsia"/>
          <w:spacing w:val="2"/>
          <w:lang w:eastAsia="zh-CN"/>
        </w:rPr>
        <w:t>《</w:t>
      </w:r>
      <w:r>
        <w:rPr>
          <w:rFonts w:hint="eastAsia" w:ascii="宋体" w:hAnsi="宋体"/>
          <w:szCs w:val="21"/>
        </w:rPr>
        <w:t xml:space="preserve">质量分级及“领跑者”评价要求  </w:t>
      </w:r>
      <w:r>
        <w:rPr>
          <w:rFonts w:hint="eastAsia" w:ascii="宋体" w:hAnsi="宋体"/>
          <w:szCs w:val="21"/>
          <w:lang w:eastAsia="zh-CN"/>
        </w:rPr>
        <w:t>太阳能级</w:t>
      </w:r>
      <w:r>
        <w:rPr>
          <w:rFonts w:hint="eastAsia" w:ascii="宋体" w:hAnsi="宋体"/>
          <w:szCs w:val="21"/>
          <w:lang w:val="en-US" w:eastAsia="zh-CN"/>
        </w:rPr>
        <w:t>硅</w:t>
      </w:r>
      <w:r>
        <w:rPr>
          <w:rFonts w:hint="eastAsia" w:ascii="宋体" w:hAnsi="宋体"/>
          <w:szCs w:val="21"/>
          <w:lang w:eastAsia="zh-CN"/>
        </w:rPr>
        <w:t>多晶</w:t>
      </w:r>
      <w:r>
        <w:rPr>
          <w:rFonts w:hint="eastAsia"/>
          <w:spacing w:val="2"/>
          <w:lang w:eastAsia="zh-CN"/>
        </w:rPr>
        <w:t>》领跑者水平，所以将审定稿技术指标做如下修订，如表</w:t>
      </w:r>
      <w:r>
        <w:rPr>
          <w:rFonts w:hint="eastAsia"/>
          <w:spacing w:val="2"/>
          <w:lang w:val="en-US" w:eastAsia="zh-CN"/>
        </w:rPr>
        <w:t>4：</w:t>
      </w:r>
    </w:p>
    <w:p>
      <w:pPr>
        <w:spacing w:before="0" w:line="360" w:lineRule="auto"/>
        <w:ind w:left="0"/>
        <w:jc w:val="center"/>
        <w:rPr>
          <w:rFonts w:ascii="黑体" w:hAnsi="黑体" w:eastAsia="黑体" w:cs="黑体"/>
          <w:sz w:val="20"/>
          <w:szCs w:val="20"/>
        </w:rPr>
      </w:pPr>
      <w:r>
        <w:rPr>
          <w:rFonts w:ascii="黑体" w:hAnsi="黑体" w:eastAsia="黑体" w:cs="黑体"/>
          <w:spacing w:val="7"/>
          <w:sz w:val="20"/>
          <w:szCs w:val="20"/>
        </w:rPr>
        <w:t>表</w:t>
      </w:r>
      <w:r>
        <w:rPr>
          <w:rFonts w:ascii="黑体" w:hAnsi="黑体" w:eastAsia="黑体" w:cs="黑体"/>
          <w:spacing w:val="-38"/>
          <w:sz w:val="20"/>
          <w:szCs w:val="20"/>
        </w:rPr>
        <w:t xml:space="preserve"> </w:t>
      </w:r>
      <w:r>
        <w:rPr>
          <w:rFonts w:hint="eastAsia" w:ascii="黑体" w:hAnsi="黑体" w:eastAsia="黑体" w:cs="黑体"/>
          <w:spacing w:val="7"/>
          <w:sz w:val="20"/>
          <w:szCs w:val="20"/>
          <w:lang w:val="en-US" w:eastAsia="zh-CN"/>
        </w:rPr>
        <w:t>4</w:t>
      </w:r>
      <w:r>
        <w:rPr>
          <w:rFonts w:ascii="黑体" w:hAnsi="黑体" w:eastAsia="黑体" w:cs="黑体"/>
          <w:spacing w:val="7"/>
          <w:sz w:val="20"/>
          <w:szCs w:val="20"/>
        </w:rPr>
        <w:t xml:space="preserve"> </w:t>
      </w:r>
      <w:r>
        <w:rPr>
          <w:rFonts w:hint="eastAsia" w:ascii="黑体" w:hAnsi="黑体" w:eastAsia="黑体" w:cs="黑体"/>
          <w:spacing w:val="7"/>
          <w:sz w:val="20"/>
          <w:szCs w:val="20"/>
          <w:lang w:val="en-US" w:eastAsia="zh-CN"/>
        </w:rPr>
        <w:t xml:space="preserve"> </w:t>
      </w:r>
      <w:r>
        <w:rPr>
          <w:rFonts w:hint="eastAsia" w:ascii="黑体" w:hAnsi="黑体" w:eastAsia="黑体" w:cs="黑体"/>
          <w:spacing w:val="7"/>
          <w:sz w:val="20"/>
          <w:szCs w:val="20"/>
          <w:lang w:eastAsia="zh-CN"/>
        </w:rPr>
        <w:t>审定</w:t>
      </w:r>
      <w:r>
        <w:rPr>
          <w:rFonts w:ascii="黑体" w:hAnsi="黑体" w:eastAsia="黑体" w:cs="黑体"/>
          <w:spacing w:val="7"/>
          <w:sz w:val="20"/>
          <w:szCs w:val="20"/>
        </w:rPr>
        <w:t>稿技术指标</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49"/>
        <w:gridCol w:w="1206"/>
        <w:gridCol w:w="1275"/>
        <w:gridCol w:w="1388"/>
        <w:gridCol w:w="1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149" w:type="dxa"/>
            <w:vMerge w:val="restart"/>
            <w:noWrap w:val="0"/>
            <w:vAlign w:val="center"/>
          </w:tcPr>
          <w:p>
            <w:pPr>
              <w:shd w:val="clear" w:color="auto" w:fill="auto"/>
              <w:jc w:val="center"/>
              <w:rPr>
                <w:rFonts w:hint="eastAsia" w:ascii="宋体" w:hAnsi="宋体"/>
                <w:sz w:val="18"/>
                <w:szCs w:val="18"/>
                <w:shd w:val="clear" w:color="auto" w:fill="auto"/>
              </w:rPr>
            </w:pPr>
            <w:r>
              <w:rPr>
                <w:rFonts w:hint="eastAsia" w:ascii="宋体" w:hAnsi="宋体"/>
                <w:sz w:val="18"/>
                <w:szCs w:val="18"/>
                <w:shd w:val="clear" w:color="auto" w:fill="auto"/>
              </w:rPr>
              <w:t>项目</w:t>
            </w:r>
          </w:p>
        </w:tc>
        <w:tc>
          <w:tcPr>
            <w:tcW w:w="5184" w:type="dxa"/>
            <w:gridSpan w:val="4"/>
            <w:noWrap w:val="0"/>
            <w:vAlign w:val="center"/>
          </w:tcPr>
          <w:p>
            <w:pPr>
              <w:shd w:val="clear" w:color="auto" w:fill="auto"/>
              <w:jc w:val="center"/>
              <w:rPr>
                <w:rFonts w:hint="eastAsia" w:ascii="宋体" w:hAnsi="宋体"/>
                <w:sz w:val="18"/>
                <w:szCs w:val="18"/>
                <w:shd w:val="clear" w:color="auto" w:fill="auto"/>
              </w:rPr>
            </w:pPr>
            <w:r>
              <w:rPr>
                <w:rFonts w:hint="eastAsia" w:ascii="宋体" w:hAnsi="宋体"/>
                <w:sz w:val="18"/>
                <w:szCs w:val="18"/>
                <w:shd w:val="clear" w:color="auto" w:fill="auto"/>
              </w:rPr>
              <w:t>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149" w:type="dxa"/>
            <w:vMerge w:val="continue"/>
            <w:noWrap w:val="0"/>
            <w:vAlign w:val="center"/>
          </w:tcPr>
          <w:p>
            <w:pPr>
              <w:shd w:val="clear" w:color="auto" w:fill="auto"/>
              <w:jc w:val="center"/>
              <w:rPr>
                <w:rFonts w:ascii="宋体" w:hAnsi="宋体"/>
                <w:sz w:val="18"/>
                <w:szCs w:val="18"/>
                <w:shd w:val="clear" w:color="auto" w:fill="auto"/>
              </w:rPr>
            </w:pPr>
          </w:p>
        </w:tc>
        <w:tc>
          <w:tcPr>
            <w:tcW w:w="1206" w:type="dxa"/>
            <w:noWrap w:val="0"/>
            <w:vAlign w:val="center"/>
          </w:tcPr>
          <w:p>
            <w:pPr>
              <w:shd w:val="clear" w:color="auto" w:fill="auto"/>
              <w:jc w:val="center"/>
              <w:rPr>
                <w:rFonts w:ascii="宋体" w:hAnsi="宋体"/>
                <w:sz w:val="18"/>
                <w:szCs w:val="18"/>
                <w:shd w:val="clear" w:color="auto" w:fill="auto"/>
              </w:rPr>
            </w:pPr>
            <w:r>
              <w:rPr>
                <w:rFonts w:hint="eastAsia" w:ascii="宋体" w:hAnsi="宋体"/>
                <w:sz w:val="18"/>
                <w:szCs w:val="18"/>
                <w:shd w:val="clear" w:color="auto" w:fill="auto"/>
              </w:rPr>
              <w:t>特级品</w:t>
            </w:r>
          </w:p>
        </w:tc>
        <w:tc>
          <w:tcPr>
            <w:tcW w:w="127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1级品</w:t>
            </w:r>
          </w:p>
        </w:tc>
        <w:tc>
          <w:tcPr>
            <w:tcW w:w="1388"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2级品</w:t>
            </w:r>
          </w:p>
        </w:tc>
        <w:tc>
          <w:tcPr>
            <w:tcW w:w="131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3级品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noWrap w:val="0"/>
            <w:vAlign w:val="center"/>
          </w:tcPr>
          <w:p>
            <w:pPr>
              <w:shd w:val="clear" w:color="auto" w:fill="auto"/>
              <w:jc w:val="center"/>
              <w:rPr>
                <w:rFonts w:ascii="宋体" w:hAnsi="宋体"/>
                <w:sz w:val="18"/>
                <w:szCs w:val="18"/>
                <w:shd w:val="clear" w:color="auto" w:fill="auto"/>
              </w:rPr>
            </w:pPr>
            <w:r>
              <w:rPr>
                <w:rFonts w:hint="eastAsia" w:ascii="宋体" w:hAnsi="宋体"/>
                <w:sz w:val="18"/>
                <w:szCs w:val="18"/>
                <w:shd w:val="clear" w:color="auto" w:fill="auto"/>
              </w:rPr>
              <w:t>施主杂质含量（P、As、Sb总含量，以原子数计）cm</w:t>
            </w:r>
            <w:r>
              <w:rPr>
                <w:rFonts w:hint="eastAsia" w:ascii="宋体" w:hAnsi="宋体"/>
                <w:sz w:val="18"/>
                <w:szCs w:val="18"/>
                <w:shd w:val="clear" w:color="auto" w:fill="auto"/>
                <w:vertAlign w:val="superscript"/>
              </w:rPr>
              <w:t>-3</w:t>
            </w:r>
          </w:p>
        </w:tc>
        <w:tc>
          <w:tcPr>
            <w:tcW w:w="1206"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lang w:val="en-US" w:eastAsia="zh-CN"/>
              </w:rPr>
              <w:t>1.5</w:t>
            </w:r>
            <w:r>
              <w:rPr>
                <w:rFonts w:ascii="宋体" w:hAnsi="宋体"/>
                <w:sz w:val="18"/>
                <w:szCs w:val="18"/>
                <w:shd w:val="clear" w:color="auto" w:fill="auto"/>
              </w:rPr>
              <w:t>×10</w:t>
            </w:r>
            <w:r>
              <w:rPr>
                <w:rFonts w:hint="eastAsia" w:ascii="宋体" w:hAnsi="宋体"/>
                <w:sz w:val="18"/>
                <w:szCs w:val="18"/>
                <w:shd w:val="clear" w:color="auto" w:fill="auto"/>
                <w:vertAlign w:val="superscript"/>
              </w:rPr>
              <w:t>13</w:t>
            </w:r>
          </w:p>
        </w:tc>
        <w:tc>
          <w:tcPr>
            <w:tcW w:w="127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3.0</w:t>
            </w:r>
            <w:r>
              <w:rPr>
                <w:rFonts w:ascii="宋体" w:hAnsi="宋体"/>
                <w:sz w:val="18"/>
                <w:szCs w:val="18"/>
                <w:shd w:val="clear" w:color="auto" w:fill="auto"/>
              </w:rPr>
              <w:t>×10</w:t>
            </w:r>
            <w:r>
              <w:rPr>
                <w:rFonts w:hint="eastAsia" w:ascii="宋体" w:hAnsi="宋体"/>
                <w:sz w:val="18"/>
                <w:szCs w:val="18"/>
                <w:shd w:val="clear" w:color="auto" w:fill="auto"/>
                <w:vertAlign w:val="superscript"/>
              </w:rPr>
              <w:t>13</w:t>
            </w:r>
          </w:p>
        </w:tc>
        <w:tc>
          <w:tcPr>
            <w:tcW w:w="1388"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4.5</w:t>
            </w:r>
            <w:r>
              <w:rPr>
                <w:rFonts w:ascii="宋体" w:hAnsi="宋体"/>
                <w:sz w:val="18"/>
                <w:szCs w:val="18"/>
                <w:shd w:val="clear" w:color="auto" w:fill="auto"/>
              </w:rPr>
              <w:t>×10</w:t>
            </w:r>
            <w:r>
              <w:rPr>
                <w:rFonts w:hint="eastAsia" w:ascii="宋体" w:hAnsi="宋体"/>
                <w:sz w:val="18"/>
                <w:szCs w:val="18"/>
                <w:shd w:val="clear" w:color="auto" w:fill="auto"/>
                <w:vertAlign w:val="superscript"/>
              </w:rPr>
              <w:t>13</w:t>
            </w:r>
          </w:p>
        </w:tc>
        <w:tc>
          <w:tcPr>
            <w:tcW w:w="131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lang w:val="en-US" w:eastAsia="zh-CN"/>
              </w:rPr>
              <w:t>10</w:t>
            </w:r>
            <w:r>
              <w:rPr>
                <w:rFonts w:hint="eastAsia" w:ascii="宋体" w:hAnsi="宋体"/>
                <w:sz w:val="18"/>
                <w:szCs w:val="18"/>
                <w:shd w:val="clear" w:color="auto" w:fill="auto"/>
              </w:rPr>
              <w:t>.0</w:t>
            </w:r>
            <w:r>
              <w:rPr>
                <w:rFonts w:ascii="宋体" w:hAnsi="宋体"/>
                <w:sz w:val="18"/>
                <w:szCs w:val="18"/>
                <w:shd w:val="clear" w:color="auto" w:fill="auto"/>
              </w:rPr>
              <w:t>×10</w:t>
            </w:r>
            <w:r>
              <w:rPr>
                <w:rFonts w:hint="eastAsia" w:ascii="宋体" w:hAnsi="宋体"/>
                <w:sz w:val="18"/>
                <w:szCs w:val="18"/>
                <w:shd w:val="clear" w:color="auto" w:fill="auto"/>
                <w:vertAlign w:val="superscript"/>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149" w:type="dxa"/>
            <w:noWrap w:val="0"/>
            <w:vAlign w:val="center"/>
          </w:tcPr>
          <w:p>
            <w:pPr>
              <w:shd w:val="clear" w:color="auto" w:fill="auto"/>
              <w:jc w:val="center"/>
              <w:rPr>
                <w:rFonts w:hint="eastAsia" w:ascii="宋体" w:hAnsi="宋体"/>
                <w:sz w:val="18"/>
                <w:szCs w:val="18"/>
                <w:shd w:val="clear" w:color="auto" w:fill="auto"/>
              </w:rPr>
            </w:pPr>
            <w:r>
              <w:rPr>
                <w:rFonts w:hint="eastAsia" w:ascii="宋体" w:hAnsi="宋体"/>
                <w:sz w:val="18"/>
                <w:szCs w:val="18"/>
                <w:shd w:val="clear" w:color="auto" w:fill="auto"/>
              </w:rPr>
              <w:t>受主杂质含量（B、Al总含量，以原子数计）</w:t>
            </w:r>
          </w:p>
          <w:p>
            <w:pPr>
              <w:shd w:val="clear" w:color="auto" w:fill="auto"/>
              <w:jc w:val="center"/>
              <w:rPr>
                <w:rFonts w:ascii="宋体" w:hAnsi="宋体"/>
                <w:sz w:val="18"/>
                <w:szCs w:val="18"/>
                <w:shd w:val="clear" w:color="auto" w:fill="auto"/>
              </w:rPr>
            </w:pPr>
            <w:r>
              <w:rPr>
                <w:rFonts w:hint="eastAsia" w:ascii="宋体" w:hAnsi="宋体"/>
                <w:sz w:val="18"/>
                <w:szCs w:val="18"/>
                <w:shd w:val="clear" w:color="auto" w:fill="auto"/>
              </w:rPr>
              <w:t>cm</w:t>
            </w:r>
            <w:r>
              <w:rPr>
                <w:rFonts w:hint="eastAsia" w:ascii="宋体" w:hAnsi="宋体"/>
                <w:sz w:val="18"/>
                <w:szCs w:val="18"/>
                <w:shd w:val="clear" w:color="auto" w:fill="auto"/>
                <w:vertAlign w:val="superscript"/>
              </w:rPr>
              <w:t>-3</w:t>
            </w:r>
          </w:p>
        </w:tc>
        <w:tc>
          <w:tcPr>
            <w:tcW w:w="1206"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lang w:val="en-US" w:eastAsia="zh-CN"/>
              </w:rPr>
              <w:t>5.0</w:t>
            </w:r>
            <w:r>
              <w:rPr>
                <w:rFonts w:ascii="宋体" w:hAnsi="宋体"/>
                <w:sz w:val="18"/>
                <w:szCs w:val="18"/>
                <w:shd w:val="clear" w:color="auto" w:fill="auto"/>
              </w:rPr>
              <w:t>×10</w:t>
            </w:r>
            <w:r>
              <w:rPr>
                <w:rFonts w:hint="eastAsia" w:ascii="宋体" w:hAnsi="宋体"/>
                <w:sz w:val="18"/>
                <w:szCs w:val="18"/>
                <w:shd w:val="clear" w:color="auto" w:fill="auto"/>
                <w:vertAlign w:val="superscript"/>
              </w:rPr>
              <w:t>12</w:t>
            </w:r>
          </w:p>
        </w:tc>
        <w:tc>
          <w:tcPr>
            <w:tcW w:w="127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1.0</w:t>
            </w:r>
            <w:r>
              <w:rPr>
                <w:rFonts w:ascii="宋体" w:hAnsi="宋体"/>
                <w:sz w:val="18"/>
                <w:szCs w:val="18"/>
                <w:shd w:val="clear" w:color="auto" w:fill="auto"/>
              </w:rPr>
              <w:t>×10</w:t>
            </w:r>
            <w:r>
              <w:rPr>
                <w:rFonts w:hint="eastAsia" w:ascii="宋体" w:hAnsi="宋体"/>
                <w:sz w:val="18"/>
                <w:szCs w:val="18"/>
                <w:shd w:val="clear" w:color="auto" w:fill="auto"/>
                <w:vertAlign w:val="superscript"/>
              </w:rPr>
              <w:t>13</w:t>
            </w:r>
          </w:p>
        </w:tc>
        <w:tc>
          <w:tcPr>
            <w:tcW w:w="1388"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2.0</w:t>
            </w:r>
            <w:r>
              <w:rPr>
                <w:rFonts w:ascii="宋体" w:hAnsi="宋体"/>
                <w:sz w:val="18"/>
                <w:szCs w:val="18"/>
                <w:shd w:val="clear" w:color="auto" w:fill="auto"/>
              </w:rPr>
              <w:t>×10</w:t>
            </w:r>
            <w:r>
              <w:rPr>
                <w:rFonts w:hint="eastAsia" w:ascii="宋体" w:hAnsi="宋体"/>
                <w:sz w:val="18"/>
                <w:szCs w:val="18"/>
                <w:shd w:val="clear" w:color="auto" w:fill="auto"/>
                <w:vertAlign w:val="superscript"/>
              </w:rPr>
              <w:t>13</w:t>
            </w:r>
          </w:p>
        </w:tc>
        <w:tc>
          <w:tcPr>
            <w:tcW w:w="131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4.0</w:t>
            </w:r>
            <w:r>
              <w:rPr>
                <w:rFonts w:ascii="宋体" w:hAnsi="宋体"/>
                <w:sz w:val="18"/>
                <w:szCs w:val="18"/>
                <w:shd w:val="clear" w:color="auto" w:fill="auto"/>
              </w:rPr>
              <w:t>×10</w:t>
            </w:r>
            <w:r>
              <w:rPr>
                <w:rFonts w:hint="eastAsia" w:ascii="宋体" w:hAnsi="宋体"/>
                <w:sz w:val="18"/>
                <w:szCs w:val="18"/>
                <w:shd w:val="clear" w:color="auto" w:fill="auto"/>
                <w:vertAlign w:val="superscript"/>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149"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碳</w:t>
            </w:r>
            <w:r>
              <w:rPr>
                <w:rFonts w:hint="eastAsia" w:ascii="宋体" w:hAnsi="宋体"/>
                <w:sz w:val="18"/>
                <w:szCs w:val="18"/>
                <w:shd w:val="clear" w:color="auto" w:fill="auto"/>
              </w:rPr>
              <w:t>含量（以原子数计）cm</w:t>
            </w:r>
            <w:r>
              <w:rPr>
                <w:rFonts w:hint="eastAsia" w:ascii="宋体" w:hAnsi="宋体"/>
                <w:sz w:val="18"/>
                <w:szCs w:val="18"/>
                <w:shd w:val="clear" w:color="auto" w:fill="auto"/>
                <w:vertAlign w:val="superscript"/>
              </w:rPr>
              <w:t>-3</w:t>
            </w:r>
          </w:p>
        </w:tc>
        <w:tc>
          <w:tcPr>
            <w:tcW w:w="1206"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1.5</w:t>
            </w:r>
            <w:r>
              <w:rPr>
                <w:rFonts w:ascii="宋体" w:hAnsi="宋体"/>
                <w:sz w:val="18"/>
                <w:szCs w:val="18"/>
                <w:shd w:val="clear" w:color="auto" w:fill="auto"/>
              </w:rPr>
              <w:t>×10</w:t>
            </w:r>
            <w:r>
              <w:rPr>
                <w:rFonts w:ascii="宋体" w:hAnsi="宋体"/>
                <w:sz w:val="18"/>
                <w:szCs w:val="18"/>
                <w:shd w:val="clear" w:color="auto" w:fill="auto"/>
                <w:vertAlign w:val="superscript"/>
              </w:rPr>
              <w:t>16</w:t>
            </w:r>
          </w:p>
        </w:tc>
        <w:tc>
          <w:tcPr>
            <w:tcW w:w="127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≤2.</w:t>
            </w:r>
            <w:r>
              <w:rPr>
                <w:rFonts w:hint="eastAsia" w:ascii="宋体" w:hAnsi="宋体"/>
                <w:sz w:val="18"/>
                <w:szCs w:val="18"/>
                <w:shd w:val="clear" w:color="auto" w:fill="auto"/>
              </w:rPr>
              <w:t>0</w:t>
            </w:r>
            <w:r>
              <w:rPr>
                <w:rFonts w:ascii="宋体" w:hAnsi="宋体"/>
                <w:sz w:val="18"/>
                <w:szCs w:val="18"/>
                <w:shd w:val="clear" w:color="auto" w:fill="auto"/>
              </w:rPr>
              <w:t>×10</w:t>
            </w:r>
            <w:r>
              <w:rPr>
                <w:rFonts w:ascii="宋体" w:hAnsi="宋体"/>
                <w:sz w:val="18"/>
                <w:szCs w:val="18"/>
                <w:shd w:val="clear" w:color="auto" w:fill="auto"/>
                <w:vertAlign w:val="superscript"/>
              </w:rPr>
              <w:t>16</w:t>
            </w:r>
          </w:p>
        </w:tc>
        <w:tc>
          <w:tcPr>
            <w:tcW w:w="1388"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≤2.</w:t>
            </w:r>
            <w:r>
              <w:rPr>
                <w:rFonts w:hint="eastAsia" w:ascii="宋体" w:hAnsi="宋体"/>
                <w:sz w:val="18"/>
                <w:szCs w:val="18"/>
                <w:shd w:val="clear" w:color="auto" w:fill="auto"/>
              </w:rPr>
              <w:t>5</w:t>
            </w:r>
            <w:r>
              <w:rPr>
                <w:rFonts w:ascii="宋体" w:hAnsi="宋体"/>
                <w:sz w:val="18"/>
                <w:szCs w:val="18"/>
                <w:shd w:val="clear" w:color="auto" w:fill="auto"/>
              </w:rPr>
              <w:t>×10</w:t>
            </w:r>
            <w:r>
              <w:rPr>
                <w:rFonts w:ascii="宋体" w:hAnsi="宋体"/>
                <w:sz w:val="18"/>
                <w:szCs w:val="18"/>
                <w:shd w:val="clear" w:color="auto" w:fill="auto"/>
                <w:vertAlign w:val="superscript"/>
              </w:rPr>
              <w:t>16</w:t>
            </w:r>
          </w:p>
        </w:tc>
        <w:tc>
          <w:tcPr>
            <w:tcW w:w="1315" w:type="dxa"/>
            <w:noWrap w:val="0"/>
            <w:vAlign w:val="center"/>
          </w:tcPr>
          <w:p>
            <w:pPr>
              <w:shd w:val="clear" w:color="auto" w:fill="auto"/>
              <w:jc w:val="center"/>
              <w:rPr>
                <w:rFonts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3</w:t>
            </w:r>
            <w:r>
              <w:rPr>
                <w:rFonts w:ascii="宋体" w:hAnsi="宋体"/>
                <w:sz w:val="18"/>
                <w:szCs w:val="18"/>
                <w:shd w:val="clear" w:color="auto" w:fill="auto"/>
              </w:rPr>
              <w:t>.0×10</w:t>
            </w:r>
            <w:r>
              <w:rPr>
                <w:rFonts w:ascii="宋体" w:hAnsi="宋体"/>
                <w:sz w:val="18"/>
                <w:szCs w:val="18"/>
                <w:shd w:val="clear" w:color="auto" w:fill="auto"/>
                <w:vertAlign w:val="superscript"/>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4149" w:type="dxa"/>
            <w:noWrap w:val="0"/>
            <w:vAlign w:val="center"/>
          </w:tcPr>
          <w:p>
            <w:pPr>
              <w:shd w:val="clear" w:color="auto" w:fill="auto"/>
              <w:jc w:val="center"/>
              <w:rPr>
                <w:rFonts w:hint="eastAsia" w:ascii="宋体" w:hAnsi="宋体"/>
                <w:sz w:val="18"/>
                <w:szCs w:val="18"/>
                <w:shd w:val="clear" w:color="auto" w:fill="auto"/>
              </w:rPr>
            </w:pPr>
            <w:r>
              <w:rPr>
                <w:rFonts w:hint="eastAsia" w:ascii="宋体" w:hAnsi="宋体"/>
                <w:sz w:val="18"/>
                <w:szCs w:val="18"/>
                <w:shd w:val="clear" w:color="auto" w:fill="auto"/>
              </w:rPr>
              <w:t>基体</w:t>
            </w:r>
            <w:r>
              <w:rPr>
                <w:rFonts w:ascii="宋体" w:hAnsi="宋体"/>
                <w:sz w:val="18"/>
                <w:szCs w:val="18"/>
                <w:shd w:val="clear" w:color="auto" w:fill="auto"/>
              </w:rPr>
              <w:t>金属杂质</w:t>
            </w:r>
            <w:r>
              <w:rPr>
                <w:rFonts w:hint="eastAsia" w:ascii="宋体" w:hAnsi="宋体"/>
                <w:sz w:val="18"/>
                <w:szCs w:val="18"/>
                <w:shd w:val="clear" w:color="auto" w:fill="auto"/>
              </w:rPr>
              <w:t>含量（</w:t>
            </w:r>
            <w:r>
              <w:rPr>
                <w:rFonts w:ascii="宋体" w:hAnsi="宋体"/>
                <w:sz w:val="18"/>
                <w:szCs w:val="18"/>
                <w:shd w:val="clear" w:color="auto" w:fill="auto"/>
              </w:rPr>
              <w:t>Fe、Cr、Ni、Cu、Zn</w:t>
            </w:r>
            <w:r>
              <w:rPr>
                <w:rFonts w:hint="eastAsia" w:ascii="宋体" w:hAnsi="宋体"/>
                <w:sz w:val="18"/>
                <w:szCs w:val="18"/>
                <w:shd w:val="clear" w:color="auto" w:fill="auto"/>
                <w:lang w:eastAsia="zh-CN"/>
              </w:rPr>
              <w:t>、</w:t>
            </w:r>
            <w:r>
              <w:rPr>
                <w:rFonts w:hint="eastAsia" w:ascii="宋体" w:hAnsi="宋体"/>
                <w:sz w:val="18"/>
                <w:szCs w:val="18"/>
                <w:shd w:val="clear" w:color="auto" w:fill="auto"/>
                <w:lang w:val="en-US" w:eastAsia="zh-CN"/>
              </w:rPr>
              <w:t>Na</w:t>
            </w:r>
            <w:r>
              <w:rPr>
                <w:rFonts w:hint="eastAsia" w:ascii="宋体" w:hAnsi="宋体"/>
                <w:sz w:val="18"/>
                <w:szCs w:val="18"/>
                <w:shd w:val="clear" w:color="auto" w:fill="auto"/>
              </w:rPr>
              <w:t>总含量）</w:t>
            </w:r>
            <w:r>
              <w:rPr>
                <w:rFonts w:ascii="宋体" w:hAnsi="宋体"/>
                <w:sz w:val="18"/>
                <w:szCs w:val="18"/>
                <w:shd w:val="clear" w:color="auto" w:fill="auto"/>
              </w:rPr>
              <w:t>，</w:t>
            </w:r>
            <w:r>
              <w:rPr>
                <w:rFonts w:hint="eastAsia" w:ascii="宋体" w:hAnsi="宋体"/>
                <w:sz w:val="18"/>
                <w:szCs w:val="18"/>
                <w:shd w:val="clear" w:color="auto" w:fill="auto"/>
              </w:rPr>
              <w:t>ng/g（ppbw）</w:t>
            </w:r>
          </w:p>
          <w:p>
            <w:pPr>
              <w:shd w:val="clear" w:color="auto" w:fill="auto"/>
              <w:jc w:val="center"/>
              <w:rPr>
                <w:rFonts w:hint="eastAsia" w:ascii="宋体" w:hAnsi="宋体"/>
                <w:sz w:val="18"/>
                <w:szCs w:val="18"/>
                <w:shd w:val="clear" w:color="auto" w:fill="auto"/>
              </w:rPr>
            </w:pPr>
          </w:p>
        </w:tc>
        <w:tc>
          <w:tcPr>
            <w:tcW w:w="1206" w:type="dxa"/>
            <w:noWrap w:val="0"/>
            <w:vAlign w:val="center"/>
          </w:tcPr>
          <w:p>
            <w:pPr>
              <w:shd w:val="clear" w:color="auto" w:fill="auto"/>
              <w:jc w:val="center"/>
              <w:rPr>
                <w:rFonts w:hint="eastAsia"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3</w:t>
            </w:r>
          </w:p>
        </w:tc>
        <w:tc>
          <w:tcPr>
            <w:tcW w:w="1275" w:type="dxa"/>
            <w:noWrap w:val="0"/>
            <w:vAlign w:val="center"/>
          </w:tcPr>
          <w:p>
            <w:pPr>
              <w:shd w:val="clear" w:color="auto" w:fill="auto"/>
              <w:jc w:val="center"/>
              <w:rPr>
                <w:rFonts w:hint="default" w:ascii="宋体" w:hAnsi="宋体" w:eastAsia="宋体"/>
                <w:sz w:val="18"/>
                <w:szCs w:val="18"/>
                <w:shd w:val="clear" w:color="auto" w:fill="auto"/>
                <w:lang w:val="en-US" w:eastAsia="zh-CN"/>
              </w:rPr>
            </w:pPr>
            <w:r>
              <w:rPr>
                <w:rFonts w:ascii="宋体" w:hAnsi="宋体"/>
                <w:sz w:val="18"/>
                <w:szCs w:val="18"/>
                <w:shd w:val="clear" w:color="auto" w:fill="auto"/>
              </w:rPr>
              <w:t>≤</w:t>
            </w:r>
            <w:r>
              <w:rPr>
                <w:rFonts w:hint="eastAsia" w:ascii="宋体" w:hAnsi="宋体"/>
                <w:sz w:val="18"/>
                <w:szCs w:val="18"/>
                <w:shd w:val="clear" w:color="auto" w:fill="auto"/>
                <w:lang w:val="en-US" w:eastAsia="zh-CN"/>
              </w:rPr>
              <w:t>8</w:t>
            </w:r>
          </w:p>
        </w:tc>
        <w:tc>
          <w:tcPr>
            <w:tcW w:w="1388" w:type="dxa"/>
            <w:noWrap w:val="0"/>
            <w:vAlign w:val="center"/>
          </w:tcPr>
          <w:p>
            <w:pPr>
              <w:shd w:val="clear" w:color="auto" w:fill="auto"/>
              <w:jc w:val="center"/>
              <w:rPr>
                <w:rFonts w:hint="default" w:ascii="宋体" w:hAnsi="宋体" w:eastAsia="宋体"/>
                <w:sz w:val="18"/>
                <w:szCs w:val="18"/>
                <w:shd w:val="clear" w:color="auto" w:fill="auto"/>
                <w:lang w:val="en-US" w:eastAsia="zh-CN"/>
              </w:rPr>
            </w:pPr>
            <w:r>
              <w:rPr>
                <w:rFonts w:ascii="宋体" w:hAnsi="宋体"/>
                <w:sz w:val="18"/>
                <w:szCs w:val="18"/>
                <w:shd w:val="clear" w:color="auto" w:fill="auto"/>
              </w:rPr>
              <w:t>≤</w:t>
            </w:r>
            <w:r>
              <w:rPr>
                <w:rFonts w:hint="eastAsia" w:ascii="宋体" w:hAnsi="宋体"/>
                <w:sz w:val="18"/>
                <w:szCs w:val="18"/>
                <w:shd w:val="clear" w:color="auto" w:fill="auto"/>
                <w:lang w:val="en-US" w:eastAsia="zh-CN"/>
              </w:rPr>
              <w:t>15</w:t>
            </w:r>
          </w:p>
        </w:tc>
        <w:tc>
          <w:tcPr>
            <w:tcW w:w="1315" w:type="dxa"/>
            <w:noWrap w:val="0"/>
            <w:vAlign w:val="center"/>
          </w:tcPr>
          <w:p>
            <w:pPr>
              <w:shd w:val="clear" w:color="auto" w:fill="auto"/>
              <w:jc w:val="center"/>
              <w:rPr>
                <w:rFonts w:hint="eastAsia" w:ascii="宋体" w:hAnsi="宋体"/>
                <w:sz w:val="18"/>
                <w:szCs w:val="18"/>
                <w:shd w:val="clear" w:color="auto" w:fill="auto"/>
              </w:rPr>
            </w:pPr>
            <w:r>
              <w:rPr>
                <w:rFonts w:ascii="宋体" w:hAnsi="宋体"/>
                <w:sz w:val="18"/>
                <w:szCs w:val="18"/>
                <w:shd w:val="clear" w:color="auto" w:fill="auto"/>
              </w:rPr>
              <w:t>≤</w:t>
            </w:r>
            <w:r>
              <w:rPr>
                <w:rFonts w:hint="eastAsia" w:ascii="宋体" w:hAnsi="宋体"/>
                <w:sz w:val="18"/>
                <w:szCs w:val="18"/>
                <w:shd w:val="clear" w:color="auto" w:fill="auto"/>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9" w:type="dxa"/>
            <w:noWrap w:val="0"/>
            <w:vAlign w:val="center"/>
          </w:tcPr>
          <w:p>
            <w:pPr>
              <w:shd w:val="clear" w:color="auto" w:fill="auto"/>
              <w:jc w:val="center"/>
              <w:rPr>
                <w:rFonts w:hint="eastAsia" w:ascii="宋体" w:hAnsi="宋体"/>
                <w:sz w:val="18"/>
                <w:szCs w:val="18"/>
                <w:shd w:val="clear" w:color="auto" w:fill="auto"/>
              </w:rPr>
            </w:pPr>
            <w:r>
              <w:rPr>
                <w:rFonts w:hint="eastAsia" w:ascii="宋体" w:hAnsi="宋体"/>
                <w:sz w:val="18"/>
                <w:szCs w:val="18"/>
                <w:shd w:val="clear" w:color="auto" w:fill="auto"/>
              </w:rPr>
              <w:t>表面</w:t>
            </w:r>
            <w:r>
              <w:rPr>
                <w:rFonts w:ascii="宋体" w:hAnsi="宋体"/>
                <w:sz w:val="18"/>
                <w:szCs w:val="18"/>
                <w:shd w:val="clear" w:color="auto" w:fill="auto"/>
              </w:rPr>
              <w:t>金属杂质</w:t>
            </w:r>
            <w:r>
              <w:rPr>
                <w:rFonts w:hint="eastAsia" w:ascii="宋体" w:hAnsi="宋体"/>
                <w:sz w:val="18"/>
                <w:szCs w:val="18"/>
                <w:shd w:val="clear" w:color="auto" w:fill="auto"/>
              </w:rPr>
              <w:t>含量（</w:t>
            </w:r>
            <w:r>
              <w:rPr>
                <w:rFonts w:ascii="宋体" w:hAnsi="宋体"/>
                <w:sz w:val="18"/>
                <w:szCs w:val="18"/>
                <w:shd w:val="clear" w:color="auto" w:fill="auto"/>
              </w:rPr>
              <w:t>Fe</w:t>
            </w:r>
            <w:r>
              <w:rPr>
                <w:rFonts w:hint="eastAsia" w:ascii="宋体" w:hAnsi="宋体"/>
                <w:sz w:val="18"/>
                <w:szCs w:val="18"/>
                <w:shd w:val="clear" w:color="auto" w:fill="auto"/>
              </w:rPr>
              <w:t>、</w:t>
            </w:r>
            <w:r>
              <w:rPr>
                <w:rFonts w:ascii="宋体" w:hAnsi="宋体"/>
                <w:sz w:val="18"/>
                <w:szCs w:val="18"/>
                <w:shd w:val="clear" w:color="auto" w:fill="auto"/>
              </w:rPr>
              <w:t>Cr、Ni、Cu、Zn</w:t>
            </w:r>
            <w:r>
              <w:rPr>
                <w:rFonts w:hint="eastAsia" w:ascii="宋体" w:hAnsi="宋体"/>
                <w:sz w:val="18"/>
                <w:szCs w:val="18"/>
                <w:shd w:val="clear" w:color="auto" w:fill="auto"/>
              </w:rPr>
              <w:t>、Na、</w:t>
            </w:r>
            <w:r>
              <w:rPr>
                <w:rFonts w:hint="eastAsia" w:ascii="宋体" w:hAnsi="宋体"/>
                <w:sz w:val="18"/>
                <w:szCs w:val="18"/>
                <w:shd w:val="clear" w:color="auto" w:fill="auto"/>
                <w:lang w:val="en-US" w:eastAsia="zh-CN"/>
              </w:rPr>
              <w:t>Al、K、</w:t>
            </w:r>
            <w:r>
              <w:rPr>
                <w:rFonts w:hint="eastAsia" w:ascii="宋体" w:hAnsi="宋体"/>
                <w:sz w:val="18"/>
                <w:szCs w:val="18"/>
                <w:shd w:val="clear" w:color="auto" w:fill="auto"/>
              </w:rPr>
              <w:t>Ti、Mo、W、Co总含量）</w:t>
            </w:r>
            <w:r>
              <w:rPr>
                <w:rFonts w:ascii="宋体" w:hAnsi="宋体"/>
                <w:sz w:val="18"/>
                <w:szCs w:val="18"/>
                <w:shd w:val="clear" w:color="auto" w:fill="auto"/>
              </w:rPr>
              <w:t>，</w:t>
            </w:r>
            <w:r>
              <w:rPr>
                <w:rFonts w:hint="eastAsia" w:ascii="宋体" w:hAnsi="宋体"/>
                <w:sz w:val="18"/>
                <w:szCs w:val="18"/>
                <w:shd w:val="clear" w:color="auto" w:fill="auto"/>
              </w:rPr>
              <w:t>ng/g（ppbw）</w:t>
            </w:r>
          </w:p>
          <w:p>
            <w:pPr>
              <w:shd w:val="clear" w:color="auto" w:fill="auto"/>
              <w:jc w:val="center"/>
              <w:rPr>
                <w:rFonts w:hint="eastAsia" w:ascii="宋体" w:hAnsi="宋体"/>
                <w:sz w:val="18"/>
                <w:szCs w:val="18"/>
                <w:shd w:val="clear" w:color="auto" w:fill="auto"/>
              </w:rPr>
            </w:pPr>
          </w:p>
        </w:tc>
        <w:tc>
          <w:tcPr>
            <w:tcW w:w="1206" w:type="dxa"/>
            <w:noWrap w:val="0"/>
            <w:vAlign w:val="center"/>
          </w:tcPr>
          <w:p>
            <w:pPr>
              <w:shd w:val="clear" w:color="auto" w:fill="auto"/>
              <w:jc w:val="center"/>
              <w:rPr>
                <w:rFonts w:hint="eastAsia" w:ascii="宋体" w:hAnsi="宋体" w:eastAsia="宋体"/>
                <w:sz w:val="18"/>
                <w:szCs w:val="18"/>
                <w:shd w:val="clear" w:color="auto" w:fill="auto"/>
                <w:lang w:eastAsia="zh-CN"/>
              </w:rPr>
            </w:pPr>
            <w:r>
              <w:rPr>
                <w:rFonts w:ascii="宋体" w:hAnsi="宋体"/>
                <w:sz w:val="18"/>
                <w:szCs w:val="18"/>
                <w:shd w:val="clear" w:color="auto" w:fill="auto"/>
              </w:rPr>
              <w:t>≤</w:t>
            </w:r>
            <w:r>
              <w:rPr>
                <w:rFonts w:hint="eastAsia" w:ascii="宋体" w:hAnsi="宋体"/>
                <w:sz w:val="18"/>
                <w:szCs w:val="18"/>
                <w:shd w:val="clear" w:color="auto" w:fill="auto"/>
                <w:lang w:val="en-US" w:eastAsia="zh-CN"/>
              </w:rPr>
              <w:t>5</w:t>
            </w:r>
          </w:p>
        </w:tc>
        <w:tc>
          <w:tcPr>
            <w:tcW w:w="1275" w:type="dxa"/>
            <w:noWrap w:val="0"/>
            <w:vAlign w:val="center"/>
          </w:tcPr>
          <w:p>
            <w:pPr>
              <w:shd w:val="clear" w:color="auto" w:fill="auto"/>
              <w:jc w:val="center"/>
              <w:rPr>
                <w:rFonts w:hint="default" w:ascii="宋体" w:hAnsi="宋体" w:eastAsia="宋体"/>
                <w:sz w:val="18"/>
                <w:szCs w:val="18"/>
                <w:shd w:val="clear" w:color="auto" w:fill="auto"/>
                <w:lang w:val="en-US" w:eastAsia="zh-CN"/>
              </w:rPr>
            </w:pPr>
            <w:r>
              <w:rPr>
                <w:rFonts w:ascii="宋体" w:hAnsi="宋体"/>
                <w:sz w:val="18"/>
                <w:szCs w:val="18"/>
                <w:shd w:val="clear" w:color="auto" w:fill="auto"/>
              </w:rPr>
              <w:t>≤</w:t>
            </w:r>
            <w:r>
              <w:rPr>
                <w:rFonts w:hint="eastAsia" w:ascii="宋体" w:hAnsi="宋体"/>
                <w:sz w:val="18"/>
                <w:szCs w:val="18"/>
                <w:shd w:val="clear" w:color="auto" w:fill="auto"/>
                <w:lang w:val="en-US" w:eastAsia="zh-CN"/>
              </w:rPr>
              <w:t>10</w:t>
            </w:r>
          </w:p>
        </w:tc>
        <w:tc>
          <w:tcPr>
            <w:tcW w:w="1388" w:type="dxa"/>
            <w:noWrap w:val="0"/>
            <w:vAlign w:val="center"/>
          </w:tcPr>
          <w:p>
            <w:pPr>
              <w:shd w:val="clear" w:color="auto" w:fill="auto"/>
              <w:jc w:val="center"/>
              <w:rPr>
                <w:rFonts w:hint="default" w:ascii="宋体" w:hAnsi="宋体" w:eastAsia="宋体"/>
                <w:sz w:val="18"/>
                <w:szCs w:val="18"/>
                <w:shd w:val="clear" w:color="auto" w:fill="auto"/>
                <w:lang w:val="en-US" w:eastAsia="zh-CN"/>
              </w:rPr>
            </w:pPr>
            <w:r>
              <w:rPr>
                <w:rFonts w:ascii="宋体" w:hAnsi="宋体"/>
                <w:sz w:val="18"/>
                <w:szCs w:val="18"/>
                <w:shd w:val="clear" w:color="auto" w:fill="auto"/>
              </w:rPr>
              <w:t>≤</w:t>
            </w:r>
            <w:r>
              <w:rPr>
                <w:rFonts w:hint="eastAsia" w:ascii="宋体" w:hAnsi="宋体"/>
                <w:sz w:val="18"/>
                <w:szCs w:val="18"/>
                <w:shd w:val="clear" w:color="auto" w:fill="auto"/>
                <w:lang w:val="en-US" w:eastAsia="zh-CN"/>
              </w:rPr>
              <w:t>20</w:t>
            </w:r>
          </w:p>
        </w:tc>
        <w:tc>
          <w:tcPr>
            <w:tcW w:w="1315" w:type="dxa"/>
            <w:noWrap w:val="0"/>
            <w:vAlign w:val="center"/>
          </w:tcPr>
          <w:p>
            <w:pPr>
              <w:shd w:val="clear" w:color="auto" w:fill="auto"/>
              <w:jc w:val="center"/>
              <w:rPr>
                <w:rFonts w:hint="default" w:ascii="宋体" w:hAnsi="宋体" w:eastAsia="宋体"/>
                <w:sz w:val="18"/>
                <w:szCs w:val="18"/>
                <w:shd w:val="clear" w:color="auto" w:fill="auto"/>
                <w:lang w:val="en-US" w:eastAsia="zh-CN"/>
              </w:rPr>
            </w:pPr>
            <w:r>
              <w:rPr>
                <w:rFonts w:ascii="宋体" w:hAnsi="宋体"/>
                <w:sz w:val="18"/>
                <w:szCs w:val="18"/>
                <w:shd w:val="clear" w:color="auto" w:fill="auto"/>
              </w:rPr>
              <w:t>≤</w:t>
            </w:r>
            <w:r>
              <w:rPr>
                <w:rFonts w:hint="eastAsia" w:ascii="宋体" w:hAnsi="宋体"/>
                <w:sz w:val="18"/>
                <w:szCs w:val="18"/>
                <w:shd w:val="clear" w:color="auto" w:fill="auto"/>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9333" w:type="dxa"/>
            <w:gridSpan w:val="5"/>
            <w:noWrap w:val="0"/>
            <w:vAlign w:val="center"/>
          </w:tcPr>
          <w:p>
            <w:pPr>
              <w:shd w:val="clear" w:color="auto" w:fill="auto"/>
              <w:jc w:val="left"/>
              <w:rPr>
                <w:rFonts w:ascii="宋体" w:hAnsi="宋体"/>
                <w:sz w:val="18"/>
                <w:szCs w:val="18"/>
                <w:shd w:val="clear" w:color="auto" w:fill="auto"/>
              </w:rPr>
            </w:pPr>
            <w:r>
              <w:rPr>
                <w:rFonts w:hint="eastAsia" w:hAnsi="Times New Roman" w:cs="Times New Roman"/>
                <w:b/>
                <w:bCs/>
                <w:sz w:val="20"/>
                <w:szCs w:val="20"/>
                <w:shd w:val="clear" w:color="auto" w:fill="auto"/>
                <w:lang w:eastAsia="zh-CN"/>
              </w:rPr>
              <w:t>注</w:t>
            </w:r>
            <w:r>
              <w:rPr>
                <w:rFonts w:hint="eastAsia" w:hAnsi="Times New Roman" w:cs="Times New Roman"/>
                <w:sz w:val="20"/>
                <w:szCs w:val="20"/>
                <w:shd w:val="clear" w:color="auto" w:fill="auto"/>
                <w:lang w:eastAsia="zh-CN"/>
              </w:rPr>
              <w:t>：</w:t>
            </w:r>
            <w:r>
              <w:rPr>
                <w:rFonts w:hint="default" w:ascii="宋体" w:hAnsi="Times New Roman" w:cs="Times New Roman"/>
                <w:sz w:val="20"/>
                <w:szCs w:val="20"/>
                <w:shd w:val="clear" w:color="auto" w:fill="auto"/>
                <w:lang w:eastAsia="zh-CN"/>
              </w:rPr>
              <w:t>硅多晶</w:t>
            </w:r>
            <w:r>
              <w:rPr>
                <w:rFonts w:hint="default" w:ascii="宋体" w:hAnsi="Times New Roman" w:cs="Times New Roman"/>
                <w:sz w:val="20"/>
                <w:szCs w:val="20"/>
                <w:shd w:val="clear" w:color="auto" w:fill="auto"/>
              </w:rPr>
              <w:t>的导电类型、电阻率、少数载流子寿命和氧含量由供需双方</w:t>
            </w:r>
            <w:r>
              <w:rPr>
                <w:rFonts w:hint="eastAsia" w:hAnsi="Times New Roman" w:cs="Times New Roman"/>
                <w:sz w:val="20"/>
                <w:szCs w:val="20"/>
                <w:shd w:val="clear" w:color="auto" w:fill="auto"/>
                <w:lang w:eastAsia="zh-CN"/>
              </w:rPr>
              <w:t>协商</w:t>
            </w:r>
            <w:r>
              <w:rPr>
                <w:rFonts w:hint="default" w:ascii="宋体" w:hAnsi="Times New Roman" w:cs="Times New Roman"/>
                <w:sz w:val="20"/>
                <w:szCs w:val="20"/>
                <w:shd w:val="clear" w:color="auto" w:fill="auto"/>
              </w:rPr>
              <w:t>确定。</w:t>
            </w:r>
          </w:p>
        </w:tc>
      </w:tr>
    </w:tbl>
    <w:p>
      <w:pPr>
        <w:pStyle w:val="4"/>
        <w:autoSpaceDE/>
        <w:autoSpaceDN/>
        <w:spacing w:line="360" w:lineRule="auto"/>
        <w:ind w:left="0" w:firstLine="488" w:firstLineChars="200"/>
        <w:jc w:val="both"/>
      </w:pPr>
      <w:r>
        <w:rPr>
          <w:spacing w:val="2"/>
        </w:rPr>
        <w:t>在尺寸及允许偏差部分，与会专家认为根据目前的实际供应，客户端对混装的比例要求不同，在标准中推荐界定的指导意义不大，因此删除了混装比例的规定。结构方面虽然氧化夹层、温度夹层是重要的评价指标，但随着硅多晶生产技术的进步，氧化夹层、温度夹层视为严重不合格，因此在最新版的标准中不宜作为一项普遍的技术</w:t>
      </w:r>
      <w:r>
        <w:rPr>
          <w:spacing w:val="-4"/>
        </w:rPr>
        <w:t>标准。</w:t>
      </w:r>
    </w:p>
    <w:p>
      <w:pPr>
        <w:pStyle w:val="4"/>
        <w:spacing w:before="0" w:line="360" w:lineRule="auto"/>
        <w:ind w:left="0"/>
        <w:outlineLvl w:val="1"/>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（四）第六章：试验方法的确定</w:t>
      </w:r>
    </w:p>
    <w:p>
      <w:pPr>
        <w:pStyle w:val="4"/>
        <w:autoSpaceDE/>
        <w:autoSpaceDN/>
        <w:spacing w:before="0" w:line="360" w:lineRule="auto"/>
        <w:ind w:left="0" w:firstLine="488" w:firstLineChars="200"/>
        <w:jc w:val="both"/>
        <w:rPr>
          <w:spacing w:val="2"/>
        </w:rPr>
      </w:pPr>
      <w:r>
        <w:rPr>
          <w:rFonts w:ascii="宋体" w:hAnsi="宋体" w:eastAsia="宋体" w:cs="宋体"/>
          <w:spacing w:val="2"/>
          <w:position w:val="0"/>
        </w:rPr>
        <w:t>1</w:t>
      </w:r>
      <w:r>
        <w:rPr>
          <w:spacing w:val="2"/>
          <w:position w:val="0"/>
        </w:rPr>
        <w:t>、因现在硅多晶企业普遍采用低温红外光谱仪检测施受主杂质，不再使用准确度</w:t>
      </w:r>
      <w:r>
        <w:rPr>
          <w:spacing w:val="2"/>
        </w:rPr>
        <w:t>低的换算方法，删除了硅多晶中的施主杂质含量和受主杂质含量的检验按</w:t>
      </w:r>
      <w:r>
        <w:rPr>
          <w:rFonts w:ascii="宋体" w:hAnsi="宋体" w:eastAsia="宋体" w:cs="宋体"/>
          <w:spacing w:val="2"/>
        </w:rPr>
        <w:t>GB/T</w:t>
      </w:r>
      <w:r>
        <w:rPr>
          <w:rFonts w:hint="eastAsia" w:cs="宋体"/>
          <w:spacing w:val="2"/>
          <w:lang w:val="en-US" w:eastAsia="zh-CN"/>
        </w:rPr>
        <w:t xml:space="preserve"> </w:t>
      </w:r>
      <w:r>
        <w:rPr>
          <w:rFonts w:ascii="宋体" w:hAnsi="宋体" w:eastAsia="宋体" w:cs="宋体"/>
          <w:spacing w:val="2"/>
        </w:rPr>
        <w:t>1551</w:t>
      </w:r>
      <w:r>
        <w:rPr>
          <w:spacing w:val="2"/>
        </w:rPr>
        <w:t>和</w:t>
      </w:r>
      <w:r>
        <w:rPr>
          <w:rFonts w:ascii="宋体" w:hAnsi="宋体" w:eastAsia="宋体" w:cs="宋体"/>
          <w:spacing w:val="2"/>
        </w:rPr>
        <w:t>GB/T</w:t>
      </w:r>
      <w:r>
        <w:rPr>
          <w:rFonts w:hint="eastAsia" w:cs="宋体"/>
          <w:spacing w:val="2"/>
          <w:lang w:val="en-US" w:eastAsia="zh-CN"/>
        </w:rPr>
        <w:t xml:space="preserve"> </w:t>
      </w:r>
      <w:r>
        <w:rPr>
          <w:rFonts w:ascii="宋体" w:hAnsi="宋体" w:eastAsia="宋体" w:cs="宋体"/>
          <w:spacing w:val="2"/>
        </w:rPr>
        <w:t>13389</w:t>
      </w:r>
      <w:r>
        <w:rPr>
          <w:spacing w:val="2"/>
        </w:rPr>
        <w:t>规定的方法换算得出。</w:t>
      </w:r>
    </w:p>
    <w:p>
      <w:pPr>
        <w:pStyle w:val="4"/>
        <w:autoSpaceDE/>
        <w:autoSpaceDN/>
        <w:spacing w:line="360" w:lineRule="auto"/>
        <w:ind w:left="0" w:firstLine="476" w:firstLineChars="200"/>
      </w:pPr>
      <w:r>
        <w:rPr>
          <w:rFonts w:ascii="Times New Roman" w:hAnsi="Times New Roman" w:eastAsia="Times New Roman" w:cs="Times New Roman"/>
          <w:spacing w:val="-1"/>
        </w:rPr>
        <w:t>2</w:t>
      </w:r>
      <w:r>
        <w:rPr>
          <w:spacing w:val="-1"/>
        </w:rPr>
        <w:t>、随着</w:t>
      </w:r>
      <w:r>
        <w:rPr>
          <w:rFonts w:ascii="Times New Roman" w:hAnsi="Times New Roman" w:eastAsia="Times New Roman" w:cs="Times New Roman"/>
          <w:spacing w:val="-1"/>
        </w:rPr>
        <w:t>GB/T 35306</w:t>
      </w:r>
      <w:r>
        <w:rPr>
          <w:spacing w:val="-1"/>
        </w:rPr>
        <w:t>《硅单晶中碳、氧含量的测定</w:t>
      </w:r>
      <w:r>
        <w:rPr>
          <w:spacing w:val="-2"/>
        </w:rPr>
        <w:t xml:space="preserve"> 低温傅立叶变换红外光谱法》</w:t>
      </w:r>
      <w:r>
        <w:rPr>
          <w:spacing w:val="-1"/>
        </w:rPr>
        <w:t>的实施，业内碳含量和氧含量检测普遍采用低温红外光谱法，所以增加了</w:t>
      </w:r>
      <w:r>
        <w:rPr>
          <w:rFonts w:ascii="Times New Roman" w:hAnsi="Times New Roman" w:eastAsia="Times New Roman" w:cs="Times New Roman"/>
          <w:spacing w:val="-1"/>
        </w:rPr>
        <w:t>GB/T 35306</w:t>
      </w:r>
      <w:r>
        <w:rPr>
          <w:spacing w:val="-2"/>
        </w:rPr>
        <w:t>并作为仲裁方法。</w:t>
      </w:r>
    </w:p>
    <w:p>
      <w:pPr>
        <w:pStyle w:val="4"/>
        <w:autoSpaceDE/>
        <w:autoSpaceDN/>
        <w:spacing w:line="360" w:lineRule="auto"/>
        <w:ind w:left="0" w:firstLine="460" w:firstLineChars="200"/>
      </w:pPr>
      <w:r>
        <w:rPr>
          <w:rFonts w:ascii="Times New Roman" w:hAnsi="Times New Roman" w:eastAsia="Times New Roman" w:cs="Times New Roman"/>
          <w:spacing w:val="-5"/>
        </w:rPr>
        <w:t>3</w:t>
      </w:r>
      <w:r>
        <w:rPr>
          <w:spacing w:val="-5"/>
        </w:rPr>
        <w:t>、目前太阳能硅多晶品质提升很大，基体金属检测方法增加了</w:t>
      </w:r>
      <w:r>
        <w:rPr>
          <w:rFonts w:ascii="Times New Roman" w:hAnsi="Times New Roman" w:eastAsia="Times New Roman" w:cs="Times New Roman"/>
          <w:spacing w:val="-5"/>
        </w:rPr>
        <w:t>GB/T 37049</w:t>
      </w:r>
      <w:r>
        <w:rPr>
          <w:spacing w:val="-5"/>
        </w:rPr>
        <w:t>《电子</w:t>
      </w:r>
      <w:r>
        <w:rPr>
          <w:spacing w:val="-2"/>
        </w:rPr>
        <w:t>级多晶硅中基体金属杂质含量的测定</w:t>
      </w:r>
      <w:r>
        <w:rPr>
          <w:spacing w:val="37"/>
        </w:rPr>
        <w:t xml:space="preserve"> </w:t>
      </w:r>
      <w:r>
        <w:rPr>
          <w:spacing w:val="-2"/>
        </w:rPr>
        <w:t>电感耦合等离子体质谱法》</w:t>
      </w:r>
      <w:r>
        <w:rPr>
          <w:spacing w:val="-3"/>
        </w:rPr>
        <w:t>并且作为仲裁检验方</w:t>
      </w:r>
      <w:r>
        <w:rPr>
          <w:spacing w:val="-6"/>
        </w:rPr>
        <w:t>法。</w:t>
      </w:r>
    </w:p>
    <w:p>
      <w:pPr>
        <w:pStyle w:val="4"/>
        <w:autoSpaceDE/>
        <w:autoSpaceDN/>
        <w:spacing w:before="0" w:line="360" w:lineRule="auto"/>
        <w:ind w:left="0" w:firstLine="472" w:firstLineChars="200"/>
        <w:rPr>
          <w:rFonts w:hint="eastAsia"/>
          <w:spacing w:val="-2"/>
          <w:position w:val="17"/>
          <w:lang w:val="en-US" w:eastAsia="zh-CN"/>
        </w:rPr>
      </w:pPr>
      <w:r>
        <w:rPr>
          <w:rFonts w:ascii="Times New Roman" w:hAnsi="Times New Roman" w:eastAsia="Times New Roman" w:cs="Times New Roman"/>
          <w:spacing w:val="-2"/>
          <w:position w:val="17"/>
        </w:rPr>
        <w:t>4</w:t>
      </w:r>
      <w:r>
        <w:rPr>
          <w:spacing w:val="-2"/>
          <w:position w:val="17"/>
        </w:rPr>
        <w:t>、删除了硅多晶结构（氧化夹层、温度夹层）的检验按</w:t>
      </w:r>
      <w:r>
        <w:rPr>
          <w:rFonts w:ascii="Times New Roman" w:hAnsi="Times New Roman" w:eastAsia="Times New Roman" w:cs="Times New Roman"/>
          <w:spacing w:val="-2"/>
          <w:position w:val="17"/>
        </w:rPr>
        <w:t>GB/T 4061</w:t>
      </w:r>
      <w:r>
        <w:rPr>
          <w:spacing w:val="-2"/>
          <w:position w:val="17"/>
        </w:rPr>
        <w:t>的规定进行，</w:t>
      </w:r>
      <w:r>
        <w:rPr>
          <w:rFonts w:hint="eastAsia"/>
          <w:spacing w:val="-2"/>
          <w:position w:val="17"/>
          <w:lang w:eastAsia="zh-CN"/>
        </w:rPr>
        <w:t>和</w:t>
      </w:r>
      <w:r>
        <w:rPr>
          <w:rFonts w:hint="default" w:ascii="Times New Roman" w:hAnsi="Times New Roman" w:cs="Times New Roman"/>
          <w:spacing w:val="-2"/>
          <w:position w:val="17"/>
          <w:lang w:val="en-US" w:eastAsia="zh-CN"/>
        </w:rPr>
        <w:t>5.3</w:t>
      </w:r>
      <w:r>
        <w:rPr>
          <w:rFonts w:hint="eastAsia"/>
          <w:spacing w:val="-2"/>
          <w:position w:val="17"/>
          <w:lang w:val="en-US" w:eastAsia="zh-CN"/>
        </w:rPr>
        <w:t>条件相对应。</w:t>
      </w:r>
    </w:p>
    <w:p>
      <w:pPr>
        <w:pStyle w:val="4"/>
        <w:spacing w:before="0" w:line="360" w:lineRule="auto"/>
        <w:ind w:left="0"/>
        <w:outlineLvl w:val="1"/>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（五）组批的修订</w:t>
      </w:r>
    </w:p>
    <w:p>
      <w:pPr>
        <w:pStyle w:val="4"/>
        <w:autoSpaceDE/>
        <w:autoSpaceDN/>
        <w:spacing w:before="0" w:line="360" w:lineRule="auto"/>
        <w:ind w:firstLine="456" w:firstLineChars="200"/>
        <w:rPr>
          <w:spacing w:val="-6"/>
        </w:rPr>
      </w:pPr>
      <w:r>
        <w:rPr>
          <w:spacing w:val="-6"/>
        </w:rPr>
        <w:t>根据现有生产工艺流程和生产工艺，将组批由“产品应成批提交验收，每批应由同一等级，以类似工艺条件生产并可追溯生产条件的硅多晶组成。”，在讨论稿中修改为“产品应成批提交验收，每批应由同一规格、同一等级，同一工艺条件生产并可追溯生产条件的硅多晶组成。</w:t>
      </w:r>
      <w:bookmarkStart w:id="0" w:name="_GoBack"/>
      <w:bookmarkEnd w:id="0"/>
      <w:r>
        <w:rPr>
          <w:spacing w:val="-6"/>
        </w:rPr>
        <w:t>”，增加了“同一规格”的要求，把“类似工艺条件”修改为“同一工艺条件”更严谨。</w:t>
      </w:r>
    </w:p>
    <w:p>
      <w:pPr>
        <w:pStyle w:val="4"/>
        <w:autoSpaceDE/>
        <w:autoSpaceDN/>
        <w:spacing w:line="360" w:lineRule="auto"/>
        <w:ind w:firstLine="456" w:firstLineChars="200"/>
        <w:rPr>
          <w:rFonts w:ascii="宋体" w:hAnsi="宋体" w:eastAsia="宋体" w:cs="宋体"/>
          <w:spacing w:val="-6"/>
          <w:sz w:val="24"/>
        </w:rPr>
      </w:pPr>
      <w:r>
        <w:rPr>
          <w:spacing w:val="-6"/>
        </w:rPr>
        <w:t>在标准讨论过程中，与会专家认为还原炉的技术参数具有单炉差异，同一工艺条件的约束反而制约了实际的批次管控，因此在征求意见稿中修订为“每批应由同一等级，相同工艺条件生产的硅多晶组成”。</w:t>
      </w:r>
    </w:p>
    <w:p>
      <w:pPr>
        <w:pStyle w:val="4"/>
        <w:spacing w:before="0" w:line="360" w:lineRule="auto"/>
        <w:ind w:left="0"/>
        <w:outlineLvl w:val="1"/>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（六）检验结果的判定</w:t>
      </w:r>
    </w:p>
    <w:p>
      <w:pPr>
        <w:pStyle w:val="4"/>
        <w:autoSpaceDE/>
        <w:autoSpaceDN/>
        <w:spacing w:before="0" w:line="360" w:lineRule="auto"/>
        <w:ind w:left="0" w:firstLine="456" w:firstLineChars="200"/>
        <w:rPr>
          <w:rFonts w:ascii="宋体" w:hAnsi="宋体" w:eastAsia="宋体" w:cs="宋体"/>
          <w:spacing w:val="-6"/>
          <w:sz w:val="24"/>
        </w:rPr>
      </w:pPr>
      <w:r>
        <w:rPr>
          <w:spacing w:val="-6"/>
        </w:rPr>
        <w:t>根据修订后的技术指标进行检验结果的判定。</w:t>
      </w:r>
    </w:p>
    <w:p>
      <w:pPr>
        <w:pStyle w:val="4"/>
        <w:spacing w:before="0" w:line="360" w:lineRule="auto"/>
        <w:ind w:left="0"/>
        <w:outlineLvl w:val="1"/>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（七）附录</w:t>
      </w:r>
    </w:p>
    <w:p>
      <w:pPr>
        <w:pStyle w:val="4"/>
        <w:autoSpaceDE/>
        <w:autoSpaceDN/>
        <w:spacing w:before="0" w:line="360" w:lineRule="auto"/>
        <w:ind w:left="0" w:firstLine="456" w:firstLineChars="200"/>
        <w:rPr>
          <w:rFonts w:ascii="宋体" w:hAnsi="宋体" w:eastAsia="宋体" w:cs="宋体"/>
          <w:spacing w:val="-6"/>
          <w:sz w:val="24"/>
        </w:rPr>
      </w:pPr>
      <w:r>
        <w:rPr>
          <w:spacing w:val="-6"/>
        </w:rPr>
        <w:t>历经</w:t>
      </w:r>
      <w:r>
        <w:rPr>
          <w:rFonts w:ascii="宋体" w:hAnsi="宋体" w:eastAsia="宋体" w:cs="宋体"/>
          <w:spacing w:val="-6"/>
        </w:rPr>
        <w:t>7</w:t>
      </w:r>
      <w:r>
        <w:rPr>
          <w:spacing w:val="-6"/>
        </w:rPr>
        <w:t xml:space="preserve">年的过度，硅多晶电阻率的判级已经不被采用，因此本次修订删除附录 </w:t>
      </w:r>
      <w:r>
        <w:rPr>
          <w:rFonts w:ascii="宋体" w:hAnsi="宋体" w:eastAsia="宋体" w:cs="宋体"/>
          <w:spacing w:val="-6"/>
        </w:rPr>
        <w:t>A</w:t>
      </w:r>
      <w:r>
        <w:rPr>
          <w:spacing w:val="-6"/>
        </w:rPr>
        <w:t>太阳能级硅多晶参考技术指标。</w:t>
      </w:r>
    </w:p>
    <w:p>
      <w:pPr>
        <w:pStyle w:val="2"/>
        <w:keepNext/>
        <w:keepLines/>
        <w:widowControl w:val="0"/>
        <w:kinsoku/>
        <w:autoSpaceDE/>
        <w:autoSpaceDN/>
        <w:adjustRightInd/>
        <w:snapToGrid/>
        <w:spacing w:before="157" w:beforeLines="50" w:after="157" w:afterLines="50" w:line="360" w:lineRule="auto"/>
        <w:jc w:val="both"/>
        <w:textAlignment w:val="auto"/>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pacing w:val="0"/>
          <w:sz w:val="28"/>
          <w:szCs w:val="28"/>
          <w:lang w:eastAsia="zh-CN"/>
          <w14:textOutline w14:w="5103" w14:cap="sq" w14:cmpd="sng">
            <w14:solidFill>
              <w14:srgbClr w14:val="000000"/>
            </w14:solidFill>
            <w14:prstDash w14:val="solid"/>
            <w14:bevel/>
          </w14:textOutline>
        </w:rPr>
        <w:t>标准中涉及专利的情况</w:t>
      </w:r>
    </w:p>
    <w:p>
      <w:pPr>
        <w:pStyle w:val="4"/>
        <w:autoSpaceDE/>
        <w:autoSpaceDN/>
        <w:spacing w:before="0" w:line="360" w:lineRule="auto"/>
        <w:ind w:left="0" w:firstLine="476" w:firstLineChars="200"/>
      </w:pPr>
      <w:r>
        <w:rPr>
          <w:spacing w:val="-1"/>
        </w:rPr>
        <w:t>本标准不涉及专利问题。</w:t>
      </w:r>
    </w:p>
    <w:p>
      <w:pPr>
        <w:pStyle w:val="2"/>
        <w:keepNext/>
        <w:keepLines/>
        <w:widowControl w:val="0"/>
        <w:kinsoku/>
        <w:autoSpaceDE/>
        <w:autoSpaceDN/>
        <w:adjustRightInd/>
        <w:snapToGrid/>
        <w:spacing w:before="157" w:beforeLines="50" w:after="157" w:afterLines="50" w:line="360" w:lineRule="auto"/>
        <w:jc w:val="both"/>
        <w:textAlignment w:val="auto"/>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z w:val="28"/>
          <w:szCs w:val="28"/>
          <w:lang w:eastAsia="zh-CN"/>
          <w14:textOutline w14:w="5103" w14:cap="sq" w14:cmpd="sng">
            <w14:solidFill>
              <w14:srgbClr w14:val="000000"/>
            </w14:solidFill>
            <w14:prstDash w14:val="solid"/>
            <w14:bevel/>
          </w14:textOutline>
        </w:rPr>
        <w:t>采用国际标准和国外先进标准的情况</w:t>
      </w:r>
    </w:p>
    <w:p>
      <w:pPr>
        <w:pStyle w:val="4"/>
        <w:autoSpaceDE/>
        <w:autoSpaceDN/>
        <w:spacing w:before="0" w:line="360" w:lineRule="auto"/>
        <w:ind w:left="0" w:firstLine="456" w:firstLineChars="200"/>
      </w:pPr>
      <w:r>
        <w:rPr>
          <w:spacing w:val="-6"/>
        </w:rPr>
        <w:t>无。</w:t>
      </w:r>
    </w:p>
    <w:p>
      <w:pPr>
        <w:pStyle w:val="2"/>
        <w:keepNext/>
        <w:keepLines/>
        <w:widowControl w:val="0"/>
        <w:kinsoku/>
        <w:autoSpaceDE/>
        <w:autoSpaceDN/>
        <w:adjustRightInd/>
        <w:snapToGrid/>
        <w:spacing w:before="157" w:beforeLines="50" w:after="157" w:afterLines="50" w:line="360" w:lineRule="auto"/>
        <w:ind w:left="4"/>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z w:val="28"/>
          <w:szCs w:val="28"/>
          <w:lang w:eastAsia="zh-CN"/>
          <w14:textOutline w14:w="5103" w14:cap="sq" w14:cmpd="sng">
            <w14:solidFill>
              <w14:srgbClr w14:val="000000"/>
            </w14:solidFill>
            <w14:prstDash w14:val="solid"/>
            <w14:bevel/>
          </w14:textOutline>
        </w:rPr>
        <w:t>与现行相关法律、法规、规章及相关标准的关系</w:t>
      </w:r>
    </w:p>
    <w:p>
      <w:pPr>
        <w:pStyle w:val="4"/>
        <w:autoSpaceDE/>
        <w:autoSpaceDN/>
        <w:spacing w:before="0" w:line="360" w:lineRule="auto"/>
        <w:ind w:left="0" w:firstLine="476" w:firstLineChars="200"/>
      </w:pPr>
      <w:r>
        <w:rPr>
          <w:spacing w:val="-1"/>
        </w:rPr>
        <w:t>本标准属于有色金属标准体系</w:t>
      </w:r>
      <w:r>
        <w:rPr>
          <w:rFonts w:ascii="Times New Roman" w:hAnsi="Times New Roman" w:eastAsia="Times New Roman" w:cs="Times New Roman"/>
          <w:spacing w:val="-1"/>
        </w:rPr>
        <w:t>“</w:t>
      </w:r>
      <w:r>
        <w:rPr>
          <w:spacing w:val="-1"/>
        </w:rPr>
        <w:t>半导体材料</w:t>
      </w:r>
      <w:r>
        <w:rPr>
          <w:rFonts w:ascii="Times New Roman" w:hAnsi="Times New Roman" w:eastAsia="Times New Roman" w:cs="Times New Roman"/>
          <w:spacing w:val="-1"/>
        </w:rPr>
        <w:t>”</w:t>
      </w:r>
      <w:r>
        <w:rPr>
          <w:spacing w:val="-1"/>
        </w:rPr>
        <w:t>类，原材料系列。</w:t>
      </w:r>
    </w:p>
    <w:p>
      <w:pPr>
        <w:pStyle w:val="4"/>
        <w:autoSpaceDE/>
        <w:autoSpaceDN/>
        <w:spacing w:before="0" w:line="360" w:lineRule="auto"/>
        <w:ind w:left="0" w:firstLine="488" w:firstLineChars="200"/>
      </w:pPr>
      <w:r>
        <w:rPr>
          <w:spacing w:val="2"/>
        </w:rPr>
        <w:t>本标准修订时，考虑到与国际标准和规范接轨，在规范性引用文件上按我国标准体系做了调整和编辑，在标准的技术要求、试验方法、检验规则、标志、包装、运输和贮存等方面与国内相关标准协调一致；新修订的《太阳能级硅多晶》从技术上保证</w:t>
      </w:r>
      <w:r>
        <w:rPr>
          <w:spacing w:val="-3"/>
        </w:rPr>
        <w:t>了产品的使用安全和可靠性，条文精炼表达清楚，技术要求全面、准确、科学、合理；</w:t>
      </w:r>
      <w:r>
        <w:rPr>
          <w:spacing w:val="1"/>
        </w:rPr>
        <w:t>标准的格式和表达方式等方面完全执行了现行的国家标准和有</w:t>
      </w:r>
      <w:r>
        <w:t>关法规，符合</w:t>
      </w:r>
      <w:r>
        <w:rPr>
          <w:rFonts w:ascii="Times New Roman" w:hAnsi="Times New Roman" w:eastAsia="Times New Roman" w:cs="Times New Roman"/>
        </w:rPr>
        <w:t>GB/T</w:t>
      </w:r>
      <w:r>
        <w:rPr>
          <w:rFonts w:ascii="Times New Roman" w:hAnsi="Times New Roman" w:eastAsia="Times New Roman" w:cs="Times New Roman"/>
          <w:spacing w:val="33"/>
          <w:w w:val="101"/>
        </w:rPr>
        <w:t xml:space="preserve"> </w:t>
      </w:r>
      <w:r>
        <w:rPr>
          <w:rFonts w:ascii="Times New Roman" w:hAnsi="Times New Roman" w:eastAsia="Times New Roman" w:cs="Times New Roman"/>
        </w:rPr>
        <w:t>1.1</w:t>
      </w:r>
      <w:r>
        <w:rPr>
          <w:spacing w:val="-5"/>
        </w:rPr>
        <w:t>的有关要求。</w:t>
      </w:r>
    </w:p>
    <w:p>
      <w:pPr>
        <w:pStyle w:val="2"/>
        <w:keepNext/>
        <w:keepLines/>
        <w:widowControl w:val="0"/>
        <w:kinsoku/>
        <w:autoSpaceDE/>
        <w:autoSpaceDN/>
        <w:adjustRightInd/>
        <w:snapToGrid/>
        <w:spacing w:before="157" w:beforeLines="50" w:after="157" w:afterLines="50" w:line="360" w:lineRule="auto"/>
        <w:ind w:left="1"/>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z w:val="28"/>
          <w:szCs w:val="28"/>
          <w:lang w:eastAsia="zh-CN"/>
          <w14:textOutline w14:w="5103" w14:cap="sq" w14:cmpd="sng">
            <w14:solidFill>
              <w14:srgbClr w14:val="000000"/>
            </w14:solidFill>
            <w14:prstDash w14:val="solid"/>
            <w14:bevel/>
          </w14:textOutline>
        </w:rPr>
        <w:t>重大分歧意见的处理经过和依据</w:t>
      </w:r>
    </w:p>
    <w:p>
      <w:pPr>
        <w:pStyle w:val="4"/>
        <w:autoSpaceDE/>
        <w:autoSpaceDN/>
        <w:spacing w:before="0" w:line="360" w:lineRule="auto"/>
        <w:ind w:left="0" w:firstLine="456" w:firstLineChars="200"/>
      </w:pPr>
      <w:r>
        <w:rPr>
          <w:spacing w:val="-6"/>
        </w:rPr>
        <w:t>无。</w:t>
      </w:r>
    </w:p>
    <w:p>
      <w:pPr>
        <w:pStyle w:val="2"/>
        <w:keepNext/>
        <w:keepLines/>
        <w:widowControl w:val="0"/>
        <w:kinsoku/>
        <w:autoSpaceDE/>
        <w:autoSpaceDN/>
        <w:adjustRightInd/>
        <w:snapToGrid/>
        <w:spacing w:before="157" w:beforeLines="50" w:after="157" w:afterLines="50" w:line="360" w:lineRule="auto"/>
        <w:ind w:left="7"/>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pacing w:val="0"/>
          <w:sz w:val="28"/>
          <w:szCs w:val="28"/>
          <w:lang w:eastAsia="zh-CN"/>
          <w14:textOutline w14:w="5103" w14:cap="sq" w14:cmpd="sng">
            <w14:solidFill>
              <w14:srgbClr w14:val="000000"/>
            </w14:solidFill>
            <w14:prstDash w14:val="solid"/>
            <w14:bevel/>
          </w14:textOutline>
        </w:rPr>
        <w:t>标准性质的建议说明</w:t>
      </w:r>
    </w:p>
    <w:p>
      <w:pPr>
        <w:pStyle w:val="4"/>
        <w:autoSpaceDE/>
        <w:autoSpaceDN/>
        <w:spacing w:before="0" w:line="360" w:lineRule="auto"/>
        <w:ind w:left="0" w:firstLine="456" w:firstLineChars="200"/>
        <w:rPr>
          <w:spacing w:val="-6"/>
        </w:rPr>
      </w:pPr>
      <w:r>
        <w:rPr>
          <w:spacing w:val="-6"/>
        </w:rPr>
        <w:t>本标准作为推荐性国家标准。</w:t>
      </w:r>
    </w:p>
    <w:p>
      <w:pPr>
        <w:pStyle w:val="2"/>
        <w:keepNext/>
        <w:keepLines/>
        <w:widowControl w:val="0"/>
        <w:kinsoku/>
        <w:autoSpaceDE/>
        <w:autoSpaceDN/>
        <w:adjustRightInd/>
        <w:snapToGrid/>
        <w:spacing w:before="157" w:beforeLines="50" w:after="157" w:afterLines="50" w:line="360" w:lineRule="auto"/>
        <w:ind w:left="9"/>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pacing w:val="0"/>
          <w:sz w:val="28"/>
          <w:szCs w:val="28"/>
          <w:lang w:eastAsia="zh-CN"/>
          <w14:textOutline w14:w="5103" w14:cap="sq" w14:cmpd="sng">
            <w14:solidFill>
              <w14:srgbClr w14:val="000000"/>
            </w14:solidFill>
            <w14:prstDash w14:val="solid"/>
            <w14:bevel/>
          </w14:textOutline>
        </w:rPr>
        <w:t>贯彻标准的要求和措施建议</w:t>
      </w:r>
    </w:p>
    <w:p>
      <w:pPr>
        <w:pStyle w:val="4"/>
        <w:autoSpaceDE/>
        <w:autoSpaceDN/>
        <w:spacing w:before="0" w:line="360" w:lineRule="auto"/>
        <w:ind w:left="0" w:firstLine="456" w:firstLineChars="200"/>
        <w:rPr>
          <w:spacing w:val="-6"/>
        </w:rPr>
      </w:pPr>
      <w:r>
        <w:rPr>
          <w:rFonts w:ascii="宋体" w:hAnsi="宋体" w:eastAsia="宋体" w:cs="宋体"/>
          <w:spacing w:val="-6"/>
          <w:position w:val="0"/>
        </w:rPr>
        <w:t>1</w:t>
      </w:r>
      <w:r>
        <w:rPr>
          <w:spacing w:val="-6"/>
          <w:position w:val="0"/>
        </w:rPr>
        <w:t>、首先应在实施前保证标准文本的充足供应，使每个太阳能级硅多晶生产企业和</w:t>
      </w:r>
      <w:r>
        <w:rPr>
          <w:rFonts w:hint="default"/>
          <w:spacing w:val="-6"/>
        </w:rPr>
        <w:t>高纯材料分析检测机构都能及时获得本标准，这个是保证新标准贯彻实施的基础</w:t>
      </w:r>
      <w:r>
        <w:rPr>
          <w:rFonts w:hint="default"/>
          <w:spacing w:val="-6"/>
          <w:position w:val="0"/>
          <w:lang w:eastAsia="zh-CN"/>
        </w:rPr>
        <w:t>。</w:t>
      </w:r>
    </w:p>
    <w:p>
      <w:pPr>
        <w:pStyle w:val="4"/>
        <w:autoSpaceDE/>
        <w:autoSpaceDN/>
        <w:spacing w:before="0" w:line="360" w:lineRule="auto"/>
        <w:ind w:firstLine="456" w:firstLineChars="200"/>
        <w:rPr>
          <w:spacing w:val="-6"/>
        </w:rPr>
      </w:pPr>
      <w:r>
        <w:rPr>
          <w:rFonts w:ascii="宋体" w:hAnsi="宋体" w:eastAsia="宋体" w:cs="宋体"/>
          <w:spacing w:val="-6"/>
        </w:rPr>
        <w:t>2</w:t>
      </w:r>
      <w:r>
        <w:rPr>
          <w:spacing w:val="-6"/>
        </w:rPr>
        <w:t>、本次修订的《太阳能级硅多晶》标准，不仅与材料生产企业有关，而且与相关科研院所、检测机构等相关。对于标准使用过程中出现的疑问，起草单位有义务进行</w:t>
      </w:r>
      <w:r>
        <w:rPr>
          <w:rFonts w:hint="default"/>
          <w:spacing w:val="-6"/>
          <w:lang w:eastAsia="zh-CN"/>
        </w:rPr>
        <w:t>解释</w:t>
      </w:r>
      <w:r>
        <w:rPr>
          <w:spacing w:val="-6"/>
        </w:rPr>
        <w:t>。</w:t>
      </w:r>
    </w:p>
    <w:p>
      <w:pPr>
        <w:pStyle w:val="4"/>
        <w:autoSpaceDE/>
        <w:autoSpaceDN/>
        <w:spacing w:line="360" w:lineRule="auto"/>
        <w:ind w:left="0" w:firstLine="456" w:firstLineChars="200"/>
        <w:rPr>
          <w:rFonts w:ascii="宋体" w:hAnsi="宋体" w:eastAsia="宋体" w:cs="宋体"/>
          <w:spacing w:val="-6"/>
          <w:sz w:val="24"/>
        </w:rPr>
      </w:pPr>
      <w:r>
        <w:rPr>
          <w:rFonts w:ascii="宋体" w:hAnsi="宋体" w:eastAsia="宋体" w:cs="宋体"/>
          <w:spacing w:val="-6"/>
          <w:position w:val="0"/>
        </w:rPr>
        <w:t>3</w:t>
      </w:r>
      <w:r>
        <w:rPr>
          <w:spacing w:val="-6"/>
          <w:position w:val="0"/>
        </w:rPr>
        <w:t>、可以针对标准使用的不同对象，有侧重点的进行标准培训和宣贯，以保证标准</w:t>
      </w:r>
      <w:r>
        <w:rPr>
          <w:rFonts w:hint="default" w:ascii="宋体" w:hAnsi="宋体" w:cs="宋体"/>
          <w:spacing w:val="-6"/>
          <w:position w:val="0"/>
          <w:lang w:eastAsia="zh-CN"/>
        </w:rPr>
        <w:t>的</w:t>
      </w:r>
      <w:r>
        <w:rPr>
          <w:spacing w:val="-6"/>
        </w:rPr>
        <w:t>贯彻实施。</w:t>
      </w:r>
    </w:p>
    <w:p>
      <w:pPr>
        <w:pStyle w:val="2"/>
        <w:keepNext/>
        <w:keepLines/>
        <w:widowControl w:val="0"/>
        <w:kinsoku/>
        <w:autoSpaceDE/>
        <w:autoSpaceDN/>
        <w:adjustRightInd/>
        <w:snapToGrid/>
        <w:spacing w:before="157" w:beforeLines="50" w:after="157" w:afterLines="50" w:line="360" w:lineRule="auto"/>
        <w:ind w:left="3"/>
        <w:jc w:val="both"/>
        <w:textAlignment w:val="auto"/>
        <w:outlineLvl w:val="0"/>
        <w:rPr>
          <w:rFonts w:hint="eastAsia" w:ascii="Times New Roman" w:hAnsi="Times New Roman" w:eastAsia="宋体" w:cs="Times New Roman"/>
          <w:snapToGrid/>
          <w:sz w:val="28"/>
          <w:szCs w:val="28"/>
          <w:lang w:eastAsia="zh-CN"/>
        </w:rPr>
      </w:pPr>
      <w:r>
        <w:rPr>
          <w:rFonts w:hint="eastAsia" w:ascii="Times New Roman" w:hAnsi="Times New Roman" w:eastAsia="宋体" w:cs="Times New Roman"/>
          <w:snapToGrid/>
          <w:spacing w:val="0"/>
          <w:sz w:val="28"/>
          <w:szCs w:val="28"/>
          <w:lang w:eastAsia="zh-CN"/>
          <w14:textOutline w14:w="5103" w14:cap="sq" w14:cmpd="sng">
            <w14:solidFill>
              <w14:srgbClr w14:val="000000"/>
            </w14:solidFill>
            <w14:prstDash w14:val="solid"/>
            <w14:bevel/>
          </w14:textOutline>
        </w:rPr>
        <w:t>废止现行标准的建议</w:t>
      </w:r>
    </w:p>
    <w:p>
      <w:pPr>
        <w:pStyle w:val="4"/>
        <w:tabs>
          <w:tab w:val="left" w:pos="8374"/>
        </w:tabs>
        <w:autoSpaceDE/>
        <w:autoSpaceDN/>
        <w:spacing w:before="0" w:line="360" w:lineRule="auto"/>
        <w:ind w:left="0" w:firstLine="468" w:firstLineChars="200"/>
        <w:rPr>
          <w:spacing w:val="-3"/>
        </w:rPr>
      </w:pPr>
      <w:r>
        <w:rPr>
          <w:spacing w:val="-3"/>
        </w:rPr>
        <w:t>本标准发布实施之日起，代替</w:t>
      </w:r>
      <w:r>
        <w:rPr>
          <w:rFonts w:ascii="Times New Roman" w:hAnsi="Times New Roman" w:eastAsia="Times New Roman" w:cs="Times New Roman"/>
          <w:spacing w:val="-3"/>
        </w:rPr>
        <w:t>GB/T 25074-2017</w:t>
      </w:r>
      <w:r>
        <w:rPr>
          <w:spacing w:val="-3"/>
        </w:rPr>
        <w:t>《太阳能级硅多晶》。</w:t>
      </w:r>
    </w:p>
    <w:p>
      <w:pPr>
        <w:pStyle w:val="2"/>
        <w:keepNext/>
        <w:keepLines/>
        <w:widowControl w:val="0"/>
        <w:kinsoku/>
        <w:autoSpaceDE/>
        <w:autoSpaceDN/>
        <w:adjustRightInd/>
        <w:snapToGrid/>
        <w:spacing w:before="157" w:beforeLines="50" w:after="157" w:afterLines="50" w:line="360" w:lineRule="auto"/>
        <w:jc w:val="both"/>
        <w:textAlignment w:val="auto"/>
        <w:outlineLvl w:val="0"/>
        <w:rPr>
          <w:rFonts w:hint="eastAsia" w:ascii="Times New Roman" w:hAnsi="Times New Roman" w:eastAsia="宋体" w:cs="Times New Roman"/>
          <w:snapToGrid/>
          <w:sz w:val="28"/>
          <w:szCs w:val="28"/>
          <w:lang w:eastAsia="zh-CN"/>
        </w:rPr>
      </w:pPr>
      <w:r>
        <w:rPr>
          <w:rFonts w:hint="eastAsia"/>
          <w:spacing w:val="-3"/>
          <w:lang w:eastAsia="zh-CN"/>
        </w:rPr>
        <w:tab/>
      </w:r>
      <w:r>
        <w:rPr>
          <w:rFonts w:hint="eastAsia" w:ascii="Times New Roman" w:hAnsi="Times New Roman" w:eastAsia="宋体" w:cs="Times New Roman"/>
          <w:snapToGrid/>
          <w:sz w:val="28"/>
          <w:szCs w:val="28"/>
          <w:lang w:eastAsia="zh-CN"/>
          <w14:textOutline w14:w="5103" w14:cap="sq" w14:cmpd="sng">
            <w14:solidFill>
              <w14:srgbClr w14:val="000000"/>
            </w14:solidFill>
            <w14:prstDash w14:val="solid"/>
            <w14:bevel/>
          </w14:textOutline>
        </w:rPr>
        <w:t>其他应予说明的事项</w:t>
      </w:r>
    </w:p>
    <w:p>
      <w:pPr>
        <w:pStyle w:val="4"/>
        <w:tabs>
          <w:tab w:val="left" w:pos="8374"/>
        </w:tabs>
        <w:autoSpaceDE/>
        <w:autoSpaceDN/>
        <w:spacing w:before="0" w:line="360" w:lineRule="auto"/>
        <w:ind w:left="0" w:firstLine="468" w:firstLineChars="200"/>
        <w:rPr>
          <w:spacing w:val="-3"/>
        </w:rPr>
      </w:pPr>
      <w:r>
        <w:rPr>
          <w:spacing w:val="-3"/>
        </w:rPr>
        <w:t>无。</w:t>
      </w:r>
    </w:p>
    <w:p>
      <w:pPr>
        <w:spacing w:line="434" w:lineRule="auto"/>
        <w:rPr>
          <w:rFonts w:ascii="Arial"/>
          <w:sz w:val="21"/>
        </w:rPr>
      </w:pPr>
    </w:p>
    <w:p>
      <w:pPr>
        <w:pStyle w:val="4"/>
        <w:spacing w:before="78" w:line="468" w:lineRule="exact"/>
        <w:jc w:val="right"/>
      </w:pPr>
      <w:r>
        <w:rPr>
          <w:spacing w:val="-3"/>
          <w:position w:val="17"/>
        </w:rPr>
        <w:t>标准编制组</w:t>
      </w:r>
    </w:p>
    <w:p>
      <w:pPr>
        <w:pStyle w:val="4"/>
        <w:spacing w:line="219" w:lineRule="auto"/>
        <w:jc w:val="right"/>
      </w:pPr>
      <w:r>
        <w:rPr>
          <w:rFonts w:ascii="Times New Roman" w:hAnsi="Times New Roman" w:eastAsia="Times New Roman" w:cs="Times New Roman"/>
          <w:spacing w:val="-6"/>
        </w:rPr>
        <w:t>2024</w:t>
      </w:r>
      <w:r>
        <w:rPr>
          <w:spacing w:val="-6"/>
        </w:rPr>
        <w:t>年</w:t>
      </w:r>
      <w:r>
        <w:rPr>
          <w:rFonts w:hint="eastAsia"/>
          <w:spacing w:val="-55"/>
          <w:lang w:val="en-US" w:eastAsia="zh-CN"/>
        </w:rPr>
        <w:t>10</w:t>
      </w:r>
      <w:r>
        <w:rPr>
          <w:spacing w:val="-6"/>
        </w:rPr>
        <w:t>月</w:t>
      </w:r>
    </w:p>
    <w:sectPr>
      <w:footerReference r:id="rId5" w:type="default"/>
      <w:pgSz w:w="11850" w:h="16781"/>
      <w:pgMar w:top="1134" w:right="1134" w:bottom="1134" w:left="1134"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B3466"/>
    <w:multiLevelType w:val="singleLevel"/>
    <w:tmpl w:val="836B3466"/>
    <w:lvl w:ilvl="0" w:tentative="0">
      <w:start w:val="3"/>
      <w:numFmt w:val="chineseCounting"/>
      <w:suff w:val="nothing"/>
      <w:lvlText w:val="（%1）"/>
      <w:lvlJc w:val="left"/>
      <w:rPr>
        <w:rFonts w:hint="eastAsia"/>
      </w:rPr>
    </w:lvl>
  </w:abstractNum>
  <w:abstractNum w:abstractNumId="1">
    <w:nsid w:val="B4BBEA1F"/>
    <w:multiLevelType w:val="singleLevel"/>
    <w:tmpl w:val="B4BBEA1F"/>
    <w:lvl w:ilvl="0" w:tentative="0">
      <w:start w:val="1"/>
      <w:numFmt w:val="decimal"/>
      <w:lvlText w:val="%1."/>
      <w:lvlJc w:val="left"/>
      <w:pPr>
        <w:ind w:left="425" w:hanging="425"/>
      </w:pPr>
      <w:rPr>
        <w:rFonts w:hint="default"/>
      </w:rPr>
    </w:lvl>
  </w:abstractNum>
  <w:abstractNum w:abstractNumId="2">
    <w:nsid w:val="094190BE"/>
    <w:multiLevelType w:val="multilevel"/>
    <w:tmpl w:val="094190BE"/>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lhZGI0MTgxOTBkMjlmZTdiN2Q5NTYwYzhjZjhiNWQifQ=="/>
  </w:docVars>
  <w:rsids>
    <w:rsidRoot w:val="00000000"/>
    <w:rsid w:val="03D047DF"/>
    <w:rsid w:val="05FC476C"/>
    <w:rsid w:val="29D95068"/>
    <w:rsid w:val="5FB605B2"/>
    <w:rsid w:val="67B7338D"/>
    <w:rsid w:val="725D3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4"/>
      <w:szCs w:val="24"/>
      <w:lang w:val="en-US" w:eastAsia="en-US" w:bidi="ar-SA"/>
    </w:rPr>
  </w:style>
  <w:style w:type="paragraph" w:styleId="5">
    <w:name w:val="footer"/>
    <w:basedOn w:val="1"/>
    <w:qFormat/>
    <w:uiPriority w:val="99"/>
    <w:pPr>
      <w:snapToGrid w:val="0"/>
      <w:ind w:right="210" w:rightChars="100"/>
      <w:jc w:val="righ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2024-05-20T11:51:00Z</dcterms:created>
  <dc:creator>微软用户</dc:creator>
  <cp:lastModifiedBy>张园园</cp:lastModifiedBy>
  <dcterms:modified xsi:type="dcterms:W3CDTF">2024-11-12T14:16:23Z</dcterms:modified>
  <dc:title>高纯镉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2024-08-18T23:42:43Z</vt:filetime>
  </property>
  <property fmtid="{D5CDD505-2E9C-101B-9397-08002B2CF9AE}" pid="4" name="KSOProductBuildVer">
    <vt:lpwstr>2052-12.1.0.15990</vt:lpwstr>
  </property>
  <property fmtid="{D5CDD505-2E9C-101B-9397-08002B2CF9AE}" pid="5" name="ICV">
    <vt:lpwstr>DC97E5BD676F44E4AD97E1332B4369C9_12</vt:lpwstr>
  </property>
</Properties>
</file>