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469" w:beforeLines="150"/>
        <w:jc w:val="center"/>
        <w:textAlignment w:val="auto"/>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团体</w:t>
      </w:r>
      <w:r>
        <w:rPr>
          <w:rFonts w:ascii="黑体" w:hAnsi="宋体" w:eastAsia="黑体" w:cs="黑体"/>
          <w:color w:val="000000"/>
          <w:kern w:val="0"/>
          <w:sz w:val="30"/>
          <w:szCs w:val="30"/>
          <w:lang w:val="en-US" w:eastAsia="zh-CN" w:bidi="ar"/>
        </w:rPr>
        <w:t>标准《</w:t>
      </w:r>
      <w:r>
        <w:rPr>
          <w:rFonts w:hint="eastAsia" w:eastAsia="黑体"/>
          <w:sz w:val="32"/>
          <w:lang w:eastAsia="zh-CN"/>
        </w:rPr>
        <w:t>铜精炼炉浇铸溜槽用耐火浇注料</w:t>
      </w:r>
      <w:r>
        <w:rPr>
          <w:rFonts w:ascii="黑体" w:hAnsi="宋体" w:eastAsia="黑体" w:cs="黑体"/>
          <w:color w:val="000000"/>
          <w:kern w:val="0"/>
          <w:sz w:val="30"/>
          <w:szCs w:val="30"/>
          <w:lang w:val="en-US" w:eastAsia="zh-CN" w:bidi="ar"/>
        </w:rPr>
        <w:t>》</w:t>
      </w:r>
      <w:r>
        <w:rPr>
          <w:rFonts w:hint="eastAsia" w:ascii="黑体" w:hAnsi="宋体" w:eastAsia="黑体" w:cs="黑体"/>
          <w:color w:val="000000"/>
          <w:kern w:val="0"/>
          <w:sz w:val="30"/>
          <w:szCs w:val="30"/>
          <w:lang w:val="en-US" w:eastAsia="zh-CN" w:bidi="ar"/>
        </w:rPr>
        <w:t>编制说明</w:t>
      </w:r>
    </w:p>
    <w:p>
      <w:pPr>
        <w:keepNext w:val="0"/>
        <w:keepLines w:val="0"/>
        <w:pageBreakBefore w:val="0"/>
        <w:widowControl/>
        <w:suppressLineNumbers w:val="0"/>
        <w:kinsoku/>
        <w:wordWrap/>
        <w:overflowPunct/>
        <w:topLinePunct w:val="0"/>
        <w:autoSpaceDE/>
        <w:autoSpaceDN/>
        <w:bidi w:val="0"/>
        <w:adjustRightInd/>
        <w:snapToGrid/>
        <w:spacing w:after="469" w:afterLines="150"/>
        <w:jc w:val="center"/>
        <w:textAlignment w:val="auto"/>
      </w:pPr>
      <w:r>
        <w:rPr>
          <w:rFonts w:hint="eastAsia" w:ascii="黑体" w:hAnsi="宋体" w:eastAsia="黑体" w:cs="黑体"/>
          <w:color w:val="000000"/>
          <w:kern w:val="0"/>
          <w:sz w:val="30"/>
          <w:szCs w:val="30"/>
          <w:lang w:val="en-US" w:eastAsia="zh-CN" w:bidi="ar"/>
        </w:rPr>
        <w:t>（</w:t>
      </w:r>
      <w:r>
        <w:rPr>
          <w:rFonts w:hint="eastAsia" w:ascii="黑体" w:hAnsi="宋体" w:eastAsia="黑体" w:cs="黑体"/>
          <w:color w:val="0000FF"/>
          <w:kern w:val="0"/>
          <w:sz w:val="30"/>
          <w:szCs w:val="30"/>
          <w:lang w:val="en-US" w:eastAsia="zh-CN" w:bidi="ar"/>
        </w:rPr>
        <w:t>讨论</w:t>
      </w:r>
      <w:r>
        <w:rPr>
          <w:rFonts w:hint="eastAsia" w:ascii="黑体" w:hAnsi="宋体" w:eastAsia="黑体" w:cs="黑体"/>
          <w:color w:val="000000"/>
          <w:kern w:val="0"/>
          <w:sz w:val="30"/>
          <w:szCs w:val="30"/>
          <w:lang w:val="en-US" w:eastAsia="zh-CN" w:bidi="ar"/>
        </w:rPr>
        <w:t>稿</w:t>
      </w:r>
      <w:bookmarkStart w:id="0" w:name="_GoBack"/>
      <w:bookmarkEnd w:id="0"/>
      <w:r>
        <w:rPr>
          <w:rFonts w:hint="eastAsia" w:ascii="黑体" w:hAnsi="宋体" w:eastAsia="黑体" w:cs="黑体"/>
          <w:color w:val="000000"/>
          <w:kern w:val="0"/>
          <w:sz w:val="30"/>
          <w:szCs w:val="30"/>
          <w:lang w:val="en-US" w:eastAsia="zh-CN" w:bidi="ar"/>
        </w:rPr>
        <w:t>）</w:t>
      </w:r>
    </w:p>
    <w:p>
      <w:pPr>
        <w:keepNext w:val="0"/>
        <w:keepLines w:val="0"/>
        <w:widowControl/>
        <w:suppressLineNumbers w:val="0"/>
        <w:jc w:val="left"/>
        <w:rPr>
          <w:b w:val="0"/>
          <w:bCs w:val="0"/>
        </w:rPr>
      </w:pPr>
      <w:r>
        <w:rPr>
          <w:rFonts w:hint="eastAsia" w:ascii="黑体" w:hAnsi="宋体" w:eastAsia="黑体" w:cs="黑体"/>
          <w:b w:val="0"/>
          <w:bCs w:val="0"/>
          <w:color w:val="000000"/>
          <w:kern w:val="0"/>
          <w:sz w:val="28"/>
          <w:szCs w:val="28"/>
          <w:lang w:val="en-US" w:eastAsia="zh-CN" w:bidi="ar"/>
        </w:rPr>
        <w:t xml:space="preserve">1 工作简况 </w:t>
      </w:r>
    </w:p>
    <w:p>
      <w:pPr>
        <w:keepNext w:val="0"/>
        <w:keepLines w:val="0"/>
        <w:widowControl/>
        <w:suppressLineNumbers w:val="0"/>
        <w:jc w:val="left"/>
      </w:pPr>
      <w:r>
        <w:rPr>
          <w:rFonts w:ascii="Arial" w:hAnsi="Arial" w:eastAsia="宋体" w:cs="Arial"/>
          <w:color w:val="000000"/>
          <w:kern w:val="0"/>
          <w:sz w:val="28"/>
          <w:szCs w:val="28"/>
          <w:lang w:val="en-US" w:eastAsia="zh-CN" w:bidi="ar"/>
        </w:rPr>
        <w:t xml:space="preserve">1.1 </w:t>
      </w:r>
      <w:r>
        <w:rPr>
          <w:rFonts w:hint="eastAsia" w:ascii="黑体" w:hAnsi="宋体" w:eastAsia="黑体" w:cs="黑体"/>
          <w:color w:val="000000"/>
          <w:kern w:val="0"/>
          <w:sz w:val="28"/>
          <w:szCs w:val="28"/>
          <w:lang w:val="en-US" w:eastAsia="zh-CN" w:bidi="ar"/>
        </w:rPr>
        <w:t xml:space="preserve">立项目的 </w:t>
      </w:r>
    </w:p>
    <w:p>
      <w:pPr>
        <w:spacing w:line="360" w:lineRule="auto"/>
        <w:rPr>
          <w:rFonts w:hint="eastAsia" w:ascii="黑体" w:hAnsi="黑体" w:eastAsia="黑体" w:cs="黑体"/>
          <w:b w:val="0"/>
          <w:bCs/>
          <w:sz w:val="24"/>
          <w:szCs w:val="24"/>
        </w:rPr>
      </w:pPr>
      <w:r>
        <w:rPr>
          <w:rFonts w:hint="eastAsia" w:ascii="黑体" w:hAnsi="黑体" w:eastAsia="黑体" w:cs="黑体"/>
          <w:b w:val="0"/>
          <w:bCs/>
          <w:sz w:val="24"/>
          <w:szCs w:val="24"/>
        </w:rPr>
        <w:t>1</w:t>
      </w:r>
      <w:r>
        <w:rPr>
          <w:rFonts w:hint="eastAsia" w:ascii="黑体" w:hAnsi="黑体" w:eastAsia="黑体" w:cs="黑体"/>
          <w:b w:val="0"/>
          <w:bCs/>
          <w:sz w:val="24"/>
          <w:szCs w:val="24"/>
          <w:lang w:val="en-US" w:eastAsia="zh-CN"/>
        </w:rPr>
        <w:t xml:space="preserve">.1.1 </w:t>
      </w:r>
      <w:r>
        <w:rPr>
          <w:rFonts w:hint="eastAsia" w:ascii="黑体" w:hAnsi="黑体" w:eastAsia="黑体" w:cs="黑体"/>
          <w:b w:val="0"/>
          <w:bCs/>
          <w:sz w:val="24"/>
          <w:szCs w:val="24"/>
          <w:lang w:eastAsia="zh-CN"/>
        </w:rPr>
        <w:t>铜精炼炉浇铸溜槽用耐火浇注料</w:t>
      </w:r>
      <w:r>
        <w:rPr>
          <w:rFonts w:hint="eastAsia" w:ascii="黑体" w:hAnsi="黑体" w:eastAsia="黑体" w:cs="黑体"/>
          <w:b w:val="0"/>
          <w:bCs/>
          <w:sz w:val="24"/>
          <w:szCs w:val="24"/>
        </w:rPr>
        <w:t>市场的需要</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铜产业作为国民经济的重要基础产业，铜冶炼制造业更是国民经济发展的重要支撑行业，肩负着服务国家战略、推动高质量发展的重大使命。</w:t>
      </w:r>
      <w:r>
        <w:rPr>
          <w:rFonts w:hint="eastAsia" w:asciiTheme="minorEastAsia" w:hAnsiTheme="minorEastAsia" w:eastAsiaTheme="minorEastAsia" w:cstheme="minorEastAsia"/>
          <w:b w:val="0"/>
          <w:bCs/>
          <w:color w:val="0000FF"/>
          <w:sz w:val="21"/>
          <w:szCs w:val="21"/>
        </w:rPr>
        <w:t>据统计，</w:t>
      </w:r>
      <w:r>
        <w:rPr>
          <w:rFonts w:hint="eastAsia" w:asciiTheme="minorEastAsia" w:hAnsiTheme="minorEastAsia" w:eastAsiaTheme="minorEastAsia" w:cstheme="minorEastAsia"/>
          <w:b w:val="0"/>
          <w:bCs/>
          <w:color w:val="000000"/>
          <w:sz w:val="21"/>
          <w:szCs w:val="21"/>
        </w:rPr>
        <w:t>目前国内市场</w:t>
      </w:r>
      <w:r>
        <w:rPr>
          <w:rFonts w:hint="eastAsia" w:asciiTheme="minorEastAsia" w:hAnsiTheme="minorEastAsia" w:eastAsiaTheme="minorEastAsia" w:cstheme="minorEastAsia"/>
          <w:b w:val="0"/>
          <w:bCs/>
          <w:color w:val="000000"/>
          <w:sz w:val="21"/>
          <w:szCs w:val="21"/>
          <w:lang w:val="en-US" w:eastAsia="zh-CN"/>
        </w:rPr>
        <w:t>铜精炼炉浇铸溜槽用耐火浇注料</w:t>
      </w:r>
      <w:r>
        <w:rPr>
          <w:rFonts w:hint="eastAsia" w:asciiTheme="minorEastAsia" w:hAnsiTheme="minorEastAsia" w:eastAsiaTheme="minorEastAsia" w:cstheme="minorEastAsia"/>
          <w:b w:val="0"/>
          <w:bCs/>
          <w:color w:val="000000"/>
          <w:sz w:val="21"/>
          <w:szCs w:val="21"/>
        </w:rPr>
        <w:t>年需求总量在3万吨以上</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贵溪冶炼厂年用量1200吨左右，铜陵有色集团年用量1500吨左右，金川集团年用量800吨左右。</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铜精炼炉浇铸溜槽用耐火浇注料</w:t>
      </w:r>
      <w:r>
        <w:rPr>
          <w:rFonts w:hint="eastAsia" w:asciiTheme="minorEastAsia" w:hAnsiTheme="minorEastAsia" w:eastAsiaTheme="minorEastAsia" w:cstheme="minorEastAsia"/>
          <w:b w:val="0"/>
          <w:bCs/>
          <w:color w:val="000000"/>
          <w:sz w:val="21"/>
          <w:szCs w:val="21"/>
        </w:rPr>
        <w:t>作为保证铜冶炼制造业正常生产的基础材料之一，对于保障铜产业链产品质量和安全性有着举足轻重的作用，制定</w:t>
      </w:r>
      <w:r>
        <w:rPr>
          <w:rFonts w:hint="eastAsia" w:asciiTheme="minorEastAsia" w:hAnsiTheme="minorEastAsia" w:eastAsiaTheme="minorEastAsia" w:cstheme="minorEastAsia"/>
          <w:b w:val="0"/>
          <w:bCs/>
          <w:color w:val="0000FF"/>
          <w:sz w:val="21"/>
          <w:szCs w:val="21"/>
          <w:lang w:val="en-US" w:eastAsia="zh-CN"/>
        </w:rPr>
        <w:t>团体</w:t>
      </w:r>
      <w:r>
        <w:rPr>
          <w:rFonts w:hint="eastAsia" w:asciiTheme="minorEastAsia" w:hAnsiTheme="minorEastAsia" w:eastAsiaTheme="minorEastAsia" w:cstheme="minorEastAsia"/>
          <w:b w:val="0"/>
          <w:bCs/>
          <w:color w:val="000000"/>
          <w:sz w:val="21"/>
          <w:szCs w:val="21"/>
        </w:rPr>
        <w:t>标准进行规范具有深刻的社会意义和行业价值。</w:t>
      </w:r>
    </w:p>
    <w:p>
      <w:pPr>
        <w:spacing w:line="360" w:lineRule="auto"/>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1.1.2</w:t>
      </w:r>
      <w:r>
        <w:rPr>
          <w:rFonts w:hint="eastAsia" w:ascii="黑体" w:hAnsi="黑体" w:eastAsia="黑体" w:cs="黑体"/>
          <w:b w:val="0"/>
          <w:bCs/>
          <w:sz w:val="24"/>
          <w:szCs w:val="24"/>
          <w:lang w:eastAsia="zh-CN"/>
        </w:rPr>
        <w:t>铜精炼炉浇铸溜槽用耐火浇注料</w:t>
      </w:r>
      <w:r>
        <w:rPr>
          <w:rFonts w:hint="eastAsia" w:ascii="黑体" w:hAnsi="黑体" w:eastAsia="黑体" w:cs="黑体"/>
          <w:b w:val="0"/>
          <w:bCs/>
          <w:sz w:val="24"/>
          <w:szCs w:val="24"/>
        </w:rPr>
        <w:t>质量提升需求</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目前市场流通使用的</w:t>
      </w:r>
      <w:r>
        <w:rPr>
          <w:rFonts w:hint="eastAsia" w:asciiTheme="minorEastAsia" w:hAnsiTheme="minorEastAsia" w:eastAsiaTheme="minorEastAsia" w:cstheme="minorEastAsia"/>
          <w:b w:val="0"/>
          <w:bCs/>
          <w:color w:val="000000"/>
          <w:sz w:val="21"/>
          <w:szCs w:val="21"/>
          <w:lang w:eastAsia="zh-CN"/>
        </w:rPr>
        <w:t>铜精炼炉浇铸溜槽用耐火浇注料</w:t>
      </w:r>
      <w:r>
        <w:rPr>
          <w:rFonts w:hint="eastAsia" w:asciiTheme="minorEastAsia" w:hAnsiTheme="minorEastAsia" w:eastAsiaTheme="minorEastAsia" w:cstheme="minorEastAsia"/>
          <w:b w:val="0"/>
          <w:bCs/>
          <w:color w:val="000000"/>
          <w:sz w:val="21"/>
          <w:szCs w:val="21"/>
        </w:rPr>
        <w:t>，成分标准不一：从市场采购的浇铸用耐火浇注料，使用后存在易开裂、易脱落</w:t>
      </w:r>
      <w:r>
        <w:rPr>
          <w:rFonts w:hint="eastAsia" w:asciiTheme="minorEastAsia" w:hAnsiTheme="minorEastAsia" w:eastAsiaTheme="minorEastAsia" w:cstheme="minorEastAsia"/>
          <w:b w:val="0"/>
          <w:bCs/>
          <w:color w:val="0000FF"/>
          <w:sz w:val="21"/>
          <w:szCs w:val="21"/>
          <w:lang w:eastAsia="zh-CN"/>
        </w:rPr>
        <w:t>的</w:t>
      </w:r>
      <w:r>
        <w:rPr>
          <w:rFonts w:hint="eastAsia" w:asciiTheme="minorEastAsia" w:hAnsiTheme="minorEastAsia" w:eastAsiaTheme="minorEastAsia" w:cstheme="minorEastAsia"/>
          <w:b w:val="0"/>
          <w:bCs/>
          <w:color w:val="0000FF"/>
          <w:sz w:val="21"/>
          <w:szCs w:val="21"/>
          <w:lang w:val="en-US" w:eastAsia="zh-CN"/>
        </w:rPr>
        <w:t>现象，</w:t>
      </w:r>
      <w:r>
        <w:rPr>
          <w:rFonts w:hint="eastAsia" w:asciiTheme="minorEastAsia" w:hAnsiTheme="minorEastAsia" w:eastAsiaTheme="minorEastAsia" w:cstheme="minorEastAsia"/>
          <w:b w:val="0"/>
          <w:bCs/>
          <w:color w:val="0000FF"/>
          <w:sz w:val="21"/>
          <w:szCs w:val="21"/>
        </w:rPr>
        <w:t>导致</w:t>
      </w:r>
      <w:r>
        <w:rPr>
          <w:rFonts w:hint="eastAsia" w:asciiTheme="minorEastAsia" w:hAnsiTheme="minorEastAsia" w:eastAsiaTheme="minorEastAsia" w:cstheme="minorEastAsia"/>
          <w:b w:val="0"/>
          <w:bCs/>
          <w:color w:val="000000"/>
          <w:sz w:val="21"/>
          <w:szCs w:val="21"/>
        </w:rPr>
        <w:t>阳极板浮渣多、冷铜清理带出大量浇注料等质量问题，</w:t>
      </w:r>
      <w:r>
        <w:rPr>
          <w:rFonts w:hint="eastAsia" w:asciiTheme="minorEastAsia" w:hAnsiTheme="minorEastAsia" w:eastAsiaTheme="minorEastAsia" w:cstheme="minorEastAsia"/>
          <w:b w:val="0"/>
          <w:bCs/>
          <w:color w:val="0000FF"/>
          <w:sz w:val="21"/>
          <w:szCs w:val="21"/>
          <w:lang w:val="en-US" w:eastAsia="zh-CN"/>
        </w:rPr>
        <w:t>造成</w:t>
      </w:r>
      <w:r>
        <w:rPr>
          <w:rFonts w:hint="eastAsia" w:asciiTheme="minorEastAsia" w:hAnsiTheme="minorEastAsia" w:eastAsiaTheme="minorEastAsia" w:cstheme="minorEastAsia"/>
          <w:b w:val="0"/>
          <w:bCs/>
          <w:color w:val="000000"/>
          <w:sz w:val="21"/>
          <w:szCs w:val="21"/>
        </w:rPr>
        <w:t>阳极铜品质降低、浇注料用量增加、作业人员劳动强度增大。</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b w:val="0"/>
          <w:bCs/>
          <w:color w:val="000000"/>
          <w:sz w:val="20"/>
          <w:szCs w:val="20"/>
        </w:rPr>
      </w:pPr>
      <w:r>
        <w:rPr>
          <w:rFonts w:hint="eastAsia" w:asciiTheme="minorEastAsia" w:hAnsiTheme="minorEastAsia" w:eastAsiaTheme="minorEastAsia" w:cstheme="minorEastAsia"/>
          <w:b w:val="0"/>
          <w:bCs/>
          <w:color w:val="0000FF"/>
          <w:sz w:val="21"/>
          <w:szCs w:val="21"/>
          <w:lang w:val="en-US" w:eastAsia="zh-CN"/>
        </w:rPr>
        <w:t>本文</w:t>
      </w:r>
      <w:r>
        <w:rPr>
          <w:rFonts w:hint="eastAsia" w:asciiTheme="minorEastAsia" w:hAnsiTheme="minorEastAsia" w:eastAsiaTheme="minorEastAsia" w:cstheme="minorEastAsia"/>
          <w:b w:val="0"/>
          <w:bCs/>
          <w:color w:val="0000FF"/>
          <w:sz w:val="21"/>
          <w:szCs w:val="21"/>
        </w:rPr>
        <w:t>规范</w:t>
      </w:r>
      <w:r>
        <w:rPr>
          <w:rFonts w:hint="eastAsia" w:asciiTheme="minorEastAsia" w:hAnsiTheme="minorEastAsia" w:eastAsiaTheme="minorEastAsia" w:cstheme="minorEastAsia"/>
          <w:b w:val="0"/>
          <w:bCs/>
          <w:color w:val="0000FF"/>
          <w:sz w:val="21"/>
          <w:szCs w:val="21"/>
          <w:lang w:eastAsia="zh-CN"/>
        </w:rPr>
        <w:t>了</w:t>
      </w:r>
      <w:r>
        <w:rPr>
          <w:rFonts w:hint="eastAsia" w:asciiTheme="minorEastAsia" w:hAnsiTheme="minorEastAsia" w:eastAsiaTheme="minorEastAsia" w:cstheme="minorEastAsia"/>
          <w:b w:val="0"/>
          <w:bCs/>
          <w:color w:val="000000"/>
          <w:sz w:val="21"/>
          <w:szCs w:val="21"/>
          <w:lang w:eastAsia="zh-CN"/>
        </w:rPr>
        <w:t>铜精炼炉浇铸溜槽用耐火浇注料</w:t>
      </w:r>
      <w:r>
        <w:rPr>
          <w:rFonts w:hint="eastAsia" w:asciiTheme="minorEastAsia" w:hAnsiTheme="minorEastAsia" w:eastAsiaTheme="minorEastAsia" w:cstheme="minorEastAsia"/>
          <w:b w:val="0"/>
          <w:bCs/>
          <w:color w:val="000000"/>
          <w:sz w:val="21"/>
          <w:szCs w:val="21"/>
        </w:rPr>
        <w:t>技术要求，为生产和使用提供依据，</w:t>
      </w:r>
      <w:r>
        <w:rPr>
          <w:rFonts w:hint="eastAsia" w:asciiTheme="minorEastAsia" w:hAnsiTheme="minorEastAsia" w:eastAsiaTheme="minorEastAsia" w:cstheme="minorEastAsia"/>
          <w:b w:val="0"/>
          <w:bCs/>
          <w:color w:val="000000"/>
          <w:sz w:val="21"/>
          <w:szCs w:val="21"/>
          <w:lang w:val="en-US" w:eastAsia="zh-CN"/>
        </w:rPr>
        <w:t>有利于</w:t>
      </w:r>
      <w:r>
        <w:rPr>
          <w:rFonts w:hint="eastAsia" w:asciiTheme="minorEastAsia" w:hAnsiTheme="minorEastAsia" w:eastAsiaTheme="minorEastAsia" w:cstheme="minorEastAsia"/>
          <w:b w:val="0"/>
          <w:bCs/>
          <w:color w:val="000000"/>
          <w:sz w:val="21"/>
          <w:szCs w:val="21"/>
        </w:rPr>
        <w:t>保障</w:t>
      </w:r>
      <w:r>
        <w:rPr>
          <w:rFonts w:hint="eastAsia" w:asciiTheme="minorEastAsia" w:hAnsiTheme="minorEastAsia" w:eastAsiaTheme="minorEastAsia" w:cstheme="minorEastAsia"/>
          <w:b w:val="0"/>
          <w:bCs/>
          <w:color w:val="000000"/>
          <w:sz w:val="21"/>
          <w:szCs w:val="21"/>
          <w:lang w:eastAsia="zh-CN"/>
        </w:rPr>
        <w:t>铜精炼炉浇铸溜槽用耐火浇注料</w:t>
      </w:r>
      <w:r>
        <w:rPr>
          <w:rFonts w:hint="eastAsia" w:asciiTheme="minorEastAsia" w:hAnsiTheme="minorEastAsia" w:eastAsiaTheme="minorEastAsia" w:cstheme="minorEastAsia"/>
          <w:b w:val="0"/>
          <w:bCs/>
          <w:color w:val="000000"/>
          <w:sz w:val="21"/>
          <w:szCs w:val="21"/>
        </w:rPr>
        <w:t>的质量与稳定性</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lang w:val="en-US" w:eastAsia="zh-CN"/>
        </w:rPr>
        <w:t>从而提升阳极板质量</w:t>
      </w:r>
      <w:r>
        <w:rPr>
          <w:rFonts w:hint="eastAsia" w:asciiTheme="minorEastAsia" w:hAnsiTheme="minorEastAsia" w:eastAsiaTheme="minorEastAsia" w:cstheme="minorEastAsia"/>
          <w:b w:val="0"/>
          <w:bCs/>
          <w:color w:val="000000"/>
          <w:sz w:val="21"/>
          <w:szCs w:val="21"/>
        </w:rPr>
        <w:t>。</w:t>
      </w:r>
    </w:p>
    <w:p>
      <w:pPr>
        <w:spacing w:line="360" w:lineRule="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1.1.3铜精炼炉浇铸溜槽用耐火浇注料无统一标准可依</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00" w:firstLineChars="200"/>
        <w:textAlignment w:val="auto"/>
        <w:rPr>
          <w:rFonts w:hint="eastAsia" w:asciiTheme="minorEastAsia" w:hAnsiTheme="minorEastAsia" w:eastAsiaTheme="minorEastAsia" w:cstheme="minorEastAsia"/>
          <w:b w:val="0"/>
          <w:bCs/>
          <w:color w:val="000000"/>
          <w:sz w:val="20"/>
          <w:szCs w:val="20"/>
        </w:rPr>
      </w:pPr>
      <w:r>
        <w:rPr>
          <w:rFonts w:hint="eastAsia" w:asciiTheme="minorEastAsia" w:hAnsiTheme="minorEastAsia" w:eastAsiaTheme="minorEastAsia" w:cstheme="minorEastAsia"/>
          <w:b w:val="0"/>
          <w:bCs/>
          <w:color w:val="000000"/>
          <w:sz w:val="20"/>
          <w:szCs w:val="20"/>
        </w:rPr>
        <w:t>目前铜冶炼企业使用的</w:t>
      </w:r>
      <w:r>
        <w:rPr>
          <w:rFonts w:hint="eastAsia" w:asciiTheme="minorEastAsia" w:hAnsiTheme="minorEastAsia" w:eastAsiaTheme="minorEastAsia" w:cstheme="minorEastAsia"/>
          <w:b w:val="0"/>
          <w:bCs/>
          <w:color w:val="000000"/>
          <w:sz w:val="20"/>
          <w:szCs w:val="20"/>
          <w:lang w:eastAsia="zh-CN"/>
        </w:rPr>
        <w:t>铜精炼炉浇铸溜槽用耐火浇注料</w:t>
      </w:r>
      <w:r>
        <w:rPr>
          <w:rFonts w:hint="eastAsia" w:asciiTheme="minorEastAsia" w:hAnsiTheme="minorEastAsia" w:eastAsiaTheme="minorEastAsia" w:cstheme="minorEastAsia"/>
          <w:b w:val="0"/>
          <w:bCs/>
          <w:color w:val="000000"/>
          <w:sz w:val="20"/>
          <w:szCs w:val="20"/>
        </w:rPr>
        <w:t>参照钢铁行业国家标准GB/T 22590-2021《轧钢加热炉用耐火浇注料》和建材行业标准JC/T 498-2013《高强度耐火浇注料》</w:t>
      </w:r>
      <w:r>
        <w:rPr>
          <w:rFonts w:hint="eastAsia" w:asciiTheme="minorEastAsia" w:hAnsiTheme="minorEastAsia" w:eastAsiaTheme="minorEastAsia" w:cstheme="minorEastAsia"/>
          <w:b w:val="0"/>
          <w:bCs/>
          <w:color w:val="000000"/>
          <w:sz w:val="20"/>
          <w:szCs w:val="20"/>
          <w:lang w:eastAsia="zh-CN"/>
        </w:rPr>
        <w:t>，</w:t>
      </w:r>
      <w:r>
        <w:rPr>
          <w:rFonts w:hint="eastAsia" w:asciiTheme="minorEastAsia" w:hAnsiTheme="minorEastAsia" w:eastAsiaTheme="minorEastAsia" w:cstheme="minorEastAsia"/>
          <w:b w:val="0"/>
          <w:bCs/>
          <w:color w:val="000000"/>
          <w:sz w:val="20"/>
          <w:szCs w:val="20"/>
        </w:rPr>
        <w:t>与铜冶炼企业的生产环境要求存在一定偏差。</w:t>
      </w:r>
    </w:p>
    <w:p>
      <w:pPr>
        <w:keepNext w:val="0"/>
        <w:keepLines w:val="0"/>
        <w:widowControl/>
        <w:suppressLineNumbers w:val="0"/>
        <w:jc w:val="left"/>
      </w:pPr>
      <w:r>
        <w:rPr>
          <w:rFonts w:hint="default" w:ascii="Arial" w:hAnsi="Arial" w:eastAsia="宋体" w:cs="Arial"/>
          <w:color w:val="000000"/>
          <w:kern w:val="0"/>
          <w:sz w:val="28"/>
          <w:szCs w:val="28"/>
          <w:lang w:val="en-US" w:eastAsia="zh-CN" w:bidi="ar"/>
        </w:rPr>
        <w:t xml:space="preserve">1.2 </w:t>
      </w:r>
      <w:r>
        <w:rPr>
          <w:rFonts w:hint="eastAsia" w:ascii="黑体" w:hAnsi="宋体" w:eastAsia="黑体" w:cs="黑体"/>
          <w:color w:val="000000"/>
          <w:kern w:val="0"/>
          <w:sz w:val="28"/>
          <w:szCs w:val="28"/>
          <w:lang w:val="en-US" w:eastAsia="zh-CN" w:bidi="ar"/>
        </w:rPr>
        <w:t xml:space="preserve">任务来源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sz w:val="20"/>
          <w:szCs w:val="20"/>
        </w:rPr>
      </w:pPr>
      <w:r>
        <w:rPr>
          <w:rFonts w:hint="eastAsia" w:hAnsi="宋体" w:cs="宋体"/>
          <w:color w:val="0000FF"/>
          <w:kern w:val="2"/>
          <w:sz w:val="21"/>
          <w:szCs w:val="21"/>
          <w:lang w:val="en-US" w:eastAsia="zh-CN"/>
        </w:rPr>
        <w:t>根据</w:t>
      </w:r>
      <w:r>
        <w:rPr>
          <w:rFonts w:hint="eastAsia" w:ascii="宋体" w:hAnsi="宋体" w:eastAsia="宋体" w:cs="宋体"/>
          <w:color w:val="0000FF"/>
          <w:kern w:val="2"/>
          <w:sz w:val="21"/>
          <w:szCs w:val="21"/>
          <w:lang w:val="en-US" w:eastAsia="zh-CN"/>
        </w:rPr>
        <w:t>2024年8月5</w:t>
      </w:r>
      <w:r>
        <w:rPr>
          <w:rFonts w:hint="eastAsia" w:hAnsi="宋体" w:cs="宋体"/>
          <w:color w:val="0000FF"/>
          <w:kern w:val="2"/>
          <w:sz w:val="21"/>
          <w:szCs w:val="21"/>
          <w:lang w:val="en-US" w:eastAsia="zh-CN"/>
        </w:rPr>
        <w:t>日，根据《</w:t>
      </w:r>
      <w:r>
        <w:rPr>
          <w:rFonts w:hint="eastAsia" w:ascii="宋体" w:hAnsi="宋体" w:eastAsia="宋体" w:cs="宋体"/>
          <w:color w:val="0000FF"/>
          <w:kern w:val="2"/>
          <w:sz w:val="21"/>
          <w:szCs w:val="21"/>
          <w:lang w:val="en-US" w:eastAsia="zh-CN"/>
        </w:rPr>
        <w:t>2024年第三批有色金属团体标准项目计划表</w:t>
      </w:r>
      <w:r>
        <w:rPr>
          <w:rFonts w:hint="eastAsia" w:hAnsi="宋体" w:cs="宋体"/>
          <w:color w:val="0000FF"/>
          <w:kern w:val="2"/>
          <w:sz w:val="21"/>
          <w:szCs w:val="21"/>
          <w:lang w:val="en-US" w:eastAsia="zh-CN"/>
        </w:rPr>
        <w:t>》</w:t>
      </w:r>
      <w:r>
        <w:rPr>
          <w:rFonts w:hint="default" w:ascii="宋体" w:hAnsi="宋体" w:eastAsia="宋体" w:cs="宋体"/>
          <w:color w:val="0000FF"/>
          <w:kern w:val="2"/>
          <w:sz w:val="21"/>
          <w:szCs w:val="21"/>
          <w:lang w:val="en-US" w:eastAsia="zh-CN"/>
        </w:rPr>
        <w:t>，全国有色金属标准化技术委员会下达了</w:t>
      </w:r>
      <w:r>
        <w:rPr>
          <w:rFonts w:hint="eastAsia" w:ascii="宋体" w:hAnsi="宋体" w:eastAsia="宋体" w:cs="宋体"/>
          <w:color w:val="0000FF"/>
          <w:kern w:val="2"/>
          <w:sz w:val="21"/>
          <w:szCs w:val="21"/>
          <w:lang w:val="en-US" w:eastAsia="zh-CN"/>
        </w:rPr>
        <w:t>编写</w:t>
      </w:r>
      <w:r>
        <w:rPr>
          <w:rFonts w:hint="default" w:ascii="宋体" w:hAnsi="宋体" w:eastAsia="宋体" w:cs="宋体"/>
          <w:color w:val="0000FF"/>
          <w:kern w:val="2"/>
          <w:sz w:val="21"/>
          <w:szCs w:val="21"/>
          <w:lang w:val="en-US" w:eastAsia="zh-CN"/>
        </w:rPr>
        <w:t>《</w:t>
      </w:r>
      <w:r>
        <w:rPr>
          <w:rFonts w:hint="eastAsia"/>
          <w:color w:val="0000FF"/>
          <w:szCs w:val="21"/>
          <w:highlight w:val="none"/>
        </w:rPr>
        <w:t>铜精炼炉浇铸溜槽用耐火浇注料</w:t>
      </w:r>
      <w:r>
        <w:rPr>
          <w:rFonts w:hint="default" w:ascii="宋体" w:hAnsi="宋体" w:eastAsia="宋体" w:cs="宋体"/>
          <w:color w:val="0000FF"/>
          <w:kern w:val="2"/>
          <w:sz w:val="21"/>
          <w:szCs w:val="21"/>
          <w:lang w:val="en-US" w:eastAsia="zh-CN"/>
        </w:rPr>
        <w:t>》</w:t>
      </w:r>
      <w:r>
        <w:rPr>
          <w:rFonts w:hint="eastAsia" w:ascii="宋体" w:hAnsi="宋体" w:eastAsia="宋体" w:cs="宋体"/>
          <w:color w:val="0000FF"/>
          <w:kern w:val="2"/>
          <w:sz w:val="21"/>
          <w:szCs w:val="21"/>
          <w:lang w:val="en-US" w:eastAsia="zh-CN"/>
        </w:rPr>
        <w:t>团体</w:t>
      </w:r>
      <w:r>
        <w:rPr>
          <w:rFonts w:hint="default" w:ascii="宋体" w:hAnsi="宋体" w:eastAsia="宋体" w:cs="宋体"/>
          <w:color w:val="0000FF"/>
          <w:kern w:val="2"/>
          <w:sz w:val="21"/>
          <w:szCs w:val="21"/>
          <w:lang w:val="en-US" w:eastAsia="zh-CN"/>
        </w:rPr>
        <w:t>标准的任务，完成期限为202</w:t>
      </w:r>
      <w:r>
        <w:rPr>
          <w:rFonts w:hint="eastAsia" w:ascii="宋体" w:hAnsi="宋体" w:eastAsia="宋体" w:cs="宋体"/>
          <w:color w:val="0000FF"/>
          <w:kern w:val="2"/>
          <w:sz w:val="21"/>
          <w:szCs w:val="21"/>
          <w:lang w:val="en-US" w:eastAsia="zh-CN"/>
        </w:rPr>
        <w:t>6</w:t>
      </w:r>
      <w:r>
        <w:rPr>
          <w:rFonts w:hint="default" w:ascii="宋体" w:hAnsi="宋体" w:eastAsia="宋体" w:cs="宋体"/>
          <w:color w:val="0000FF"/>
          <w:kern w:val="2"/>
          <w:sz w:val="21"/>
          <w:szCs w:val="21"/>
          <w:lang w:val="en-US" w:eastAsia="zh-CN"/>
        </w:rPr>
        <w:t>年1月，技术归口单位为全国有色金属标准化技术委员会（SAC/TC 243）。计划号为：</w:t>
      </w:r>
      <w:r>
        <w:rPr>
          <w:rFonts w:hint="eastAsia" w:ascii="宋体" w:hAnsi="宋体" w:eastAsia="宋体" w:cs="宋体"/>
          <w:color w:val="0000FF"/>
          <w:spacing w:val="-1"/>
          <w:sz w:val="21"/>
          <w:szCs w:val="21"/>
        </w:rPr>
        <w:t>2024-0</w:t>
      </w:r>
      <w:r>
        <w:rPr>
          <w:rFonts w:hint="eastAsia" w:ascii="宋体" w:hAnsi="宋体" w:eastAsia="宋体" w:cs="宋体"/>
          <w:color w:val="0000FF"/>
          <w:spacing w:val="-1"/>
          <w:sz w:val="21"/>
          <w:szCs w:val="21"/>
          <w:lang w:val="en-US" w:eastAsia="zh-CN"/>
        </w:rPr>
        <w:t>60</w:t>
      </w:r>
      <w:r>
        <w:rPr>
          <w:rFonts w:hint="eastAsia" w:ascii="宋体" w:hAnsi="宋体" w:eastAsia="宋体" w:cs="宋体"/>
          <w:color w:val="0000FF"/>
          <w:spacing w:val="-1"/>
          <w:sz w:val="21"/>
          <w:szCs w:val="21"/>
        </w:rPr>
        <w:t>-T/CNIA</w:t>
      </w:r>
      <w:r>
        <w:rPr>
          <w:rFonts w:hint="default" w:ascii="宋体" w:hAnsi="宋体" w:eastAsia="宋体" w:cs="宋体"/>
          <w:color w:val="0000FF"/>
          <w:kern w:val="2"/>
          <w:sz w:val="21"/>
          <w:szCs w:val="21"/>
          <w:lang w:val="en-US" w:eastAsia="zh-CN"/>
        </w:rPr>
        <w:t>。</w:t>
      </w:r>
      <w:r>
        <w:rPr>
          <w:rFonts w:hint="eastAsia" w:hAnsi="宋体" w:cs="宋体"/>
          <w:color w:val="0000FF"/>
          <w:kern w:val="2"/>
          <w:sz w:val="21"/>
          <w:szCs w:val="21"/>
          <w:lang w:val="en-US" w:eastAsia="zh-CN"/>
        </w:rPr>
        <w:t>团体标准项目《</w:t>
      </w:r>
      <w:r>
        <w:rPr>
          <w:rFonts w:hint="eastAsia"/>
          <w:color w:val="0000FF"/>
          <w:szCs w:val="21"/>
          <w:highlight w:val="none"/>
        </w:rPr>
        <w:t>铜精炼炉浇铸溜槽用耐火浇注料</w:t>
      </w:r>
      <w:r>
        <w:rPr>
          <w:rFonts w:hint="eastAsia" w:hAnsi="宋体" w:cs="宋体"/>
          <w:color w:val="0000FF"/>
          <w:kern w:val="2"/>
          <w:sz w:val="21"/>
          <w:szCs w:val="21"/>
          <w:lang w:val="en-US" w:eastAsia="zh-CN"/>
        </w:rPr>
        <w:t>》主要起草单位：</w:t>
      </w:r>
      <w:r>
        <w:rPr>
          <w:color w:val="0000FF"/>
          <w:szCs w:val="21"/>
          <w:highlight w:val="none"/>
        </w:rPr>
        <w:t>江西铜业股份有限公司</w:t>
      </w:r>
      <w:r>
        <w:rPr>
          <w:rFonts w:hint="eastAsia"/>
          <w:color w:val="0000FF"/>
          <w:szCs w:val="21"/>
          <w:highlight w:val="none"/>
        </w:rPr>
        <w:t>、铜陵有色金属集团股份有限公司、金川集团股份有限公司</w:t>
      </w:r>
      <w:r>
        <w:rPr>
          <w:rFonts w:hint="eastAsia" w:ascii="宋体" w:hAnsi="宋体" w:cs="宋体"/>
          <w:color w:val="0000FF"/>
          <w:szCs w:val="20"/>
          <w:highlight w:val="none"/>
          <w:lang w:eastAsia="zh-CN"/>
        </w:rPr>
        <w:t>。</w:t>
      </w:r>
    </w:p>
    <w:p>
      <w:pPr>
        <w:keepNext w:val="0"/>
        <w:keepLines w:val="0"/>
        <w:widowControl/>
        <w:suppressLineNumbers w:val="0"/>
        <w:jc w:val="left"/>
      </w:pPr>
      <w:r>
        <w:rPr>
          <w:rFonts w:hint="default" w:ascii="Arial" w:hAnsi="Arial" w:eastAsia="宋体" w:cs="Arial"/>
          <w:color w:val="000000"/>
          <w:kern w:val="0"/>
          <w:sz w:val="28"/>
          <w:szCs w:val="28"/>
          <w:lang w:val="en-US" w:eastAsia="zh-CN" w:bidi="ar"/>
        </w:rPr>
        <w:t xml:space="preserve">1.3 </w:t>
      </w:r>
      <w:r>
        <w:rPr>
          <w:rFonts w:hint="eastAsia" w:ascii="黑体" w:hAnsi="宋体" w:eastAsia="黑体" w:cs="黑体"/>
          <w:color w:val="000000"/>
          <w:kern w:val="0"/>
          <w:sz w:val="28"/>
          <w:szCs w:val="28"/>
          <w:lang w:val="en-US" w:eastAsia="zh-CN" w:bidi="ar"/>
        </w:rPr>
        <w:t>主要参加单位和工作成员及其所作的工作</w:t>
      </w:r>
    </w:p>
    <w:p>
      <w:pPr>
        <w:spacing w:line="360" w:lineRule="auto"/>
        <w:rPr>
          <w:rFonts w:hint="eastAsia" w:ascii="黑体" w:hAnsi="黑体" w:eastAsia="黑体" w:cs="黑体"/>
          <w:b w:val="0"/>
          <w:bCs/>
          <w:color w:val="0000FF"/>
          <w:sz w:val="24"/>
          <w:szCs w:val="24"/>
          <w:lang w:val="en-US" w:eastAsia="zh-CN"/>
        </w:rPr>
      </w:pPr>
      <w:r>
        <w:rPr>
          <w:rFonts w:hint="eastAsia" w:ascii="黑体" w:hAnsi="黑体" w:eastAsia="黑体" w:cs="黑体"/>
          <w:b w:val="0"/>
          <w:bCs/>
          <w:color w:val="0000FF"/>
          <w:sz w:val="24"/>
          <w:szCs w:val="24"/>
          <w:lang w:val="en-US" w:eastAsia="zh-CN"/>
        </w:rPr>
        <w:t>1.3.1 主要参加单位情况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标准主编单位</w:t>
      </w:r>
      <w:r>
        <w:rPr>
          <w:rFonts w:hint="default" w:ascii="宋体" w:hAnsi="宋体" w:eastAsia="宋体" w:cs="宋体"/>
          <w:color w:val="auto"/>
          <w:kern w:val="2"/>
          <w:sz w:val="21"/>
          <w:szCs w:val="21"/>
          <w:highlight w:val="none"/>
          <w:lang w:val="en-US" w:eastAsia="zh-CN"/>
        </w:rPr>
        <w:t>江西铜业股份有限公司</w:t>
      </w:r>
      <w:r>
        <w:rPr>
          <w:rFonts w:hint="eastAsia" w:hAnsi="宋体" w:cs="宋体"/>
          <w:color w:val="auto"/>
          <w:kern w:val="2"/>
          <w:sz w:val="21"/>
          <w:szCs w:val="21"/>
          <w:highlight w:val="none"/>
          <w:lang w:val="en-US" w:eastAsia="zh-CN"/>
        </w:rPr>
        <w:t>在标准的编制过程中，能积极主动收集国内外相关标准，对一些有代表性企业进行调研并收集数据，根据了解到的实际情况，编写</w:t>
      </w:r>
      <w:r>
        <w:rPr>
          <w:rFonts w:hint="eastAsia"/>
          <w:color w:val="000000"/>
          <w:sz w:val="20"/>
          <w:szCs w:val="18"/>
          <w:lang w:eastAsia="zh-CN"/>
        </w:rPr>
        <w:t>铜精炼炉浇铸溜槽用耐火浇注料</w:t>
      </w:r>
      <w:r>
        <w:rPr>
          <w:rFonts w:hint="eastAsia" w:hAnsi="宋体" w:cs="宋体"/>
          <w:color w:val="auto"/>
          <w:kern w:val="2"/>
          <w:sz w:val="21"/>
          <w:szCs w:val="21"/>
          <w:highlight w:val="none"/>
          <w:lang w:val="en-US" w:eastAsia="zh-CN"/>
        </w:rPr>
        <w:t>化学成分和物理性能指标，公司能够带领编制组成员单位认真细致修改标准文本，征求多家企业的修改意见，最终带领编制组完成标准的编制工作。</w:t>
      </w:r>
    </w:p>
    <w:p>
      <w:pPr>
        <w:spacing w:line="360" w:lineRule="auto"/>
        <w:rPr>
          <w:rFonts w:hint="eastAsia" w:ascii="黑体" w:hAnsi="黑体" w:eastAsia="黑体" w:cs="黑体"/>
          <w:b w:val="0"/>
          <w:bCs/>
          <w:color w:val="0000FF"/>
          <w:sz w:val="24"/>
          <w:szCs w:val="24"/>
          <w:lang w:val="en-US" w:eastAsia="zh-CN"/>
        </w:rPr>
      </w:pPr>
      <w:r>
        <w:rPr>
          <w:rFonts w:hint="eastAsia" w:ascii="黑体" w:hAnsi="黑体" w:eastAsia="黑体" w:cs="黑体"/>
          <w:b w:val="0"/>
          <w:bCs/>
          <w:color w:val="0000FF"/>
          <w:sz w:val="24"/>
          <w:szCs w:val="24"/>
          <w:lang w:val="en-US" w:eastAsia="zh-CN"/>
        </w:rPr>
        <w:t>1.3.2 主要工作成员所负责的工作情况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本标准主要起草人及工作职责见表1。</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50" w:after="0" w:afterLines="50"/>
        <w:ind w:left="0"/>
        <w:jc w:val="center"/>
        <w:textAlignment w:val="auto"/>
        <w:rPr>
          <w:rFonts w:hint="default" w:ascii="Times New Roman" w:hAnsi="Times New Roman" w:eastAsia="黑体" w:cs="Times New Roman"/>
          <w:i w:val="0"/>
          <w:iCs w:val="0"/>
          <w:sz w:val="21"/>
          <w:szCs w:val="21"/>
          <w:lang w:val="en-US" w:eastAsia="zh-CN"/>
        </w:rPr>
      </w:pPr>
      <w:r>
        <w:rPr>
          <w:rFonts w:hint="default" w:ascii="Times New Roman" w:hAnsi="Times New Roman" w:eastAsia="黑体" w:cs="Times New Roman"/>
          <w:i w:val="0"/>
          <w:iCs w:val="0"/>
          <w:sz w:val="21"/>
          <w:szCs w:val="21"/>
          <w:lang w:val="en-US" w:eastAsia="zh-CN"/>
        </w:rPr>
        <w:t>表</w:t>
      </w:r>
      <w:r>
        <w:rPr>
          <w:rFonts w:hint="eastAsia" w:ascii="Times New Roman" w:eastAsia="黑体" w:cs="Times New Roman"/>
          <w:i w:val="0"/>
          <w:iCs w:val="0"/>
          <w:sz w:val="21"/>
          <w:szCs w:val="21"/>
          <w:lang w:val="en-US" w:eastAsia="zh-CN"/>
        </w:rPr>
        <w:t>1</w:t>
      </w:r>
      <w:r>
        <w:rPr>
          <w:rFonts w:hint="default" w:ascii="Times New Roman" w:hAnsi="Times New Roman" w:eastAsia="黑体" w:cs="Times New Roman"/>
          <w:i w:val="0"/>
          <w:iCs w:val="0"/>
          <w:sz w:val="21"/>
          <w:szCs w:val="21"/>
          <w:lang w:val="en-US" w:eastAsia="zh-CN"/>
        </w:rPr>
        <w:t xml:space="preserve"> 主要起草人及工作职责</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038"/>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shd w:val="clear" w:color="auto" w:fill="auto"/>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序号</w:t>
            </w:r>
          </w:p>
        </w:tc>
        <w:tc>
          <w:tcPr>
            <w:tcW w:w="609" w:type="pct"/>
            <w:shd w:val="clear" w:color="auto" w:fill="auto"/>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姓名</w:t>
            </w:r>
          </w:p>
        </w:tc>
        <w:tc>
          <w:tcPr>
            <w:tcW w:w="3958" w:type="pct"/>
            <w:shd w:val="clear" w:color="auto" w:fill="auto"/>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组内职责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桂云辉</w:t>
            </w: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组长，全面负责标准研制工作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副组长，协助组长协调相关事项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标准文本主笔人，标准研制进度跟踪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参与标准主要技术指标的确定；文本主笔人，文本参与人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检测方法研究及文本参与人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lang w:eastAsia="zh-CN"/>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sz w:val="18"/>
                <w:szCs w:val="18"/>
              </w:rPr>
            </w:pP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p>
        </w:tc>
        <w:tc>
          <w:tcPr>
            <w:tcW w:w="395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highlight w:val="none"/>
          <w:lang w:val="en-US" w:eastAsia="zh-CN"/>
        </w:rPr>
      </w:pPr>
    </w:p>
    <w:p>
      <w:pPr>
        <w:keepNext w:val="0"/>
        <w:keepLines w:val="0"/>
        <w:widowControl/>
        <w:suppressLineNumbers w:val="0"/>
        <w:jc w:val="left"/>
      </w:pPr>
      <w:r>
        <w:rPr>
          <w:rFonts w:hint="default" w:ascii="Arial" w:hAnsi="Arial" w:eastAsia="宋体" w:cs="Arial"/>
          <w:color w:val="000000"/>
          <w:kern w:val="0"/>
          <w:sz w:val="28"/>
          <w:szCs w:val="28"/>
          <w:lang w:val="en-US" w:eastAsia="zh-CN" w:bidi="ar"/>
        </w:rPr>
        <w:t xml:space="preserve">1.4 </w:t>
      </w:r>
      <w:r>
        <w:rPr>
          <w:rFonts w:hint="eastAsia" w:ascii="黑体" w:hAnsi="宋体" w:eastAsia="黑体" w:cs="黑体"/>
          <w:color w:val="000000"/>
          <w:kern w:val="0"/>
          <w:sz w:val="28"/>
          <w:szCs w:val="28"/>
          <w:lang w:val="en-US" w:eastAsia="zh-CN" w:bidi="ar"/>
        </w:rPr>
        <w:t xml:space="preserve">工作过程 </w:t>
      </w:r>
    </w:p>
    <w:p>
      <w:pPr>
        <w:spacing w:line="360" w:lineRule="auto"/>
        <w:rPr>
          <w:rFonts w:hint="eastAsia" w:ascii="黑体" w:hAnsi="黑体" w:eastAsia="黑体" w:cs="黑体"/>
          <w:b w:val="0"/>
          <w:bCs/>
          <w:sz w:val="24"/>
          <w:szCs w:val="24"/>
          <w:lang w:val="en-US" w:eastAsia="zh-CN"/>
        </w:rPr>
      </w:pPr>
      <w:r>
        <w:rPr>
          <w:rFonts w:hint="default" w:ascii="黑体" w:hAnsi="黑体" w:eastAsia="黑体" w:cs="黑体"/>
          <w:b w:val="0"/>
          <w:bCs/>
          <w:sz w:val="24"/>
          <w:szCs w:val="24"/>
          <w:lang w:val="en-US" w:eastAsia="zh-CN"/>
        </w:rPr>
        <w:t xml:space="preserve">1.4.1 </w:t>
      </w:r>
      <w:r>
        <w:rPr>
          <w:rFonts w:hint="eastAsia" w:ascii="黑体" w:hAnsi="黑体" w:eastAsia="黑体" w:cs="黑体"/>
          <w:b w:val="0"/>
          <w:bCs/>
          <w:sz w:val="24"/>
          <w:szCs w:val="24"/>
          <w:lang w:val="en-US" w:eastAsia="zh-CN"/>
        </w:rPr>
        <w:t xml:space="preserve">起草阶段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color w:val="auto"/>
          <w:sz w:val="21"/>
          <w:szCs w:val="21"/>
        </w:rPr>
      </w:pPr>
      <w:r>
        <w:rPr>
          <w:rFonts w:hint="eastAsia" w:ascii="宋体" w:hAnsi="宋体" w:eastAsia="宋体" w:cs="宋体"/>
          <w:color w:val="FF0000"/>
          <w:kern w:val="0"/>
          <w:sz w:val="21"/>
          <w:szCs w:val="21"/>
          <w:lang w:val="en-US" w:eastAsia="zh-CN" w:bidi="ar"/>
        </w:rPr>
        <w:t>标准起草单位和参与单位在接到</w:t>
      </w:r>
      <w:r>
        <w:rPr>
          <w:rFonts w:hint="default" w:ascii="宋体" w:hAnsi="宋体" w:eastAsia="宋体" w:cs="宋体"/>
          <w:color w:val="0000FF"/>
          <w:sz w:val="21"/>
          <w:szCs w:val="21"/>
          <w:highlight w:val="none"/>
          <w:lang w:val="en-US" w:eastAsia="zh-CN"/>
        </w:rPr>
        <w:t>全国有色金属标准化技术委员会</w:t>
      </w:r>
      <w:r>
        <w:rPr>
          <w:rFonts w:hint="eastAsia" w:ascii="宋体" w:hAnsi="宋体" w:eastAsia="宋体" w:cs="宋体"/>
          <w:color w:val="FF0000"/>
          <w:kern w:val="0"/>
          <w:sz w:val="21"/>
          <w:szCs w:val="21"/>
          <w:lang w:val="en-US" w:eastAsia="zh-CN" w:bidi="ar"/>
        </w:rPr>
        <w:t>下达的项目任务后，</w:t>
      </w:r>
      <w:r>
        <w:rPr>
          <w:rFonts w:hint="eastAsia" w:ascii="宋体" w:hAnsi="宋体" w:eastAsia="宋体" w:cs="宋体"/>
          <w:color w:val="auto"/>
          <w:kern w:val="0"/>
          <w:sz w:val="21"/>
          <w:szCs w:val="21"/>
          <w:lang w:val="en-US" w:eastAsia="zh-CN" w:bidi="ar"/>
        </w:rPr>
        <w:t>成立《铜精炼炉浇铸溜槽用耐火浇注料》编制组，制定了相关工作计划，收集查阅了国内外相关政策、 标准、文献，认真学习编制原则和需要注意的内容，对我国铜火法冶炼企业生产现状进行调研，调研方式主要有资料调研、电话调研等，修改形成《铜精炼炉浇铸溜槽用耐火浇注料》讨论稿。</w:t>
      </w:r>
      <w:r>
        <w:rPr>
          <w:rFonts w:hint="default" w:ascii="Times New Roman" w:hAnsi="Times New Roman" w:eastAsia="宋体" w:cs="Times New Roman"/>
          <w:color w:val="auto"/>
          <w:kern w:val="0"/>
          <w:sz w:val="21"/>
          <w:szCs w:val="21"/>
          <w:lang w:val="en-US" w:eastAsia="zh-CN" w:bidi="ar"/>
        </w:rPr>
        <w:t>202</w:t>
      </w:r>
      <w:r>
        <w:rPr>
          <w:rFonts w:hint="eastAsia" w:ascii="Times New Roman" w:hAnsi="Times New Roman" w:eastAsia="宋体" w:cs="Times New Roman"/>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年</w:t>
      </w:r>
      <w:r>
        <w:rPr>
          <w:rFonts w:hint="default" w:ascii="Times New Roman" w:hAnsi="Times New Roman" w:eastAsia="宋体" w:cs="Times New Roman"/>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月24日至</w:t>
      </w:r>
      <w:r>
        <w:rPr>
          <w:rFonts w:hint="default" w:ascii="Times New Roman" w:hAnsi="Times New Roman" w:eastAsia="宋体" w:cs="Times New Roman"/>
          <w:color w:val="auto"/>
          <w:kern w:val="0"/>
          <w:sz w:val="21"/>
          <w:szCs w:val="21"/>
          <w:lang w:val="en-US" w:eastAsia="zh-CN" w:bidi="ar"/>
        </w:rPr>
        <w:t>27</w:t>
      </w:r>
      <w:r>
        <w:rPr>
          <w:rFonts w:hint="eastAsia" w:ascii="宋体" w:hAnsi="宋体" w:eastAsia="宋体" w:cs="宋体"/>
          <w:color w:val="auto"/>
          <w:kern w:val="0"/>
          <w:sz w:val="21"/>
          <w:szCs w:val="21"/>
          <w:lang w:val="en-US" w:eastAsia="zh-CN" w:bidi="ar"/>
        </w:rPr>
        <w:t>日，</w:t>
      </w:r>
      <w:r>
        <w:rPr>
          <w:rFonts w:hint="default" w:ascii="宋体" w:hAnsi="宋体" w:eastAsia="宋体" w:cs="宋体"/>
          <w:color w:val="0000FF"/>
          <w:sz w:val="21"/>
          <w:szCs w:val="21"/>
          <w:highlight w:val="none"/>
          <w:lang w:val="en-US" w:eastAsia="zh-CN"/>
        </w:rPr>
        <w:t>全国有色金属标准化技术委员会</w:t>
      </w:r>
      <w:r>
        <w:rPr>
          <w:rFonts w:hint="eastAsia" w:ascii="宋体" w:hAnsi="宋体" w:eastAsia="宋体" w:cs="宋体"/>
          <w:color w:val="auto"/>
          <w:kern w:val="0"/>
          <w:sz w:val="21"/>
          <w:szCs w:val="21"/>
          <w:lang w:val="en-US" w:eastAsia="zh-CN" w:bidi="ar"/>
        </w:rPr>
        <w:t>组织在湖南长沙召开标准</w:t>
      </w:r>
      <w:r>
        <w:rPr>
          <w:rFonts w:hint="eastAsia" w:ascii="宋体" w:hAnsi="宋体" w:eastAsia="宋体" w:cs="宋体"/>
          <w:color w:val="0000FF"/>
          <w:kern w:val="0"/>
          <w:sz w:val="21"/>
          <w:szCs w:val="21"/>
          <w:lang w:val="en-US" w:eastAsia="zh-CN" w:bidi="ar"/>
        </w:rPr>
        <w:t>项目论证会</w:t>
      </w:r>
      <w:r>
        <w:rPr>
          <w:rFonts w:hint="eastAsia" w:ascii="宋体" w:hAnsi="宋体" w:eastAsia="宋体" w:cs="宋体"/>
          <w:color w:val="auto"/>
          <w:kern w:val="0"/>
          <w:sz w:val="21"/>
          <w:szCs w:val="21"/>
          <w:lang w:val="en-US" w:eastAsia="zh-CN" w:bidi="ar"/>
        </w:rPr>
        <w:t>。会上，各位专家对《铜精炼炉浇铸溜槽用耐火浇注料》进行</w:t>
      </w:r>
      <w:r>
        <w:rPr>
          <w:rFonts w:hint="eastAsia" w:ascii="宋体" w:hAnsi="宋体" w:eastAsia="宋体" w:cs="宋体"/>
          <w:color w:val="0000FF"/>
          <w:kern w:val="0"/>
          <w:sz w:val="21"/>
          <w:szCs w:val="21"/>
          <w:lang w:val="en-US" w:eastAsia="zh-CN" w:bidi="ar"/>
        </w:rPr>
        <w:t>项目论证，</w:t>
      </w:r>
      <w:r>
        <w:rPr>
          <w:rFonts w:hint="eastAsia" w:ascii="宋体" w:hAnsi="宋体" w:eastAsia="宋体" w:cs="宋体"/>
          <w:color w:val="auto"/>
          <w:kern w:val="0"/>
          <w:sz w:val="21"/>
          <w:szCs w:val="21"/>
          <w:lang w:val="en-US" w:eastAsia="zh-CN" w:bidi="ar"/>
        </w:rPr>
        <w:t>对文本的格式、标准名称和内容</w:t>
      </w:r>
      <w:r>
        <w:rPr>
          <w:rFonts w:hint="eastAsia" w:ascii="宋体" w:hAnsi="宋体" w:eastAsia="宋体" w:cs="宋体"/>
          <w:color w:val="0000FF"/>
          <w:kern w:val="0"/>
          <w:sz w:val="21"/>
          <w:szCs w:val="21"/>
          <w:lang w:val="en-US" w:eastAsia="zh-CN" w:bidi="ar"/>
        </w:rPr>
        <w:t>等方面提出修改建议，</w:t>
      </w:r>
      <w:r>
        <w:rPr>
          <w:rFonts w:hint="eastAsia" w:ascii="宋体" w:hAnsi="宋体" w:eastAsia="宋体" w:cs="宋体"/>
          <w:color w:val="auto"/>
          <w:kern w:val="0"/>
          <w:sz w:val="21"/>
          <w:szCs w:val="21"/>
          <w:lang w:val="en-US" w:eastAsia="zh-CN" w:bidi="ar"/>
        </w:rPr>
        <w:t>编制组人员根据参会专家意见进行修改调整，形成</w:t>
      </w:r>
      <w:r>
        <w:rPr>
          <w:rFonts w:hint="eastAsia" w:ascii="宋体" w:hAnsi="宋体" w:eastAsia="宋体" w:cs="宋体"/>
          <w:color w:val="0000FF"/>
          <w:kern w:val="0"/>
          <w:sz w:val="21"/>
          <w:szCs w:val="21"/>
          <w:lang w:val="en-US" w:eastAsia="zh-CN" w:bidi="ar"/>
        </w:rPr>
        <w:t>讨论稿</w:t>
      </w:r>
      <w:r>
        <w:rPr>
          <w:rFonts w:hint="eastAsia" w:ascii="宋体" w:hAnsi="宋体" w:eastAsia="宋体" w:cs="宋体"/>
          <w:color w:val="auto"/>
          <w:kern w:val="0"/>
          <w:sz w:val="21"/>
          <w:szCs w:val="21"/>
          <w:lang w:val="en-US" w:eastAsia="zh-CN" w:bidi="ar"/>
        </w:rPr>
        <w:t xml:space="preserve">。 </w:t>
      </w:r>
    </w:p>
    <w:p>
      <w:pPr>
        <w:keepNext w:val="0"/>
        <w:keepLines w:val="0"/>
        <w:widowControl/>
        <w:suppressLineNumbers w:val="0"/>
        <w:jc w:val="left"/>
      </w:pPr>
      <w:r>
        <w:rPr>
          <w:rFonts w:hint="eastAsia" w:ascii="黑体" w:hAnsi="宋体" w:eastAsia="黑体" w:cs="黑体"/>
          <w:b/>
          <w:bCs/>
          <w:color w:val="000000"/>
          <w:kern w:val="0"/>
          <w:sz w:val="28"/>
          <w:szCs w:val="28"/>
          <w:lang w:val="en-US" w:eastAsia="zh-CN" w:bidi="ar"/>
        </w:rPr>
        <w:t xml:space="preserve">2 标准编制原则和确定标准主要内容 </w:t>
      </w:r>
    </w:p>
    <w:p>
      <w:pPr>
        <w:keepNext w:val="0"/>
        <w:keepLines w:val="0"/>
        <w:widowControl/>
        <w:suppressLineNumbers w:val="0"/>
        <w:jc w:val="left"/>
        <w:rPr>
          <w:b w:val="0"/>
          <w:bCs w:val="0"/>
          <w:sz w:val="24"/>
          <w:szCs w:val="24"/>
        </w:rPr>
      </w:pPr>
      <w:r>
        <w:rPr>
          <w:rFonts w:hint="default" w:ascii="Arial" w:hAnsi="Arial" w:eastAsia="宋体" w:cs="Arial"/>
          <w:b w:val="0"/>
          <w:bCs w:val="0"/>
          <w:color w:val="000000"/>
          <w:kern w:val="0"/>
          <w:sz w:val="24"/>
          <w:szCs w:val="24"/>
          <w:lang w:val="en-US" w:eastAsia="zh-CN" w:bidi="ar"/>
        </w:rPr>
        <w:t xml:space="preserve">2.1 </w:t>
      </w:r>
      <w:r>
        <w:rPr>
          <w:rFonts w:hint="eastAsia" w:ascii="黑体" w:hAnsi="宋体" w:eastAsia="黑体" w:cs="黑体"/>
          <w:b w:val="0"/>
          <w:bCs w:val="0"/>
          <w:color w:val="000000"/>
          <w:kern w:val="0"/>
          <w:sz w:val="24"/>
          <w:szCs w:val="24"/>
          <w:lang w:val="en-US" w:eastAsia="zh-CN" w:bidi="ar"/>
        </w:rPr>
        <w:t xml:space="preserve">编制原则 </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color w:val="000000"/>
          <w:sz w:val="21"/>
          <w:szCs w:val="21"/>
        </w:rPr>
      </w:pPr>
      <w:r>
        <w:rPr>
          <w:rFonts w:hint="eastAsia"/>
          <w:color w:val="000000"/>
          <w:sz w:val="21"/>
          <w:szCs w:val="21"/>
        </w:rPr>
        <w:t>GB/T 4513.2  不定形耐火材料第2部分:取样</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color w:val="000000"/>
          <w:sz w:val="21"/>
          <w:szCs w:val="21"/>
        </w:rPr>
      </w:pPr>
      <w:r>
        <w:rPr>
          <w:rFonts w:hint="eastAsia"/>
          <w:color w:val="000000"/>
          <w:sz w:val="21"/>
          <w:szCs w:val="21"/>
        </w:rPr>
        <w:t>GB/T 4513.5  不定形耐火材料第5部分:试样制备和预处理</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color w:val="000000"/>
          <w:sz w:val="21"/>
          <w:szCs w:val="21"/>
        </w:rPr>
      </w:pPr>
      <w:r>
        <w:rPr>
          <w:rFonts w:hint="eastAsia"/>
          <w:color w:val="000000"/>
          <w:sz w:val="21"/>
          <w:szCs w:val="21"/>
        </w:rPr>
        <w:t>GB/T 4513.6  不定形耐火材料第6部分:物理性能的测定</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color w:val="000000"/>
          <w:sz w:val="21"/>
          <w:szCs w:val="21"/>
        </w:rPr>
      </w:pPr>
      <w:r>
        <w:rPr>
          <w:rFonts w:hint="eastAsia"/>
          <w:color w:val="000000"/>
          <w:sz w:val="21"/>
          <w:szCs w:val="21"/>
        </w:rPr>
        <w:t>GB/T 6900  铝硅系耐火材料化学分析方法</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color w:val="000000"/>
          <w:sz w:val="21"/>
          <w:szCs w:val="21"/>
        </w:rPr>
      </w:pPr>
      <w:r>
        <w:rPr>
          <w:rFonts w:hint="eastAsia"/>
          <w:color w:val="000000"/>
          <w:sz w:val="21"/>
          <w:szCs w:val="21"/>
        </w:rPr>
        <w:t>GB/T 15545  不定形耐火材料包装、标志、运输、储存和质量证明书的一般规定</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color w:val="000000"/>
          <w:sz w:val="21"/>
          <w:szCs w:val="21"/>
        </w:rPr>
      </w:pPr>
      <w:r>
        <w:rPr>
          <w:rFonts w:hint="eastAsia"/>
          <w:color w:val="000000"/>
          <w:sz w:val="21"/>
          <w:szCs w:val="21"/>
        </w:rPr>
        <w:t>GB/T 21114  耐火材料X射线荧光光谱化学分析铸玻璃片法</w:t>
      </w:r>
    </w:p>
    <w:p>
      <w:pPr>
        <w:keepNext w:val="0"/>
        <w:keepLines w:val="0"/>
        <w:widowControl/>
        <w:suppressLineNumbers w:val="0"/>
        <w:jc w:val="left"/>
        <w:rPr>
          <w:rFonts w:hint="default" w:ascii="Arial" w:hAnsi="Arial" w:eastAsia="宋体" w:cs="Arial"/>
          <w:b w:val="0"/>
          <w:bCs w:val="0"/>
          <w:color w:val="000000"/>
          <w:kern w:val="0"/>
          <w:sz w:val="24"/>
          <w:szCs w:val="24"/>
          <w:lang w:val="en-US" w:eastAsia="zh-CN" w:bidi="ar"/>
        </w:rPr>
      </w:pPr>
      <w:r>
        <w:rPr>
          <w:rFonts w:hint="default" w:ascii="Arial" w:hAnsi="Arial" w:eastAsia="宋体" w:cs="Arial"/>
          <w:b w:val="0"/>
          <w:bCs w:val="0"/>
          <w:color w:val="000000"/>
          <w:kern w:val="0"/>
          <w:sz w:val="24"/>
          <w:szCs w:val="24"/>
          <w:lang w:val="en-US" w:eastAsia="zh-CN" w:bidi="ar"/>
        </w:rPr>
        <w:t xml:space="preserve">2.2 </w:t>
      </w:r>
      <w:r>
        <w:rPr>
          <w:rFonts w:hint="eastAsia" w:ascii="Arial" w:hAnsi="Arial" w:eastAsia="宋体" w:cs="Arial"/>
          <w:b w:val="0"/>
          <w:bCs w:val="0"/>
          <w:color w:val="000000"/>
          <w:kern w:val="0"/>
          <w:sz w:val="24"/>
          <w:szCs w:val="24"/>
          <w:lang w:val="en-US" w:eastAsia="zh-CN" w:bidi="ar"/>
        </w:rPr>
        <w:t xml:space="preserve">标准主要内容说明 </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hAnsi="Times New Roman" w:cs="Times New Roman"/>
          <w:color w:val="000000"/>
          <w:sz w:val="21"/>
          <w:szCs w:val="21"/>
        </w:rPr>
      </w:pPr>
      <w:r>
        <w:rPr>
          <w:rFonts w:hint="eastAsia" w:hAnsi="Times New Roman" w:cs="Times New Roman"/>
          <w:color w:val="000000"/>
          <w:sz w:val="21"/>
          <w:szCs w:val="21"/>
          <w:lang w:val="en-US" w:eastAsia="zh-CN"/>
        </w:rPr>
        <w:t xml:space="preserve">根据目前市场销售及相关厂家的合同指标进行确认，得出下列指标要求。 </w:t>
      </w:r>
    </w:p>
    <w:p>
      <w:pPr>
        <w:spacing w:line="360" w:lineRule="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2.2.1 化学成分</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color w:val="000000"/>
          <w:sz w:val="20"/>
          <w:szCs w:val="18"/>
        </w:rPr>
      </w:pPr>
      <w:r>
        <w:rPr>
          <w:rFonts w:hint="eastAsia" w:hAnsi="Times New Roman" w:cs="Times New Roman"/>
          <w:color w:val="000000"/>
          <w:sz w:val="21"/>
          <w:szCs w:val="21"/>
          <w:lang w:val="en-US" w:eastAsia="zh-CN"/>
        </w:rPr>
        <w:t>铜精炼炉浇铸溜槽用耐火浇注料生产的主要原料为骨料、水泥、废砖料等，化学成分指标应符合表2的规定。</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50" w:after="0" w:afterLines="50"/>
        <w:ind w:left="0"/>
        <w:jc w:val="center"/>
        <w:textAlignment w:val="auto"/>
        <w:rPr>
          <w:rFonts w:hint="default" w:ascii="Times New Roman" w:hAnsi="Times New Roman" w:eastAsia="黑体" w:cs="Times New Roman"/>
          <w:i w:val="0"/>
          <w:iCs w:val="0"/>
          <w:sz w:val="21"/>
          <w:szCs w:val="21"/>
          <w:lang w:val="en-US" w:eastAsia="zh-CN"/>
        </w:rPr>
      </w:pPr>
      <w:r>
        <w:rPr>
          <w:rFonts w:hint="eastAsia" w:ascii="Times New Roman" w:hAnsi="Times New Roman" w:eastAsia="黑体" w:cs="Times New Roman"/>
          <w:i w:val="0"/>
          <w:iCs w:val="0"/>
          <w:sz w:val="21"/>
          <w:szCs w:val="21"/>
          <w:lang w:val="en-US" w:eastAsia="zh-CN"/>
        </w:rPr>
        <w:t>表2 铜精炼炉浇铸溜槽用耐火浇注料的化学成分指标</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446"/>
        <w:gridCol w:w="1424"/>
        <w:gridCol w:w="1424"/>
        <w:gridCol w:w="144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pPr>
              <w:pStyle w:val="10"/>
              <w:widowControl w:val="0"/>
              <w:ind w:firstLine="0" w:firstLineChars="0"/>
              <w:jc w:val="center"/>
              <w:rPr>
                <w:color w:val="000000"/>
                <w:sz w:val="18"/>
                <w:szCs w:val="18"/>
              </w:rPr>
            </w:pPr>
            <w:r>
              <w:rPr>
                <w:color w:val="000000"/>
                <w:sz w:val="18"/>
                <w:szCs w:val="18"/>
              </w:rPr>
              <w:t>牌号</w:t>
            </w:r>
          </w:p>
        </w:tc>
        <w:tc>
          <w:tcPr>
            <w:tcW w:w="848" w:type="pct"/>
            <w:vAlign w:val="center"/>
          </w:tcPr>
          <w:p>
            <w:pPr>
              <w:pStyle w:val="10"/>
              <w:widowControl w:val="0"/>
              <w:ind w:firstLine="0" w:firstLineChars="0"/>
              <w:jc w:val="center"/>
              <w:rPr>
                <w:color w:val="000000"/>
                <w:sz w:val="18"/>
                <w:szCs w:val="18"/>
              </w:rPr>
            </w:pPr>
            <w:r>
              <w:rPr>
                <w:color w:val="000000"/>
                <w:sz w:val="18"/>
                <w:szCs w:val="18"/>
              </w:rPr>
              <w:t>Al</w:t>
            </w:r>
            <w:r>
              <w:rPr>
                <w:color w:val="000000"/>
                <w:sz w:val="18"/>
                <w:szCs w:val="18"/>
                <w:vertAlign w:val="subscript"/>
              </w:rPr>
              <w:t>2</w:t>
            </w:r>
            <w:r>
              <w:rPr>
                <w:color w:val="000000"/>
                <w:sz w:val="18"/>
                <w:szCs w:val="18"/>
              </w:rPr>
              <w:t>O</w:t>
            </w:r>
            <w:r>
              <w:rPr>
                <w:color w:val="000000"/>
                <w:sz w:val="18"/>
                <w:szCs w:val="18"/>
                <w:vertAlign w:val="subscript"/>
              </w:rPr>
              <w:t>3</w:t>
            </w:r>
            <w:r>
              <w:rPr>
                <w:color w:val="000000"/>
                <w:sz w:val="18"/>
                <w:szCs w:val="18"/>
              </w:rPr>
              <w:t>不小于</w:t>
            </w:r>
            <w:r>
              <w:rPr>
                <w:rFonts w:hint="eastAsia"/>
                <w:color w:val="000000"/>
                <w:sz w:val="18"/>
                <w:szCs w:val="18"/>
              </w:rPr>
              <w:t xml:space="preserve"> %</w:t>
            </w:r>
          </w:p>
        </w:tc>
        <w:tc>
          <w:tcPr>
            <w:tcW w:w="835" w:type="pct"/>
            <w:vAlign w:val="center"/>
          </w:tcPr>
          <w:p>
            <w:pPr>
              <w:pStyle w:val="10"/>
              <w:widowControl w:val="0"/>
              <w:ind w:firstLine="0" w:firstLineChars="0"/>
              <w:jc w:val="center"/>
              <w:rPr>
                <w:color w:val="000000"/>
                <w:sz w:val="18"/>
                <w:szCs w:val="18"/>
              </w:rPr>
            </w:pPr>
            <w:r>
              <w:rPr>
                <w:color w:val="000000"/>
                <w:sz w:val="18"/>
                <w:szCs w:val="18"/>
              </w:rPr>
              <w:t>SiO</w:t>
            </w:r>
            <w:r>
              <w:rPr>
                <w:color w:val="000000"/>
                <w:sz w:val="18"/>
                <w:szCs w:val="18"/>
                <w:vertAlign w:val="subscript"/>
              </w:rPr>
              <w:t>2</w:t>
            </w:r>
            <w:r>
              <w:rPr>
                <w:color w:val="000000"/>
                <w:sz w:val="18"/>
                <w:szCs w:val="18"/>
              </w:rPr>
              <w:t>不小于</w:t>
            </w:r>
            <w:r>
              <w:rPr>
                <w:rFonts w:hint="eastAsia"/>
                <w:color w:val="000000"/>
                <w:sz w:val="18"/>
                <w:szCs w:val="18"/>
              </w:rPr>
              <w:t xml:space="preserve"> %</w:t>
            </w:r>
          </w:p>
        </w:tc>
        <w:tc>
          <w:tcPr>
            <w:tcW w:w="835" w:type="pct"/>
            <w:vAlign w:val="center"/>
          </w:tcPr>
          <w:p>
            <w:pPr>
              <w:pStyle w:val="10"/>
              <w:widowControl w:val="0"/>
              <w:ind w:firstLine="0" w:firstLineChars="0"/>
              <w:jc w:val="center"/>
              <w:rPr>
                <w:color w:val="000000"/>
                <w:sz w:val="18"/>
                <w:szCs w:val="18"/>
              </w:rPr>
            </w:pPr>
            <w:r>
              <w:rPr>
                <w:color w:val="000000"/>
                <w:sz w:val="18"/>
                <w:szCs w:val="18"/>
              </w:rPr>
              <w:t>CaO不大于</w:t>
            </w:r>
            <w:r>
              <w:rPr>
                <w:rFonts w:hint="eastAsia"/>
                <w:color w:val="000000"/>
                <w:sz w:val="18"/>
                <w:szCs w:val="18"/>
              </w:rPr>
              <w:t xml:space="preserve"> %</w:t>
            </w:r>
          </w:p>
        </w:tc>
        <w:tc>
          <w:tcPr>
            <w:tcW w:w="848" w:type="pct"/>
            <w:vAlign w:val="center"/>
          </w:tcPr>
          <w:p>
            <w:pPr>
              <w:pStyle w:val="10"/>
              <w:widowControl w:val="0"/>
              <w:ind w:firstLine="0" w:firstLineChars="0"/>
              <w:jc w:val="center"/>
              <w:rPr>
                <w:color w:val="000000"/>
                <w:sz w:val="18"/>
                <w:szCs w:val="18"/>
              </w:rPr>
            </w:pPr>
            <w:r>
              <w:rPr>
                <w:color w:val="000000"/>
                <w:sz w:val="18"/>
                <w:szCs w:val="18"/>
              </w:rPr>
              <w:t>Fe</w:t>
            </w:r>
            <w:r>
              <w:rPr>
                <w:color w:val="000000"/>
                <w:sz w:val="18"/>
                <w:szCs w:val="18"/>
                <w:vertAlign w:val="subscript"/>
              </w:rPr>
              <w:t>2</w:t>
            </w:r>
            <w:r>
              <w:rPr>
                <w:color w:val="000000"/>
                <w:sz w:val="18"/>
                <w:szCs w:val="18"/>
              </w:rPr>
              <w:t>O</w:t>
            </w:r>
            <w:r>
              <w:rPr>
                <w:color w:val="000000"/>
                <w:sz w:val="18"/>
                <w:szCs w:val="18"/>
                <w:vertAlign w:val="subscript"/>
              </w:rPr>
              <w:t>3</w:t>
            </w:r>
            <w:r>
              <w:rPr>
                <w:color w:val="000000"/>
                <w:sz w:val="18"/>
                <w:szCs w:val="18"/>
              </w:rPr>
              <w:t>不大于</w:t>
            </w:r>
            <w:r>
              <w:rPr>
                <w:rFonts w:hint="eastAsia"/>
                <w:color w:val="000000"/>
                <w:sz w:val="18"/>
                <w:szCs w:val="18"/>
              </w:rPr>
              <w:t xml:space="preserve"> %</w:t>
            </w:r>
          </w:p>
        </w:tc>
        <w:tc>
          <w:tcPr>
            <w:tcW w:w="836" w:type="pct"/>
            <w:vAlign w:val="center"/>
          </w:tcPr>
          <w:p>
            <w:pPr>
              <w:pStyle w:val="10"/>
              <w:widowControl w:val="0"/>
              <w:ind w:firstLine="0" w:firstLineChars="0"/>
              <w:jc w:val="center"/>
              <w:rPr>
                <w:color w:val="000000"/>
                <w:sz w:val="18"/>
                <w:szCs w:val="18"/>
              </w:rPr>
            </w:pPr>
            <w:r>
              <w:rPr>
                <w:color w:val="000000"/>
                <w:sz w:val="18"/>
                <w:szCs w:val="18"/>
              </w:rPr>
              <w:t>TiO</w:t>
            </w:r>
            <w:r>
              <w:rPr>
                <w:color w:val="000000"/>
                <w:sz w:val="18"/>
                <w:szCs w:val="18"/>
                <w:vertAlign w:val="subscript"/>
              </w:rPr>
              <w:t>2</w:t>
            </w:r>
            <w:r>
              <w:rPr>
                <w:color w:val="000000"/>
                <w:sz w:val="18"/>
                <w:szCs w:val="18"/>
              </w:rPr>
              <w:t>不大于</w:t>
            </w:r>
            <w:r>
              <w:rPr>
                <w:rFonts w:hint="eastAs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pPr>
              <w:pStyle w:val="10"/>
              <w:widowControl w:val="0"/>
              <w:ind w:firstLine="0" w:firstLineChars="0"/>
              <w:jc w:val="center"/>
              <w:rPr>
                <w:color w:val="000000"/>
                <w:sz w:val="18"/>
                <w:szCs w:val="18"/>
              </w:rPr>
            </w:pPr>
            <w:r>
              <w:rPr>
                <w:rFonts w:hint="eastAsia"/>
                <w:color w:val="000000"/>
                <w:sz w:val="18"/>
                <w:szCs w:val="18"/>
              </w:rPr>
              <w:t>TJ-70</w:t>
            </w:r>
          </w:p>
        </w:tc>
        <w:tc>
          <w:tcPr>
            <w:tcW w:w="848" w:type="pct"/>
            <w:vAlign w:val="center"/>
          </w:tcPr>
          <w:p>
            <w:pPr>
              <w:pStyle w:val="10"/>
              <w:widowControl w:val="0"/>
              <w:ind w:firstLine="0" w:firstLineChars="0"/>
              <w:jc w:val="center"/>
              <w:rPr>
                <w:color w:val="000000"/>
                <w:sz w:val="18"/>
                <w:szCs w:val="18"/>
              </w:rPr>
            </w:pPr>
            <w:r>
              <w:rPr>
                <w:rFonts w:hint="eastAsia"/>
                <w:color w:val="000000"/>
                <w:sz w:val="18"/>
                <w:szCs w:val="18"/>
              </w:rPr>
              <w:t>70.0</w:t>
            </w:r>
          </w:p>
        </w:tc>
        <w:tc>
          <w:tcPr>
            <w:tcW w:w="835" w:type="pct"/>
            <w:vAlign w:val="center"/>
          </w:tcPr>
          <w:p>
            <w:pPr>
              <w:pStyle w:val="10"/>
              <w:widowControl w:val="0"/>
              <w:ind w:firstLine="0" w:firstLineChars="0"/>
              <w:jc w:val="center"/>
              <w:rPr>
                <w:color w:val="000000"/>
                <w:sz w:val="18"/>
                <w:szCs w:val="18"/>
              </w:rPr>
            </w:pPr>
            <w:r>
              <w:rPr>
                <w:color w:val="000000"/>
                <w:sz w:val="18"/>
                <w:szCs w:val="18"/>
              </w:rPr>
              <w:t>2</w:t>
            </w:r>
            <w:r>
              <w:rPr>
                <w:rFonts w:hint="eastAsia"/>
                <w:color w:val="000000"/>
                <w:sz w:val="18"/>
                <w:szCs w:val="18"/>
              </w:rPr>
              <w:t>5</w:t>
            </w:r>
            <w:r>
              <w:rPr>
                <w:color w:val="000000"/>
                <w:sz w:val="18"/>
                <w:szCs w:val="18"/>
              </w:rPr>
              <w:t>.</w:t>
            </w:r>
            <w:r>
              <w:rPr>
                <w:rFonts w:hint="eastAsia"/>
                <w:color w:val="000000"/>
                <w:sz w:val="18"/>
                <w:szCs w:val="18"/>
              </w:rPr>
              <w:t>0</w:t>
            </w:r>
          </w:p>
        </w:tc>
        <w:tc>
          <w:tcPr>
            <w:tcW w:w="835" w:type="pct"/>
            <w:vAlign w:val="center"/>
          </w:tcPr>
          <w:p>
            <w:pPr>
              <w:pStyle w:val="10"/>
              <w:widowControl w:val="0"/>
              <w:ind w:firstLine="0" w:firstLineChars="0"/>
              <w:jc w:val="center"/>
              <w:rPr>
                <w:color w:val="000000"/>
                <w:sz w:val="18"/>
                <w:szCs w:val="18"/>
              </w:rPr>
            </w:pPr>
            <w:r>
              <w:rPr>
                <w:rFonts w:hint="eastAsia"/>
                <w:color w:val="000000"/>
                <w:sz w:val="18"/>
                <w:szCs w:val="18"/>
              </w:rPr>
              <w:t>5.0</w:t>
            </w:r>
          </w:p>
        </w:tc>
        <w:tc>
          <w:tcPr>
            <w:tcW w:w="848" w:type="pct"/>
            <w:vAlign w:val="center"/>
          </w:tcPr>
          <w:p>
            <w:pPr>
              <w:pStyle w:val="10"/>
              <w:widowControl w:val="0"/>
              <w:ind w:firstLine="0" w:firstLineChars="0"/>
              <w:jc w:val="center"/>
              <w:rPr>
                <w:color w:val="000000"/>
                <w:sz w:val="18"/>
                <w:szCs w:val="18"/>
              </w:rPr>
            </w:pPr>
            <w:r>
              <w:rPr>
                <w:rFonts w:hint="eastAsia"/>
                <w:color w:val="000000"/>
                <w:sz w:val="18"/>
                <w:szCs w:val="18"/>
              </w:rPr>
              <w:t>3.0</w:t>
            </w:r>
          </w:p>
        </w:tc>
        <w:tc>
          <w:tcPr>
            <w:tcW w:w="836" w:type="pct"/>
            <w:vAlign w:val="center"/>
          </w:tcPr>
          <w:p>
            <w:pPr>
              <w:pStyle w:val="10"/>
              <w:widowControl w:val="0"/>
              <w:ind w:firstLine="0" w:firstLineChars="0"/>
              <w:jc w:val="center"/>
              <w:rPr>
                <w:color w:val="000000"/>
                <w:sz w:val="18"/>
                <w:szCs w:val="18"/>
              </w:rPr>
            </w:pPr>
            <w:r>
              <w:rPr>
                <w:rFonts w:hint="eastAsia"/>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pPr>
              <w:pStyle w:val="10"/>
              <w:widowControl w:val="0"/>
              <w:ind w:firstLine="0" w:firstLineChars="0"/>
              <w:jc w:val="center"/>
              <w:rPr>
                <w:color w:val="000000"/>
                <w:sz w:val="18"/>
                <w:szCs w:val="18"/>
              </w:rPr>
            </w:pPr>
            <w:r>
              <w:rPr>
                <w:rFonts w:hint="eastAsia"/>
                <w:color w:val="000000"/>
                <w:sz w:val="18"/>
                <w:szCs w:val="18"/>
              </w:rPr>
              <w:t>TJ-60</w:t>
            </w:r>
          </w:p>
        </w:tc>
        <w:tc>
          <w:tcPr>
            <w:tcW w:w="848" w:type="pct"/>
            <w:vAlign w:val="center"/>
          </w:tcPr>
          <w:p>
            <w:pPr>
              <w:pStyle w:val="10"/>
              <w:widowControl w:val="0"/>
              <w:ind w:firstLine="0" w:firstLineChars="0"/>
              <w:jc w:val="center"/>
              <w:rPr>
                <w:color w:val="000000"/>
                <w:sz w:val="18"/>
                <w:szCs w:val="18"/>
              </w:rPr>
            </w:pPr>
            <w:r>
              <w:rPr>
                <w:rFonts w:hint="eastAsia"/>
                <w:color w:val="000000"/>
                <w:sz w:val="18"/>
                <w:szCs w:val="18"/>
              </w:rPr>
              <w:t>60.0</w:t>
            </w:r>
          </w:p>
        </w:tc>
        <w:tc>
          <w:tcPr>
            <w:tcW w:w="835" w:type="pct"/>
            <w:vAlign w:val="center"/>
          </w:tcPr>
          <w:p>
            <w:pPr>
              <w:pStyle w:val="10"/>
              <w:widowControl w:val="0"/>
              <w:ind w:firstLine="0" w:firstLineChars="0"/>
              <w:jc w:val="center"/>
              <w:rPr>
                <w:color w:val="000000"/>
                <w:sz w:val="18"/>
                <w:szCs w:val="18"/>
              </w:rPr>
            </w:pPr>
            <w:r>
              <w:rPr>
                <w:color w:val="000000"/>
                <w:sz w:val="18"/>
                <w:szCs w:val="18"/>
              </w:rPr>
              <w:t>2</w:t>
            </w:r>
            <w:r>
              <w:rPr>
                <w:rFonts w:hint="eastAsia"/>
                <w:color w:val="000000"/>
                <w:sz w:val="18"/>
                <w:szCs w:val="18"/>
              </w:rPr>
              <w:t>5</w:t>
            </w:r>
            <w:r>
              <w:rPr>
                <w:color w:val="000000"/>
                <w:sz w:val="18"/>
                <w:szCs w:val="18"/>
              </w:rPr>
              <w:t>.</w:t>
            </w:r>
            <w:r>
              <w:rPr>
                <w:rFonts w:hint="eastAsia"/>
                <w:color w:val="000000"/>
                <w:sz w:val="18"/>
                <w:szCs w:val="18"/>
              </w:rPr>
              <w:t>0</w:t>
            </w:r>
          </w:p>
        </w:tc>
        <w:tc>
          <w:tcPr>
            <w:tcW w:w="835" w:type="pct"/>
            <w:vAlign w:val="center"/>
          </w:tcPr>
          <w:p>
            <w:pPr>
              <w:pStyle w:val="10"/>
              <w:widowControl w:val="0"/>
              <w:ind w:firstLine="0" w:firstLineChars="0"/>
              <w:jc w:val="center"/>
              <w:rPr>
                <w:color w:val="000000"/>
                <w:sz w:val="18"/>
                <w:szCs w:val="18"/>
              </w:rPr>
            </w:pPr>
            <w:r>
              <w:rPr>
                <w:rFonts w:hint="eastAsia"/>
                <w:color w:val="000000"/>
                <w:sz w:val="18"/>
                <w:szCs w:val="18"/>
              </w:rPr>
              <w:t>8.0</w:t>
            </w:r>
          </w:p>
        </w:tc>
        <w:tc>
          <w:tcPr>
            <w:tcW w:w="848" w:type="pct"/>
            <w:vAlign w:val="center"/>
          </w:tcPr>
          <w:p>
            <w:pPr>
              <w:pStyle w:val="10"/>
              <w:widowControl w:val="0"/>
              <w:ind w:firstLine="0" w:firstLineChars="0"/>
              <w:jc w:val="center"/>
              <w:rPr>
                <w:color w:val="000000"/>
                <w:sz w:val="18"/>
                <w:szCs w:val="18"/>
              </w:rPr>
            </w:pPr>
            <w:r>
              <w:rPr>
                <w:rFonts w:hint="eastAsia"/>
                <w:color w:val="000000"/>
                <w:sz w:val="18"/>
                <w:szCs w:val="18"/>
              </w:rPr>
              <w:t>4.0</w:t>
            </w:r>
          </w:p>
        </w:tc>
        <w:tc>
          <w:tcPr>
            <w:tcW w:w="836" w:type="pct"/>
            <w:vAlign w:val="center"/>
          </w:tcPr>
          <w:p>
            <w:pPr>
              <w:pStyle w:val="10"/>
              <w:widowControl w:val="0"/>
              <w:ind w:firstLine="0" w:firstLineChars="0"/>
              <w:jc w:val="center"/>
              <w:rPr>
                <w:color w:val="000000"/>
                <w:sz w:val="18"/>
                <w:szCs w:val="18"/>
              </w:rPr>
            </w:pPr>
            <w:r>
              <w:rPr>
                <w:rFonts w:hint="eastAsia"/>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pPr>
              <w:pStyle w:val="10"/>
              <w:widowControl w:val="0"/>
              <w:ind w:firstLine="0" w:firstLineChars="0"/>
              <w:jc w:val="center"/>
              <w:rPr>
                <w:color w:val="000000"/>
                <w:sz w:val="18"/>
                <w:szCs w:val="18"/>
              </w:rPr>
            </w:pPr>
            <w:r>
              <w:rPr>
                <w:rFonts w:hint="eastAsia"/>
                <w:color w:val="000000"/>
                <w:sz w:val="18"/>
                <w:szCs w:val="18"/>
              </w:rPr>
              <w:t>TJ-50</w:t>
            </w:r>
          </w:p>
        </w:tc>
        <w:tc>
          <w:tcPr>
            <w:tcW w:w="848" w:type="pct"/>
            <w:vAlign w:val="center"/>
          </w:tcPr>
          <w:p>
            <w:pPr>
              <w:pStyle w:val="10"/>
              <w:widowControl w:val="0"/>
              <w:ind w:firstLine="0" w:firstLineChars="0"/>
              <w:jc w:val="center"/>
              <w:rPr>
                <w:color w:val="000000"/>
                <w:sz w:val="18"/>
                <w:szCs w:val="18"/>
              </w:rPr>
            </w:pPr>
            <w:r>
              <w:rPr>
                <w:color w:val="000000"/>
                <w:sz w:val="18"/>
                <w:szCs w:val="18"/>
              </w:rPr>
              <w:t>5</w:t>
            </w:r>
            <w:r>
              <w:rPr>
                <w:rFonts w:hint="eastAsia"/>
                <w:color w:val="000000"/>
                <w:sz w:val="18"/>
                <w:szCs w:val="18"/>
              </w:rPr>
              <w:t>0</w:t>
            </w:r>
            <w:r>
              <w:rPr>
                <w:color w:val="000000"/>
                <w:sz w:val="18"/>
                <w:szCs w:val="18"/>
              </w:rPr>
              <w:t>.</w:t>
            </w:r>
            <w:r>
              <w:rPr>
                <w:rFonts w:hint="eastAsia"/>
                <w:color w:val="000000"/>
                <w:sz w:val="18"/>
                <w:szCs w:val="18"/>
              </w:rPr>
              <w:t>0</w:t>
            </w:r>
          </w:p>
        </w:tc>
        <w:tc>
          <w:tcPr>
            <w:tcW w:w="835" w:type="pct"/>
            <w:vAlign w:val="center"/>
          </w:tcPr>
          <w:p>
            <w:pPr>
              <w:pStyle w:val="10"/>
              <w:widowControl w:val="0"/>
              <w:ind w:firstLine="0" w:firstLineChars="0"/>
              <w:jc w:val="center"/>
              <w:rPr>
                <w:color w:val="000000"/>
                <w:sz w:val="18"/>
                <w:szCs w:val="18"/>
              </w:rPr>
            </w:pPr>
            <w:r>
              <w:rPr>
                <w:color w:val="000000"/>
                <w:sz w:val="18"/>
                <w:szCs w:val="18"/>
              </w:rPr>
              <w:t>2</w:t>
            </w:r>
            <w:r>
              <w:rPr>
                <w:rFonts w:hint="eastAsia"/>
                <w:color w:val="000000"/>
                <w:sz w:val="18"/>
                <w:szCs w:val="18"/>
              </w:rPr>
              <w:t>5</w:t>
            </w:r>
            <w:r>
              <w:rPr>
                <w:color w:val="000000"/>
                <w:sz w:val="18"/>
                <w:szCs w:val="18"/>
              </w:rPr>
              <w:t>.</w:t>
            </w:r>
            <w:r>
              <w:rPr>
                <w:rFonts w:hint="eastAsia"/>
                <w:color w:val="000000"/>
                <w:sz w:val="18"/>
                <w:szCs w:val="18"/>
              </w:rPr>
              <w:t>0</w:t>
            </w:r>
          </w:p>
        </w:tc>
        <w:tc>
          <w:tcPr>
            <w:tcW w:w="835" w:type="pct"/>
            <w:vAlign w:val="center"/>
          </w:tcPr>
          <w:p>
            <w:pPr>
              <w:pStyle w:val="10"/>
              <w:widowControl w:val="0"/>
              <w:ind w:firstLine="0" w:firstLineChars="0"/>
              <w:jc w:val="center"/>
              <w:rPr>
                <w:color w:val="000000"/>
                <w:sz w:val="18"/>
                <w:szCs w:val="18"/>
              </w:rPr>
            </w:pPr>
            <w:r>
              <w:rPr>
                <w:color w:val="000000"/>
                <w:sz w:val="18"/>
                <w:szCs w:val="18"/>
              </w:rPr>
              <w:t>10</w:t>
            </w:r>
            <w:r>
              <w:rPr>
                <w:rFonts w:hint="eastAsia"/>
                <w:color w:val="000000"/>
                <w:sz w:val="18"/>
                <w:szCs w:val="18"/>
              </w:rPr>
              <w:t>.0</w:t>
            </w:r>
          </w:p>
        </w:tc>
        <w:tc>
          <w:tcPr>
            <w:tcW w:w="848" w:type="pct"/>
            <w:vAlign w:val="center"/>
          </w:tcPr>
          <w:p>
            <w:pPr>
              <w:pStyle w:val="10"/>
              <w:widowControl w:val="0"/>
              <w:ind w:firstLine="0" w:firstLineChars="0"/>
              <w:jc w:val="center"/>
              <w:rPr>
                <w:color w:val="000000"/>
                <w:sz w:val="18"/>
                <w:szCs w:val="18"/>
              </w:rPr>
            </w:pPr>
            <w:r>
              <w:rPr>
                <w:rFonts w:hint="eastAsia"/>
                <w:color w:val="000000"/>
                <w:sz w:val="18"/>
                <w:szCs w:val="18"/>
              </w:rPr>
              <w:t>5.0</w:t>
            </w:r>
          </w:p>
        </w:tc>
        <w:tc>
          <w:tcPr>
            <w:tcW w:w="836" w:type="pct"/>
            <w:vAlign w:val="center"/>
          </w:tcPr>
          <w:p>
            <w:pPr>
              <w:pStyle w:val="10"/>
              <w:widowControl w:val="0"/>
              <w:ind w:firstLine="0" w:firstLineChars="0"/>
              <w:jc w:val="center"/>
              <w:rPr>
                <w:color w:val="000000"/>
                <w:sz w:val="18"/>
                <w:szCs w:val="18"/>
              </w:rPr>
            </w:pPr>
            <w:r>
              <w:rPr>
                <w:rFonts w:hint="eastAsia"/>
                <w:color w:val="000000"/>
                <w:sz w:val="18"/>
                <w:szCs w:val="18"/>
              </w:rPr>
              <w:t>2.5</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lang w:val="en-US" w:eastAsia="zh-CN"/>
        </w:rPr>
      </w:pPr>
    </w:p>
    <w:p>
      <w:pPr>
        <w:spacing w:line="360" w:lineRule="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2.2.2 物理性能指标</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铜精炼炉浇铸溜槽用耐火浇注料</w:t>
      </w:r>
      <w:r>
        <w:rPr>
          <w:rFonts w:hint="eastAsia" w:asciiTheme="minorEastAsia" w:hAnsiTheme="minorEastAsia" w:eastAsiaTheme="minorEastAsia" w:cstheme="minorEastAsia"/>
          <w:color w:val="000000"/>
          <w:sz w:val="21"/>
          <w:szCs w:val="21"/>
        </w:rPr>
        <w:t>应</w:t>
      </w:r>
      <w:r>
        <w:rPr>
          <w:rFonts w:hint="eastAsia" w:asciiTheme="minorEastAsia" w:hAnsiTheme="minorEastAsia" w:eastAsiaTheme="minorEastAsia" w:cstheme="minorEastAsia"/>
          <w:sz w:val="21"/>
          <w:szCs w:val="21"/>
        </w:rPr>
        <w:t>施工方便、强度发育快、耐冲刷、耐用性强</w:t>
      </w:r>
      <w:r>
        <w:rPr>
          <w:rFonts w:hint="eastAsia" w:asciiTheme="minorEastAsia" w:hAnsiTheme="minorEastAsia" w:eastAsiaTheme="minorEastAsia" w:cstheme="minorEastAsia"/>
          <w:color w:val="000000"/>
          <w:sz w:val="21"/>
          <w:szCs w:val="21"/>
        </w:rPr>
        <w:t>，其物理性能指标应符合表</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的规定。</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50" w:after="0" w:afterLines="50"/>
        <w:ind w:left="0"/>
        <w:jc w:val="center"/>
        <w:textAlignment w:val="auto"/>
        <w:rPr>
          <w:rFonts w:hint="eastAsia" w:ascii="Times New Roman" w:hAnsi="Times New Roman" w:eastAsia="黑体" w:cs="Times New Roman"/>
          <w:i w:val="0"/>
          <w:iCs w:val="0"/>
          <w:sz w:val="21"/>
          <w:szCs w:val="21"/>
          <w:lang w:val="en-US" w:eastAsia="zh-CN"/>
        </w:rPr>
      </w:pPr>
      <w:r>
        <w:rPr>
          <w:rFonts w:hint="eastAsia" w:ascii="Times New Roman" w:hAnsi="Times New Roman" w:eastAsia="黑体" w:cs="Times New Roman"/>
          <w:i w:val="0"/>
          <w:iCs w:val="0"/>
          <w:sz w:val="21"/>
          <w:szCs w:val="21"/>
          <w:lang w:val="en-US" w:eastAsia="zh-CN"/>
        </w:rPr>
        <w:t>表3 铜精炼炉浇铸溜槽用耐火浇注料的物理性能指标</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241"/>
        <w:gridCol w:w="1239"/>
        <w:gridCol w:w="1490"/>
        <w:gridCol w:w="1262"/>
        <w:gridCol w:w="113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vMerge w:val="restart"/>
            <w:vAlign w:val="center"/>
          </w:tcPr>
          <w:p>
            <w:pPr>
              <w:pStyle w:val="10"/>
              <w:widowControl w:val="0"/>
              <w:ind w:firstLine="0" w:firstLineChars="0"/>
              <w:jc w:val="center"/>
              <w:rPr>
                <w:color w:val="000000"/>
                <w:sz w:val="18"/>
                <w:szCs w:val="18"/>
              </w:rPr>
            </w:pPr>
            <w:r>
              <w:rPr>
                <w:color w:val="000000"/>
                <w:sz w:val="18"/>
                <w:szCs w:val="18"/>
              </w:rPr>
              <w:t>牌号</w:t>
            </w:r>
          </w:p>
        </w:tc>
        <w:tc>
          <w:tcPr>
            <w:tcW w:w="728" w:type="pct"/>
            <w:vMerge w:val="restart"/>
            <w:vAlign w:val="center"/>
          </w:tcPr>
          <w:p>
            <w:pPr>
              <w:pStyle w:val="10"/>
              <w:widowControl w:val="0"/>
              <w:ind w:firstLine="0" w:firstLineChars="0"/>
              <w:jc w:val="center"/>
              <w:rPr>
                <w:color w:val="000000"/>
                <w:sz w:val="18"/>
                <w:szCs w:val="18"/>
              </w:rPr>
            </w:pPr>
            <w:r>
              <w:rPr>
                <w:rFonts w:hint="eastAsia"/>
                <w:color w:val="000000"/>
                <w:sz w:val="18"/>
                <w:szCs w:val="18"/>
              </w:rPr>
              <w:t>体积密度</w:t>
            </w:r>
          </w:p>
          <w:p>
            <w:pPr>
              <w:pStyle w:val="10"/>
              <w:widowControl w:val="0"/>
              <w:ind w:firstLine="0" w:firstLineChars="0"/>
              <w:jc w:val="center"/>
              <w:rPr>
                <w:color w:val="000000"/>
                <w:sz w:val="18"/>
                <w:szCs w:val="18"/>
              </w:rPr>
            </w:pPr>
            <w:r>
              <w:rPr>
                <w:color w:val="000000"/>
                <w:sz w:val="18"/>
                <w:szCs w:val="18"/>
              </w:rPr>
              <w:t>不小于</w:t>
            </w:r>
            <w:r>
              <w:rPr>
                <w:rFonts w:hint="eastAsia"/>
                <w:color w:val="000000"/>
                <w:sz w:val="18"/>
                <w:szCs w:val="18"/>
              </w:rPr>
              <w:t>g/cm</w:t>
            </w:r>
            <w:r>
              <w:rPr>
                <w:rFonts w:hint="eastAsia"/>
                <w:color w:val="000000"/>
                <w:sz w:val="18"/>
                <w:szCs w:val="18"/>
                <w:vertAlign w:val="superscript"/>
              </w:rPr>
              <w:t>3</w:t>
            </w:r>
          </w:p>
        </w:tc>
        <w:tc>
          <w:tcPr>
            <w:tcW w:w="1601" w:type="pct"/>
            <w:gridSpan w:val="2"/>
            <w:vAlign w:val="center"/>
          </w:tcPr>
          <w:p>
            <w:pPr>
              <w:pStyle w:val="10"/>
              <w:widowControl w:val="0"/>
              <w:ind w:firstLine="0" w:firstLineChars="0"/>
              <w:jc w:val="center"/>
              <w:rPr>
                <w:color w:val="000000"/>
                <w:sz w:val="18"/>
                <w:szCs w:val="18"/>
              </w:rPr>
            </w:pPr>
            <w:r>
              <w:rPr>
                <w:rFonts w:hint="eastAsia"/>
                <w:color w:val="000000"/>
                <w:sz w:val="18"/>
                <w:szCs w:val="18"/>
              </w:rPr>
              <w:t xml:space="preserve">耐压强度  </w:t>
            </w:r>
            <w:r>
              <w:rPr>
                <w:color w:val="000000"/>
                <w:sz w:val="18"/>
                <w:szCs w:val="18"/>
              </w:rPr>
              <w:t>不小于N/mm</w:t>
            </w:r>
            <w:r>
              <w:rPr>
                <w:color w:val="000000"/>
                <w:sz w:val="18"/>
                <w:szCs w:val="18"/>
                <w:vertAlign w:val="superscript"/>
              </w:rPr>
              <w:t>2</w:t>
            </w:r>
          </w:p>
        </w:tc>
        <w:tc>
          <w:tcPr>
            <w:tcW w:w="740" w:type="pct"/>
            <w:vMerge w:val="restart"/>
            <w:vAlign w:val="center"/>
          </w:tcPr>
          <w:p>
            <w:pPr>
              <w:pStyle w:val="10"/>
              <w:widowControl w:val="0"/>
              <w:ind w:firstLine="0" w:firstLineChars="0"/>
              <w:jc w:val="center"/>
              <w:rPr>
                <w:color w:val="000000"/>
                <w:sz w:val="18"/>
                <w:szCs w:val="18"/>
              </w:rPr>
            </w:pPr>
            <w:r>
              <w:rPr>
                <w:rFonts w:hint="eastAsia"/>
                <w:color w:val="000000"/>
                <w:sz w:val="18"/>
                <w:szCs w:val="18"/>
              </w:rPr>
              <w:t>重烧线变化</w:t>
            </w:r>
          </w:p>
          <w:p>
            <w:pPr>
              <w:pStyle w:val="10"/>
              <w:widowControl w:val="0"/>
              <w:ind w:firstLine="0" w:firstLineChars="0"/>
              <w:jc w:val="center"/>
              <w:rPr>
                <w:color w:val="000000"/>
                <w:sz w:val="18"/>
                <w:szCs w:val="18"/>
              </w:rPr>
            </w:pPr>
            <w:r>
              <w:rPr>
                <w:rFonts w:hint="eastAsia"/>
                <w:color w:val="000000"/>
                <w:sz w:val="18"/>
                <w:szCs w:val="18"/>
              </w:rPr>
              <w:t>(试验温度×3h)/</w:t>
            </w:r>
            <w:r>
              <w:rPr>
                <w:color w:val="000000"/>
                <w:sz w:val="18"/>
                <w:szCs w:val="18"/>
              </w:rPr>
              <w:t>%</w:t>
            </w:r>
          </w:p>
        </w:tc>
        <w:tc>
          <w:tcPr>
            <w:tcW w:w="666" w:type="pct"/>
            <w:vMerge w:val="restart"/>
            <w:vAlign w:val="center"/>
          </w:tcPr>
          <w:p>
            <w:pPr>
              <w:pStyle w:val="10"/>
              <w:widowControl w:val="0"/>
              <w:ind w:firstLine="0" w:firstLineChars="0"/>
              <w:jc w:val="center"/>
              <w:rPr>
                <w:color w:val="000000"/>
                <w:sz w:val="18"/>
                <w:szCs w:val="18"/>
              </w:rPr>
            </w:pPr>
            <w:r>
              <w:rPr>
                <w:rFonts w:hint="eastAsia"/>
                <w:color w:val="000000"/>
                <w:sz w:val="18"/>
                <w:szCs w:val="18"/>
              </w:rPr>
              <w:t>推荐使用温度</w:t>
            </w:r>
            <w:r>
              <w:rPr>
                <w:color w:val="000000"/>
                <w:sz w:val="18"/>
                <w:szCs w:val="18"/>
              </w:rPr>
              <w:t>不小于</w:t>
            </w:r>
            <w:r>
              <w:rPr>
                <w:rFonts w:hint="eastAsia"/>
                <w:color w:val="000000"/>
                <w:sz w:val="18"/>
                <w:szCs w:val="18"/>
              </w:rPr>
              <w:t xml:space="preserve"> ℃</w:t>
            </w:r>
          </w:p>
        </w:tc>
        <w:tc>
          <w:tcPr>
            <w:tcW w:w="573" w:type="pct"/>
            <w:vMerge w:val="restart"/>
            <w:vAlign w:val="center"/>
          </w:tcPr>
          <w:p>
            <w:pPr>
              <w:pStyle w:val="10"/>
              <w:widowControl w:val="0"/>
              <w:ind w:firstLine="0" w:firstLineChars="0"/>
              <w:jc w:val="center"/>
              <w:rPr>
                <w:color w:val="000000"/>
                <w:sz w:val="18"/>
                <w:szCs w:val="18"/>
              </w:rPr>
            </w:pPr>
            <w:r>
              <w:rPr>
                <w:rFonts w:hint="eastAsia"/>
                <w:color w:val="000000"/>
                <w:sz w:val="18"/>
                <w:szCs w:val="18"/>
              </w:rPr>
              <w:t>颗粒尺寸</w:t>
            </w:r>
          </w:p>
          <w:p>
            <w:pPr>
              <w:pStyle w:val="10"/>
              <w:widowControl w:val="0"/>
              <w:ind w:firstLine="0" w:firstLineChars="0"/>
              <w:jc w:val="center"/>
              <w:rPr>
                <w:color w:val="000000"/>
                <w:sz w:val="18"/>
                <w:szCs w:val="18"/>
              </w:rPr>
            </w:pPr>
            <w:r>
              <w:rPr>
                <w:rFonts w:hint="eastAsia"/>
                <w:color w:val="00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vMerge w:val="continue"/>
            <w:vAlign w:val="center"/>
          </w:tcPr>
          <w:p>
            <w:pPr>
              <w:pStyle w:val="10"/>
              <w:widowControl w:val="0"/>
              <w:ind w:firstLine="0" w:firstLineChars="0"/>
              <w:jc w:val="center"/>
              <w:rPr>
                <w:color w:val="000000"/>
                <w:sz w:val="18"/>
                <w:szCs w:val="18"/>
              </w:rPr>
            </w:pPr>
          </w:p>
        </w:tc>
        <w:tc>
          <w:tcPr>
            <w:tcW w:w="728" w:type="pct"/>
            <w:vMerge w:val="continue"/>
            <w:vAlign w:val="center"/>
          </w:tcPr>
          <w:p>
            <w:pPr>
              <w:pStyle w:val="10"/>
              <w:widowControl w:val="0"/>
              <w:ind w:firstLine="0" w:firstLineChars="0"/>
              <w:jc w:val="center"/>
              <w:rPr>
                <w:color w:val="000000"/>
                <w:sz w:val="18"/>
                <w:szCs w:val="18"/>
              </w:rPr>
            </w:pPr>
          </w:p>
        </w:tc>
        <w:tc>
          <w:tcPr>
            <w:tcW w:w="727" w:type="pct"/>
            <w:vAlign w:val="center"/>
          </w:tcPr>
          <w:p>
            <w:pPr>
              <w:pStyle w:val="10"/>
              <w:widowControl w:val="0"/>
              <w:ind w:firstLine="0" w:firstLineChars="0"/>
              <w:jc w:val="center"/>
              <w:rPr>
                <w:color w:val="000000"/>
                <w:sz w:val="18"/>
                <w:szCs w:val="18"/>
              </w:rPr>
            </w:pPr>
            <w:r>
              <w:rPr>
                <w:rFonts w:hint="eastAsia"/>
                <w:color w:val="000000"/>
                <w:sz w:val="18"/>
                <w:szCs w:val="18"/>
              </w:rPr>
              <w:t>110℃×24h</w:t>
            </w:r>
          </w:p>
        </w:tc>
        <w:tc>
          <w:tcPr>
            <w:tcW w:w="874" w:type="pct"/>
            <w:vAlign w:val="center"/>
          </w:tcPr>
          <w:p>
            <w:pPr>
              <w:pStyle w:val="10"/>
              <w:widowControl w:val="0"/>
              <w:ind w:firstLine="0" w:firstLineChars="0"/>
              <w:jc w:val="center"/>
              <w:rPr>
                <w:color w:val="000000"/>
                <w:sz w:val="18"/>
                <w:szCs w:val="18"/>
              </w:rPr>
            </w:pPr>
            <w:r>
              <w:rPr>
                <w:rFonts w:hint="eastAsia"/>
                <w:color w:val="000000"/>
                <w:sz w:val="18"/>
                <w:szCs w:val="18"/>
              </w:rPr>
              <w:t>试验温度×3h</w:t>
            </w:r>
          </w:p>
        </w:tc>
        <w:tc>
          <w:tcPr>
            <w:tcW w:w="740" w:type="pct"/>
            <w:vMerge w:val="continue"/>
            <w:vAlign w:val="center"/>
          </w:tcPr>
          <w:p>
            <w:pPr>
              <w:pStyle w:val="10"/>
              <w:widowControl w:val="0"/>
              <w:ind w:firstLine="0" w:firstLineChars="0"/>
              <w:jc w:val="center"/>
              <w:rPr>
                <w:color w:val="000000"/>
                <w:sz w:val="18"/>
                <w:szCs w:val="18"/>
              </w:rPr>
            </w:pPr>
          </w:p>
        </w:tc>
        <w:tc>
          <w:tcPr>
            <w:tcW w:w="666" w:type="pct"/>
            <w:vMerge w:val="continue"/>
            <w:vAlign w:val="center"/>
          </w:tcPr>
          <w:p>
            <w:pPr>
              <w:pStyle w:val="10"/>
              <w:widowControl w:val="0"/>
              <w:ind w:firstLine="0" w:firstLineChars="0"/>
              <w:jc w:val="center"/>
              <w:rPr>
                <w:color w:val="000000"/>
                <w:sz w:val="18"/>
                <w:szCs w:val="18"/>
              </w:rPr>
            </w:pPr>
          </w:p>
        </w:tc>
        <w:tc>
          <w:tcPr>
            <w:tcW w:w="573" w:type="pct"/>
            <w:vMerge w:val="continue"/>
            <w:vAlign w:val="center"/>
          </w:tcPr>
          <w:p>
            <w:pPr>
              <w:pStyle w:val="10"/>
              <w:widowControl w:val="0"/>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vAlign w:val="center"/>
          </w:tcPr>
          <w:p>
            <w:pPr>
              <w:pStyle w:val="10"/>
              <w:widowControl w:val="0"/>
              <w:ind w:firstLine="0" w:firstLineChars="0"/>
              <w:jc w:val="center"/>
              <w:rPr>
                <w:color w:val="000000"/>
                <w:sz w:val="18"/>
                <w:szCs w:val="18"/>
              </w:rPr>
            </w:pPr>
            <w:r>
              <w:rPr>
                <w:rFonts w:hint="eastAsia"/>
                <w:color w:val="000000"/>
                <w:sz w:val="18"/>
                <w:szCs w:val="18"/>
              </w:rPr>
              <w:t>TJ-70</w:t>
            </w:r>
          </w:p>
        </w:tc>
        <w:tc>
          <w:tcPr>
            <w:tcW w:w="728" w:type="pct"/>
            <w:vAlign w:val="center"/>
          </w:tcPr>
          <w:p>
            <w:pPr>
              <w:pStyle w:val="10"/>
              <w:widowControl w:val="0"/>
              <w:ind w:firstLine="0" w:firstLineChars="0"/>
              <w:jc w:val="center"/>
              <w:rPr>
                <w:color w:val="000000"/>
                <w:sz w:val="18"/>
                <w:szCs w:val="18"/>
              </w:rPr>
            </w:pPr>
            <w:r>
              <w:rPr>
                <w:rFonts w:hint="eastAsia"/>
                <w:color w:val="000000"/>
                <w:sz w:val="18"/>
                <w:szCs w:val="18"/>
              </w:rPr>
              <w:t>2.50</w:t>
            </w:r>
          </w:p>
        </w:tc>
        <w:tc>
          <w:tcPr>
            <w:tcW w:w="727" w:type="pct"/>
            <w:vAlign w:val="center"/>
          </w:tcPr>
          <w:p>
            <w:pPr>
              <w:pStyle w:val="10"/>
              <w:widowControl w:val="0"/>
              <w:ind w:firstLine="0" w:firstLineChars="0"/>
              <w:jc w:val="center"/>
              <w:rPr>
                <w:color w:val="000000"/>
                <w:sz w:val="18"/>
                <w:szCs w:val="18"/>
              </w:rPr>
            </w:pPr>
            <w:r>
              <w:rPr>
                <w:rFonts w:hint="eastAsia"/>
                <w:color w:val="000000"/>
                <w:sz w:val="18"/>
                <w:szCs w:val="18"/>
              </w:rPr>
              <w:t>40</w:t>
            </w:r>
          </w:p>
        </w:tc>
        <w:tc>
          <w:tcPr>
            <w:tcW w:w="874" w:type="pct"/>
            <w:vAlign w:val="center"/>
          </w:tcPr>
          <w:p>
            <w:pPr>
              <w:pStyle w:val="10"/>
              <w:widowControl w:val="0"/>
              <w:ind w:firstLine="0" w:firstLineChars="0"/>
              <w:jc w:val="center"/>
              <w:rPr>
                <w:color w:val="000000"/>
                <w:sz w:val="18"/>
                <w:szCs w:val="18"/>
              </w:rPr>
            </w:pPr>
            <w:r>
              <w:rPr>
                <w:rFonts w:hint="eastAsia"/>
                <w:color w:val="000000"/>
                <w:sz w:val="18"/>
                <w:szCs w:val="18"/>
              </w:rPr>
              <w:t>55</w:t>
            </w:r>
          </w:p>
          <w:p>
            <w:pPr>
              <w:pStyle w:val="10"/>
              <w:widowControl w:val="0"/>
              <w:ind w:firstLine="0" w:firstLineChars="0"/>
              <w:jc w:val="center"/>
              <w:rPr>
                <w:color w:val="000000"/>
                <w:sz w:val="18"/>
                <w:szCs w:val="18"/>
              </w:rPr>
            </w:pPr>
            <w:r>
              <w:rPr>
                <w:rFonts w:hint="eastAsia"/>
                <w:color w:val="000000"/>
                <w:sz w:val="18"/>
                <w:szCs w:val="18"/>
              </w:rPr>
              <w:t>(1300℃)</w:t>
            </w:r>
          </w:p>
        </w:tc>
        <w:tc>
          <w:tcPr>
            <w:tcW w:w="740" w:type="pct"/>
            <w:vAlign w:val="center"/>
          </w:tcPr>
          <w:p>
            <w:pPr>
              <w:pStyle w:val="10"/>
              <w:widowControl w:val="0"/>
              <w:ind w:firstLine="0" w:firstLineChars="0"/>
              <w:jc w:val="center"/>
              <w:rPr>
                <w:color w:val="000000"/>
                <w:sz w:val="18"/>
                <w:szCs w:val="18"/>
              </w:rPr>
            </w:pPr>
            <w:r>
              <w:rPr>
                <w:rFonts w:hint="eastAsia"/>
                <w:color w:val="000000"/>
                <w:sz w:val="18"/>
                <w:szCs w:val="18"/>
              </w:rPr>
              <w:t>±</w:t>
            </w:r>
            <w:r>
              <w:rPr>
                <w:color w:val="000000"/>
                <w:sz w:val="18"/>
                <w:szCs w:val="18"/>
              </w:rPr>
              <w:t>0.5</w:t>
            </w:r>
          </w:p>
          <w:p>
            <w:pPr>
              <w:pStyle w:val="10"/>
              <w:widowControl w:val="0"/>
              <w:ind w:firstLine="0" w:firstLineChars="0"/>
              <w:jc w:val="center"/>
              <w:rPr>
                <w:color w:val="000000"/>
                <w:sz w:val="18"/>
                <w:szCs w:val="18"/>
              </w:rPr>
            </w:pPr>
            <w:r>
              <w:rPr>
                <w:rFonts w:hint="eastAsia"/>
                <w:color w:val="000000"/>
                <w:sz w:val="18"/>
                <w:szCs w:val="18"/>
              </w:rPr>
              <w:t>(1300℃)</w:t>
            </w:r>
          </w:p>
        </w:tc>
        <w:tc>
          <w:tcPr>
            <w:tcW w:w="666" w:type="pct"/>
            <w:vAlign w:val="center"/>
          </w:tcPr>
          <w:p>
            <w:pPr>
              <w:pStyle w:val="10"/>
              <w:widowControl w:val="0"/>
              <w:ind w:firstLine="0" w:firstLineChars="0"/>
              <w:jc w:val="center"/>
              <w:rPr>
                <w:color w:val="000000"/>
                <w:sz w:val="18"/>
                <w:szCs w:val="18"/>
              </w:rPr>
            </w:pPr>
            <w:r>
              <w:rPr>
                <w:rFonts w:hint="eastAsia"/>
                <w:color w:val="000000"/>
                <w:sz w:val="18"/>
                <w:szCs w:val="18"/>
              </w:rPr>
              <w:t>1300</w:t>
            </w:r>
          </w:p>
        </w:tc>
        <w:tc>
          <w:tcPr>
            <w:tcW w:w="573" w:type="pct"/>
            <w:vAlign w:val="center"/>
          </w:tcPr>
          <w:p>
            <w:pPr>
              <w:pStyle w:val="10"/>
              <w:widowControl w:val="0"/>
              <w:ind w:firstLine="0" w:firstLineChars="0"/>
              <w:jc w:val="center"/>
              <w:rPr>
                <w:color w:val="000000"/>
                <w:sz w:val="18"/>
                <w:szCs w:val="18"/>
              </w:rPr>
            </w:pPr>
            <w:r>
              <w:rPr>
                <w:rFonts w:hint="eastAsia"/>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vAlign w:val="center"/>
          </w:tcPr>
          <w:p>
            <w:pPr>
              <w:pStyle w:val="10"/>
              <w:widowControl w:val="0"/>
              <w:ind w:firstLine="0" w:firstLineChars="0"/>
              <w:jc w:val="center"/>
              <w:rPr>
                <w:color w:val="000000"/>
                <w:sz w:val="18"/>
                <w:szCs w:val="18"/>
              </w:rPr>
            </w:pPr>
            <w:r>
              <w:rPr>
                <w:rFonts w:hint="eastAsia"/>
                <w:color w:val="000000"/>
                <w:sz w:val="18"/>
                <w:szCs w:val="18"/>
              </w:rPr>
              <w:t>TJ-60</w:t>
            </w:r>
          </w:p>
        </w:tc>
        <w:tc>
          <w:tcPr>
            <w:tcW w:w="728" w:type="pct"/>
            <w:vAlign w:val="center"/>
          </w:tcPr>
          <w:p>
            <w:pPr>
              <w:pStyle w:val="10"/>
              <w:widowControl w:val="0"/>
              <w:ind w:firstLine="0" w:firstLineChars="0"/>
              <w:jc w:val="center"/>
              <w:rPr>
                <w:color w:val="000000"/>
                <w:sz w:val="18"/>
                <w:szCs w:val="18"/>
              </w:rPr>
            </w:pPr>
            <w:r>
              <w:rPr>
                <w:rFonts w:hint="eastAsia"/>
                <w:color w:val="000000"/>
                <w:sz w:val="18"/>
                <w:szCs w:val="18"/>
              </w:rPr>
              <w:t>2.30</w:t>
            </w:r>
          </w:p>
        </w:tc>
        <w:tc>
          <w:tcPr>
            <w:tcW w:w="727" w:type="pct"/>
            <w:vAlign w:val="center"/>
          </w:tcPr>
          <w:p>
            <w:pPr>
              <w:pStyle w:val="10"/>
              <w:widowControl w:val="0"/>
              <w:ind w:firstLine="0" w:firstLineChars="0"/>
              <w:jc w:val="center"/>
              <w:rPr>
                <w:color w:val="000000"/>
                <w:sz w:val="18"/>
                <w:szCs w:val="18"/>
              </w:rPr>
            </w:pPr>
            <w:r>
              <w:rPr>
                <w:rFonts w:hint="eastAsia"/>
                <w:color w:val="000000"/>
                <w:sz w:val="18"/>
                <w:szCs w:val="18"/>
              </w:rPr>
              <w:t>35</w:t>
            </w:r>
          </w:p>
        </w:tc>
        <w:tc>
          <w:tcPr>
            <w:tcW w:w="874" w:type="pct"/>
            <w:vAlign w:val="center"/>
          </w:tcPr>
          <w:p>
            <w:pPr>
              <w:pStyle w:val="10"/>
              <w:widowControl w:val="0"/>
              <w:ind w:firstLine="0" w:firstLineChars="0"/>
              <w:jc w:val="center"/>
              <w:rPr>
                <w:color w:val="000000"/>
                <w:sz w:val="18"/>
                <w:szCs w:val="18"/>
              </w:rPr>
            </w:pPr>
            <w:r>
              <w:rPr>
                <w:rFonts w:hint="eastAsia"/>
                <w:color w:val="000000"/>
                <w:sz w:val="18"/>
                <w:szCs w:val="18"/>
              </w:rPr>
              <w:t>45</w:t>
            </w:r>
          </w:p>
          <w:p>
            <w:pPr>
              <w:pStyle w:val="10"/>
              <w:widowControl w:val="0"/>
              <w:ind w:firstLine="0" w:firstLineChars="0"/>
              <w:jc w:val="center"/>
              <w:rPr>
                <w:color w:val="000000"/>
                <w:sz w:val="18"/>
                <w:szCs w:val="18"/>
              </w:rPr>
            </w:pPr>
            <w:r>
              <w:rPr>
                <w:rFonts w:hint="eastAsia"/>
                <w:color w:val="000000"/>
                <w:sz w:val="18"/>
                <w:szCs w:val="18"/>
              </w:rPr>
              <w:t>(1200℃)</w:t>
            </w:r>
          </w:p>
        </w:tc>
        <w:tc>
          <w:tcPr>
            <w:tcW w:w="740" w:type="pct"/>
            <w:vAlign w:val="center"/>
          </w:tcPr>
          <w:p>
            <w:pPr>
              <w:pStyle w:val="10"/>
              <w:widowControl w:val="0"/>
              <w:ind w:firstLine="0" w:firstLineChars="0"/>
              <w:jc w:val="center"/>
              <w:rPr>
                <w:color w:val="000000"/>
                <w:sz w:val="18"/>
                <w:szCs w:val="18"/>
              </w:rPr>
            </w:pPr>
            <w:r>
              <w:rPr>
                <w:rFonts w:hint="eastAsia"/>
                <w:color w:val="000000"/>
                <w:sz w:val="18"/>
                <w:szCs w:val="18"/>
              </w:rPr>
              <w:t>±</w:t>
            </w:r>
            <w:r>
              <w:rPr>
                <w:color w:val="000000"/>
                <w:sz w:val="18"/>
                <w:szCs w:val="18"/>
              </w:rPr>
              <w:t>0.5</w:t>
            </w:r>
          </w:p>
          <w:p>
            <w:pPr>
              <w:pStyle w:val="10"/>
              <w:widowControl w:val="0"/>
              <w:ind w:firstLine="0" w:firstLineChars="0"/>
              <w:jc w:val="center"/>
              <w:rPr>
                <w:color w:val="000000"/>
                <w:sz w:val="18"/>
                <w:szCs w:val="18"/>
              </w:rPr>
            </w:pPr>
            <w:r>
              <w:rPr>
                <w:rFonts w:hint="eastAsia"/>
                <w:color w:val="000000"/>
                <w:sz w:val="18"/>
                <w:szCs w:val="18"/>
              </w:rPr>
              <w:t>(1200℃)</w:t>
            </w:r>
          </w:p>
        </w:tc>
        <w:tc>
          <w:tcPr>
            <w:tcW w:w="666" w:type="pct"/>
            <w:vAlign w:val="center"/>
          </w:tcPr>
          <w:p>
            <w:pPr>
              <w:pStyle w:val="10"/>
              <w:widowControl w:val="0"/>
              <w:ind w:firstLine="0" w:firstLineChars="0"/>
              <w:jc w:val="center"/>
              <w:rPr>
                <w:color w:val="000000"/>
                <w:sz w:val="18"/>
                <w:szCs w:val="18"/>
              </w:rPr>
            </w:pPr>
            <w:r>
              <w:rPr>
                <w:rFonts w:hint="eastAsia"/>
                <w:color w:val="000000"/>
                <w:sz w:val="18"/>
                <w:szCs w:val="18"/>
              </w:rPr>
              <w:t>1200</w:t>
            </w:r>
          </w:p>
        </w:tc>
        <w:tc>
          <w:tcPr>
            <w:tcW w:w="573" w:type="pct"/>
            <w:vAlign w:val="center"/>
          </w:tcPr>
          <w:p>
            <w:pPr>
              <w:pStyle w:val="10"/>
              <w:widowControl w:val="0"/>
              <w:ind w:firstLine="0" w:firstLineChars="0"/>
              <w:jc w:val="center"/>
              <w:rPr>
                <w:color w:val="000000"/>
                <w:sz w:val="18"/>
                <w:szCs w:val="18"/>
              </w:rPr>
            </w:pPr>
            <w:r>
              <w:rPr>
                <w:rFonts w:hint="eastAsia"/>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vAlign w:val="center"/>
          </w:tcPr>
          <w:p>
            <w:pPr>
              <w:pStyle w:val="10"/>
              <w:widowControl w:val="0"/>
              <w:ind w:firstLine="0" w:firstLineChars="0"/>
              <w:jc w:val="center"/>
              <w:rPr>
                <w:color w:val="000000"/>
                <w:sz w:val="18"/>
                <w:szCs w:val="18"/>
              </w:rPr>
            </w:pPr>
            <w:r>
              <w:rPr>
                <w:rFonts w:hint="eastAsia"/>
                <w:color w:val="000000"/>
                <w:sz w:val="18"/>
                <w:szCs w:val="18"/>
              </w:rPr>
              <w:t>TJ-50</w:t>
            </w:r>
          </w:p>
        </w:tc>
        <w:tc>
          <w:tcPr>
            <w:tcW w:w="728" w:type="pct"/>
            <w:vAlign w:val="center"/>
          </w:tcPr>
          <w:p>
            <w:pPr>
              <w:pStyle w:val="10"/>
              <w:widowControl w:val="0"/>
              <w:ind w:firstLine="0" w:firstLineChars="0"/>
              <w:jc w:val="center"/>
              <w:rPr>
                <w:color w:val="000000"/>
                <w:sz w:val="18"/>
                <w:szCs w:val="18"/>
              </w:rPr>
            </w:pPr>
            <w:r>
              <w:rPr>
                <w:rFonts w:hint="eastAsia"/>
                <w:color w:val="000000"/>
                <w:sz w:val="18"/>
                <w:szCs w:val="18"/>
              </w:rPr>
              <w:t>2.15</w:t>
            </w:r>
          </w:p>
        </w:tc>
        <w:tc>
          <w:tcPr>
            <w:tcW w:w="727" w:type="pct"/>
            <w:vAlign w:val="center"/>
          </w:tcPr>
          <w:p>
            <w:pPr>
              <w:pStyle w:val="10"/>
              <w:widowControl w:val="0"/>
              <w:ind w:firstLine="0" w:firstLineChars="0"/>
              <w:jc w:val="center"/>
              <w:rPr>
                <w:color w:val="000000"/>
                <w:sz w:val="18"/>
                <w:szCs w:val="18"/>
              </w:rPr>
            </w:pPr>
            <w:r>
              <w:rPr>
                <w:rFonts w:hint="eastAsia"/>
                <w:color w:val="000000"/>
                <w:sz w:val="18"/>
                <w:szCs w:val="18"/>
              </w:rPr>
              <w:t>26</w:t>
            </w:r>
          </w:p>
        </w:tc>
        <w:tc>
          <w:tcPr>
            <w:tcW w:w="874" w:type="pct"/>
            <w:vAlign w:val="center"/>
          </w:tcPr>
          <w:p>
            <w:pPr>
              <w:pStyle w:val="10"/>
              <w:widowControl w:val="0"/>
              <w:ind w:firstLine="0" w:firstLineChars="0"/>
              <w:jc w:val="center"/>
              <w:rPr>
                <w:color w:val="000000"/>
                <w:sz w:val="18"/>
                <w:szCs w:val="18"/>
              </w:rPr>
            </w:pPr>
            <w:r>
              <w:rPr>
                <w:rFonts w:hint="eastAsia"/>
                <w:color w:val="000000"/>
                <w:sz w:val="18"/>
                <w:szCs w:val="18"/>
              </w:rPr>
              <w:t>40</w:t>
            </w:r>
          </w:p>
          <w:p>
            <w:pPr>
              <w:pStyle w:val="10"/>
              <w:widowControl w:val="0"/>
              <w:ind w:firstLine="0" w:firstLineChars="0"/>
              <w:jc w:val="center"/>
              <w:rPr>
                <w:color w:val="000000"/>
                <w:sz w:val="18"/>
                <w:szCs w:val="18"/>
              </w:rPr>
            </w:pPr>
            <w:r>
              <w:rPr>
                <w:rFonts w:hint="eastAsia"/>
                <w:color w:val="000000"/>
                <w:sz w:val="18"/>
                <w:szCs w:val="18"/>
              </w:rPr>
              <w:t>(1150℃)</w:t>
            </w:r>
          </w:p>
        </w:tc>
        <w:tc>
          <w:tcPr>
            <w:tcW w:w="740" w:type="pct"/>
            <w:vAlign w:val="center"/>
          </w:tcPr>
          <w:p>
            <w:pPr>
              <w:pStyle w:val="10"/>
              <w:widowControl w:val="0"/>
              <w:ind w:firstLine="0" w:firstLineChars="0"/>
              <w:jc w:val="center"/>
              <w:rPr>
                <w:color w:val="000000"/>
                <w:sz w:val="18"/>
                <w:szCs w:val="18"/>
              </w:rPr>
            </w:pPr>
            <w:r>
              <w:rPr>
                <w:rFonts w:hint="eastAsia"/>
                <w:color w:val="000000"/>
                <w:sz w:val="18"/>
                <w:szCs w:val="18"/>
              </w:rPr>
              <w:t>0～1.0</w:t>
            </w:r>
          </w:p>
          <w:p>
            <w:pPr>
              <w:pStyle w:val="10"/>
              <w:widowControl w:val="0"/>
              <w:ind w:firstLine="0" w:firstLineChars="0"/>
              <w:jc w:val="center"/>
              <w:rPr>
                <w:color w:val="000000"/>
                <w:sz w:val="18"/>
                <w:szCs w:val="18"/>
              </w:rPr>
            </w:pPr>
            <w:r>
              <w:rPr>
                <w:rFonts w:hint="eastAsia"/>
                <w:color w:val="000000"/>
                <w:sz w:val="18"/>
                <w:szCs w:val="18"/>
              </w:rPr>
              <w:t>(1150℃)</w:t>
            </w:r>
          </w:p>
        </w:tc>
        <w:tc>
          <w:tcPr>
            <w:tcW w:w="666" w:type="pct"/>
            <w:vAlign w:val="center"/>
          </w:tcPr>
          <w:p>
            <w:pPr>
              <w:pStyle w:val="10"/>
              <w:widowControl w:val="0"/>
              <w:ind w:firstLine="0" w:firstLineChars="0"/>
              <w:jc w:val="center"/>
              <w:rPr>
                <w:color w:val="000000"/>
                <w:sz w:val="18"/>
                <w:szCs w:val="18"/>
              </w:rPr>
            </w:pPr>
            <w:r>
              <w:rPr>
                <w:rFonts w:hint="eastAsia"/>
                <w:color w:val="000000"/>
                <w:sz w:val="18"/>
                <w:szCs w:val="18"/>
              </w:rPr>
              <w:t>1150</w:t>
            </w:r>
          </w:p>
        </w:tc>
        <w:tc>
          <w:tcPr>
            <w:tcW w:w="573" w:type="pct"/>
            <w:vAlign w:val="center"/>
          </w:tcPr>
          <w:p>
            <w:pPr>
              <w:pStyle w:val="10"/>
              <w:widowControl w:val="0"/>
              <w:ind w:firstLine="0" w:firstLineChars="0"/>
              <w:jc w:val="center"/>
              <w:rPr>
                <w:color w:val="000000"/>
                <w:sz w:val="18"/>
                <w:szCs w:val="18"/>
              </w:rPr>
            </w:pPr>
            <w:r>
              <w:rPr>
                <w:rFonts w:hint="eastAsia"/>
                <w:color w:val="000000"/>
                <w:sz w:val="18"/>
                <w:szCs w:val="18"/>
              </w:rPr>
              <w:t>0-5</w:t>
            </w:r>
          </w:p>
        </w:tc>
      </w:tr>
    </w:tbl>
    <w:p>
      <w:pPr>
        <w:pStyle w:val="10"/>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rPr>
        <w:t>注：</w:t>
      </w:r>
      <w:r>
        <w:rPr>
          <w:rFonts w:hint="eastAsia"/>
          <w:color w:val="000000"/>
          <w:lang w:eastAsia="zh-CN"/>
        </w:rPr>
        <w:t>铜精炼炉浇铸溜槽用耐火浇注料</w:t>
      </w:r>
      <w:r>
        <w:rPr>
          <w:rFonts w:hint="eastAsia"/>
          <w:color w:val="000000"/>
        </w:rPr>
        <w:t>的砌筑方式为浇注震动或涂抹。</w:t>
      </w:r>
    </w:p>
    <w:p>
      <w:pPr>
        <w:spacing w:line="360" w:lineRule="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2.2.3试验方法</w:t>
      </w:r>
    </w:p>
    <w:p>
      <w:pPr>
        <w:pStyle w:val="10"/>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2.2.3.1</w:t>
      </w:r>
      <w:r>
        <w:rPr>
          <w:rFonts w:hint="eastAsia" w:asciiTheme="minorEastAsia" w:hAnsiTheme="minorEastAsia" w:eastAsiaTheme="minorEastAsia" w:cstheme="minorEastAsia"/>
          <w:color w:val="000000"/>
          <w:sz w:val="21"/>
          <w:szCs w:val="21"/>
        </w:rPr>
        <w:t xml:space="preserve"> 试样制备按GB/T 4513.5 进行。</w:t>
      </w:r>
    </w:p>
    <w:p>
      <w:pPr>
        <w:pStyle w:val="10"/>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2.2.3.2</w:t>
      </w:r>
      <w:r>
        <w:rPr>
          <w:rFonts w:hint="eastAsia" w:asciiTheme="minorEastAsia" w:hAnsiTheme="minorEastAsia" w:eastAsiaTheme="minorEastAsia" w:cstheme="minorEastAsia"/>
          <w:color w:val="000000"/>
          <w:sz w:val="21"/>
          <w:szCs w:val="21"/>
        </w:rPr>
        <w:t xml:space="preserve"> 氧化铝含量的测定按GB/T 6900或GB/T 21114进行。</w:t>
      </w:r>
    </w:p>
    <w:p>
      <w:pPr>
        <w:pStyle w:val="10"/>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2.2.3.3</w:t>
      </w:r>
      <w:r>
        <w:rPr>
          <w:rFonts w:hint="eastAsia" w:asciiTheme="minorEastAsia" w:hAnsiTheme="minorEastAsia" w:eastAsiaTheme="minorEastAsia" w:cstheme="minorEastAsia"/>
          <w:color w:val="000000"/>
          <w:sz w:val="21"/>
          <w:szCs w:val="21"/>
        </w:rPr>
        <w:t xml:space="preserve"> 体积密度、耐压强度, 重烧线变化的测定按GB/T 4513.6进行</w:t>
      </w:r>
    </w:p>
    <w:p>
      <w:pPr>
        <w:spacing w:line="360" w:lineRule="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2.2.4质量评定程序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000000"/>
          <w:sz w:val="21"/>
          <w:szCs w:val="21"/>
          <w:lang w:eastAsia="zh-CN"/>
        </w:rPr>
      </w:pPr>
      <w:r>
        <w:rPr>
          <w:rFonts w:hint="eastAsia" w:ascii="黑体" w:hAnsi="黑体" w:eastAsia="黑体" w:cs="黑体"/>
          <w:sz w:val="21"/>
          <w:szCs w:val="21"/>
          <w:lang w:val="en-US" w:eastAsia="zh-CN"/>
        </w:rPr>
        <w:t>2.2.4.1</w:t>
      </w:r>
      <w:r>
        <w:rPr>
          <w:rFonts w:hint="eastAsia" w:asciiTheme="minorEastAsia" w:hAnsiTheme="minorEastAsia" w:eastAsiaTheme="minorEastAsia" w:cstheme="minorEastAsia"/>
          <w:sz w:val="21"/>
          <w:szCs w:val="21"/>
        </w:rPr>
        <w:t xml:space="preserve"> 组批</w:t>
      </w:r>
      <w:r>
        <w:rPr>
          <w:rFonts w:hint="eastAsia" w:asciiTheme="minorEastAsia" w:hAnsiTheme="minorEastAsia" w:eastAsiaTheme="minorEastAsia" w:cstheme="minorEastAsia"/>
          <w:color w:val="000000"/>
          <w:sz w:val="21"/>
          <w:szCs w:val="21"/>
        </w:rPr>
        <w:t>产品按同一牌号组批,铜精炼炉工作衬用耐火浇注料每批不超过60t,铜精炼炉隔热衬用耐火浇注料每批不超过50t</w:t>
      </w:r>
      <w:r>
        <w:rPr>
          <w:rFonts w:hint="eastAsia" w:asciiTheme="minorEastAsia" w:hAnsiTheme="minorEastAsia" w:cs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黑体" w:hAnsi="黑体" w:eastAsia="黑体" w:cs="黑体"/>
          <w:sz w:val="21"/>
          <w:szCs w:val="21"/>
          <w:lang w:val="en-US" w:eastAsia="zh-CN"/>
        </w:rPr>
        <w:t>2.2.4.2</w:t>
      </w:r>
      <w:r>
        <w:rPr>
          <w:rFonts w:hint="eastAsia" w:asciiTheme="minorEastAsia" w:hAnsiTheme="minorEastAsia" w:eastAsiaTheme="minorEastAsia" w:cstheme="minorEastAsia"/>
          <w:sz w:val="21"/>
          <w:szCs w:val="21"/>
        </w:rPr>
        <w:t xml:space="preserve"> 抽样及合格判定规则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2.2.4.3</w:t>
      </w:r>
      <w:r>
        <w:rPr>
          <w:rFonts w:hint="eastAsia" w:asciiTheme="minorEastAsia" w:hAnsiTheme="minorEastAsia" w:eastAsiaTheme="minorEastAsia" w:cstheme="minorEastAsia"/>
          <w:color w:val="000000"/>
          <w:sz w:val="21"/>
          <w:szCs w:val="21"/>
        </w:rPr>
        <w:t xml:space="preserve"> 抽样按 GB/T 4513.2进行。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2.2.4.4</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eastAsia="zh-CN"/>
        </w:rPr>
        <w:t>铜精炼炉浇铸溜槽用耐火浇注料</w:t>
      </w:r>
      <w:r>
        <w:rPr>
          <w:rFonts w:hint="eastAsia" w:asciiTheme="minorEastAsia" w:hAnsiTheme="minorEastAsia" w:eastAsiaTheme="minorEastAsia" w:cstheme="minorEastAsia"/>
          <w:color w:val="000000"/>
          <w:sz w:val="21"/>
          <w:szCs w:val="21"/>
        </w:rPr>
        <w:t>的氧化铝含量、耐压强度、重烧线变化为验收必检项目，检验结果的平均值符合表1或表2的规定,则判定该批产品合格,否则为不合格。</w:t>
      </w:r>
    </w:p>
    <w:p>
      <w:pPr>
        <w:spacing w:line="360" w:lineRule="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2.2.5合格评定形式</w:t>
      </w: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合格评定可采用供货方声明、使用方认定或第三方认证的形式进行。</w:t>
      </w:r>
    </w:p>
    <w:p>
      <w:pPr>
        <w:spacing w:line="360" w:lineRule="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2.2.6包装、标志、运输、储存和质量证明书</w:t>
      </w:r>
    </w:p>
    <w:p>
      <w:pPr>
        <w:pStyle w:val="10"/>
        <w:keepNext w:val="0"/>
        <w:keepLines w:val="0"/>
        <w:pageBreakBefore w:val="0"/>
        <w:kinsoku/>
        <w:wordWrap/>
        <w:overflowPunct/>
        <w:topLinePunct w:val="0"/>
        <w:bidi w:val="0"/>
        <w:adjustRightInd/>
        <w:snapToGrid/>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2.2.6.1</w:t>
      </w:r>
      <w:r>
        <w:rPr>
          <w:rFonts w:hint="eastAsia" w:asciiTheme="minorEastAsia" w:hAnsiTheme="minorEastAsia" w:eastAsiaTheme="minorEastAsia" w:cstheme="minorEastAsia"/>
          <w:color w:val="000000"/>
          <w:sz w:val="21"/>
          <w:szCs w:val="21"/>
        </w:rPr>
        <w:t xml:space="preserve"> 包装、标志、运输、储存按 GB/T 15545 进行。</w:t>
      </w:r>
    </w:p>
    <w:p>
      <w:pPr>
        <w:pStyle w:val="10"/>
        <w:keepNext w:val="0"/>
        <w:keepLines w:val="0"/>
        <w:pageBreakBefore w:val="0"/>
        <w:kinsoku/>
        <w:wordWrap/>
        <w:overflowPunct/>
        <w:topLinePunct w:val="0"/>
        <w:bidi w:val="0"/>
        <w:adjustRightInd/>
        <w:snapToGrid/>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2.2.6.2</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产品发出时,应附有质量监督部门签发的质量证明书,注明供方名称、需方名称、产品名称、本文件编号、牌号、批号、批量、生产日期、理化指标检验结果等内容。</w:t>
      </w:r>
    </w:p>
    <w:p>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1"/>
          <w:szCs w:val="21"/>
          <w:lang w:val="en-US" w:eastAsia="zh-CN"/>
        </w:rPr>
        <w:t>2.2.6.3</w:t>
      </w:r>
      <w:r>
        <w:rPr>
          <w:rFonts w:hint="eastAsia" w:asciiTheme="minorEastAsia" w:hAnsiTheme="minorEastAsia" w:eastAsiaTheme="minorEastAsia" w:cstheme="minorEastAsia"/>
          <w:color w:val="000000"/>
          <w:sz w:val="21"/>
          <w:szCs w:val="21"/>
        </w:rPr>
        <w:t xml:space="preserve"> 产品发出时,应附有产品使用说明书。</w:t>
      </w:r>
    </w:p>
    <w:p>
      <w:pPr>
        <w:keepNext w:val="0"/>
        <w:keepLines w:val="0"/>
        <w:widowControl/>
        <w:suppressLineNumbers w:val="0"/>
        <w:jc w:val="left"/>
        <w:rPr>
          <w:b w:val="0"/>
          <w:bCs w:val="0"/>
        </w:rPr>
      </w:pPr>
      <w:r>
        <w:rPr>
          <w:rFonts w:hint="eastAsia" w:ascii="黑体" w:hAnsi="宋体" w:eastAsia="黑体" w:cs="黑体"/>
          <w:b w:val="0"/>
          <w:bCs w:val="0"/>
          <w:color w:val="000000"/>
          <w:kern w:val="0"/>
          <w:sz w:val="28"/>
          <w:szCs w:val="28"/>
          <w:lang w:val="en-US" w:eastAsia="zh-CN" w:bidi="ar"/>
        </w:rPr>
        <w:t xml:space="preserve">3 标准水平分析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1"/>
          <w:szCs w:val="21"/>
        </w:rPr>
        <w:t>目前国内、国外暂无“</w:t>
      </w:r>
      <w:r>
        <w:rPr>
          <w:rFonts w:hint="eastAsia" w:asciiTheme="minorEastAsia" w:hAnsiTheme="minorEastAsia" w:eastAsiaTheme="minorEastAsia" w:cstheme="minorEastAsia"/>
          <w:sz w:val="21"/>
          <w:szCs w:val="21"/>
          <w:lang w:eastAsia="zh-CN"/>
        </w:rPr>
        <w:t>铜精炼炉浇铸溜槽用耐火浇注料</w:t>
      </w:r>
      <w:r>
        <w:rPr>
          <w:rFonts w:hint="eastAsia" w:asciiTheme="minorEastAsia" w:hAnsiTheme="minorEastAsia" w:eastAsiaTheme="minorEastAsia" w:cstheme="minorEastAsia"/>
          <w:sz w:val="21"/>
          <w:szCs w:val="21"/>
        </w:rPr>
        <w:t>”相关的行业标准或国家标准。钢铁行业国家标准GB/T 22590-2021《轧钢加热炉用耐火浇注料》和建材行业标准JC/T 498-2013《高强度耐火浇注料》。</w:t>
      </w:r>
    </w:p>
    <w:p>
      <w:pPr>
        <w:keepNext w:val="0"/>
        <w:keepLines w:val="0"/>
        <w:widowControl/>
        <w:suppressLineNumbers w:val="0"/>
        <w:jc w:val="left"/>
        <w:rPr>
          <w:b w:val="0"/>
          <w:bCs w:val="0"/>
        </w:rPr>
      </w:pPr>
      <w:r>
        <w:rPr>
          <w:rFonts w:hint="eastAsia" w:ascii="黑体" w:hAnsi="宋体" w:eastAsia="黑体" w:cs="黑体"/>
          <w:b w:val="0"/>
          <w:bCs w:val="0"/>
          <w:color w:val="000000"/>
          <w:kern w:val="0"/>
          <w:sz w:val="28"/>
          <w:szCs w:val="28"/>
          <w:lang w:val="en-US" w:eastAsia="zh-CN" w:bidi="ar"/>
        </w:rPr>
        <w:t xml:space="preserve">4 与现行相关法律、法规、规章及相关标准，特别是强制性标准的协调性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sz w:val="21"/>
          <w:szCs w:val="21"/>
        </w:rPr>
      </w:pPr>
      <w:r>
        <w:rPr>
          <w:rFonts w:hint="eastAsia" w:ascii="宋体" w:hAnsi="宋体" w:eastAsia="宋体" w:cs="宋体"/>
          <w:color w:val="000000"/>
          <w:kern w:val="0"/>
          <w:sz w:val="21"/>
          <w:szCs w:val="21"/>
          <w:lang w:val="en-US" w:eastAsia="zh-CN" w:bidi="ar"/>
        </w:rPr>
        <w:t xml:space="preserve">本标准是新制定的团体标准。本标准的制定与现行的相关法律、法规、规章及相关标准的关系不矛盾、不冲突，其相互关系非常协调。 </w:t>
      </w:r>
    </w:p>
    <w:p>
      <w:pPr>
        <w:keepNext w:val="0"/>
        <w:keepLines w:val="0"/>
        <w:widowControl/>
        <w:suppressLineNumbers w:val="0"/>
        <w:jc w:val="left"/>
        <w:rPr>
          <w:rFonts w:hint="eastAsia" w:ascii="黑体" w:hAnsi="宋体" w:eastAsia="黑体" w:cs="黑体"/>
          <w:b w:val="0"/>
          <w:bCs w:val="0"/>
          <w:color w:val="000000"/>
          <w:kern w:val="0"/>
          <w:sz w:val="28"/>
          <w:szCs w:val="28"/>
          <w:lang w:val="en-US" w:eastAsia="zh-CN" w:bidi="ar"/>
        </w:rPr>
      </w:pPr>
      <w:r>
        <w:rPr>
          <w:rFonts w:hint="eastAsia" w:ascii="黑体" w:hAnsi="宋体" w:eastAsia="黑体" w:cs="黑体"/>
          <w:b w:val="0"/>
          <w:bCs w:val="0"/>
          <w:color w:val="000000"/>
          <w:kern w:val="0"/>
          <w:sz w:val="28"/>
          <w:szCs w:val="28"/>
          <w:lang w:val="en-US" w:eastAsia="zh-CN" w:bidi="ar"/>
        </w:rPr>
        <w:t xml:space="preserve">5 标准中涉及的专利或知识产权说明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本标准不涉及任何专利或知识产权。 </w:t>
      </w:r>
    </w:p>
    <w:p>
      <w:pPr>
        <w:keepNext w:val="0"/>
        <w:keepLines w:val="0"/>
        <w:widowControl/>
        <w:suppressLineNumbers w:val="0"/>
        <w:jc w:val="left"/>
        <w:rPr>
          <w:rFonts w:hint="eastAsia" w:ascii="黑体" w:hAnsi="宋体" w:eastAsia="黑体" w:cs="黑体"/>
          <w:b w:val="0"/>
          <w:bCs w:val="0"/>
          <w:color w:val="000000"/>
          <w:kern w:val="0"/>
          <w:sz w:val="28"/>
          <w:szCs w:val="28"/>
          <w:lang w:val="en-US" w:eastAsia="zh-CN" w:bidi="ar"/>
        </w:rPr>
      </w:pPr>
      <w:r>
        <w:rPr>
          <w:rFonts w:hint="eastAsia" w:ascii="黑体" w:hAnsi="宋体" w:eastAsia="黑体" w:cs="黑体"/>
          <w:b w:val="0"/>
          <w:bCs w:val="0"/>
          <w:color w:val="000000"/>
          <w:kern w:val="0"/>
          <w:sz w:val="28"/>
          <w:szCs w:val="28"/>
          <w:lang w:val="en-US" w:eastAsia="zh-CN" w:bidi="ar"/>
        </w:rPr>
        <w:t xml:space="preserve">6 重大分歧意见的处理经过和依据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（无） </w:t>
      </w:r>
    </w:p>
    <w:p>
      <w:pPr>
        <w:keepNext w:val="0"/>
        <w:keepLines w:val="0"/>
        <w:widowControl/>
        <w:suppressLineNumbers w:val="0"/>
        <w:jc w:val="left"/>
        <w:rPr>
          <w:rFonts w:hint="eastAsia" w:ascii="黑体" w:hAnsi="宋体" w:eastAsia="黑体" w:cs="黑体"/>
          <w:b w:val="0"/>
          <w:bCs w:val="0"/>
          <w:color w:val="000000"/>
          <w:kern w:val="0"/>
          <w:sz w:val="28"/>
          <w:szCs w:val="28"/>
          <w:lang w:val="en-US" w:eastAsia="zh-CN" w:bidi="ar"/>
        </w:rPr>
      </w:pPr>
      <w:r>
        <w:rPr>
          <w:rFonts w:hint="eastAsia" w:ascii="黑体" w:hAnsi="宋体" w:eastAsia="黑体" w:cs="黑体"/>
          <w:b w:val="0"/>
          <w:bCs w:val="0"/>
          <w:color w:val="000000"/>
          <w:kern w:val="0"/>
          <w:sz w:val="28"/>
          <w:szCs w:val="28"/>
          <w:lang w:val="en-US" w:eastAsia="zh-CN" w:bidi="ar"/>
        </w:rPr>
        <w:t xml:space="preserve">7 标准作为强制性或推荐性行业标准的建议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本标准建议不作为强制性标准，而建议作为推荐性标准。 </w:t>
      </w:r>
    </w:p>
    <w:p>
      <w:pPr>
        <w:keepNext w:val="0"/>
        <w:keepLines w:val="0"/>
        <w:widowControl/>
        <w:suppressLineNumbers w:val="0"/>
        <w:jc w:val="left"/>
        <w:rPr>
          <w:rFonts w:hint="eastAsia" w:ascii="黑体" w:hAnsi="宋体" w:eastAsia="黑体" w:cs="黑体"/>
          <w:b w:val="0"/>
          <w:bCs w:val="0"/>
          <w:color w:val="000000"/>
          <w:kern w:val="0"/>
          <w:sz w:val="28"/>
          <w:szCs w:val="28"/>
          <w:lang w:val="en-US" w:eastAsia="zh-CN" w:bidi="ar"/>
        </w:rPr>
      </w:pPr>
      <w:r>
        <w:rPr>
          <w:rFonts w:hint="eastAsia" w:ascii="黑体" w:hAnsi="宋体" w:eastAsia="黑体" w:cs="黑体"/>
          <w:b w:val="0"/>
          <w:bCs w:val="0"/>
          <w:color w:val="000000"/>
          <w:kern w:val="0"/>
          <w:sz w:val="28"/>
          <w:szCs w:val="28"/>
          <w:lang w:val="en-US" w:eastAsia="zh-CN" w:bidi="ar"/>
        </w:rPr>
        <w:t xml:space="preserve">8 贯彻标准的要求和措施建议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（无） </w:t>
      </w:r>
    </w:p>
    <w:p>
      <w:pPr>
        <w:keepNext w:val="0"/>
        <w:keepLines w:val="0"/>
        <w:widowControl/>
        <w:suppressLineNumbers w:val="0"/>
        <w:jc w:val="left"/>
        <w:rPr>
          <w:rFonts w:hint="eastAsia" w:ascii="黑体" w:hAnsi="宋体" w:eastAsia="黑体" w:cs="黑体"/>
          <w:b w:val="0"/>
          <w:bCs w:val="0"/>
          <w:color w:val="000000"/>
          <w:kern w:val="0"/>
          <w:sz w:val="28"/>
          <w:szCs w:val="28"/>
          <w:lang w:val="en-US" w:eastAsia="zh-CN" w:bidi="ar"/>
        </w:rPr>
      </w:pPr>
      <w:r>
        <w:rPr>
          <w:rFonts w:hint="eastAsia" w:ascii="黑体" w:hAnsi="宋体" w:eastAsia="黑体" w:cs="黑体"/>
          <w:b w:val="0"/>
          <w:bCs w:val="0"/>
          <w:color w:val="000000"/>
          <w:kern w:val="0"/>
          <w:sz w:val="28"/>
          <w:szCs w:val="28"/>
          <w:lang w:val="en-US" w:eastAsia="zh-CN" w:bidi="ar"/>
        </w:rPr>
        <w:t xml:space="preserve">9 废止现行有关标准的建议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p>
      <w:pPr>
        <w:keepNext w:val="0"/>
        <w:keepLines w:val="0"/>
        <w:widowControl/>
        <w:suppressLineNumbers w:val="0"/>
        <w:jc w:val="left"/>
        <w:rPr>
          <w:rFonts w:hint="eastAsia" w:ascii="黑体" w:hAnsi="宋体" w:eastAsia="黑体" w:cs="黑体"/>
          <w:b w:val="0"/>
          <w:bCs w:val="0"/>
          <w:color w:val="000000"/>
          <w:kern w:val="0"/>
          <w:sz w:val="28"/>
          <w:szCs w:val="28"/>
          <w:lang w:val="en-US" w:eastAsia="zh-CN" w:bidi="ar"/>
        </w:rPr>
      </w:pPr>
      <w:r>
        <w:rPr>
          <w:rFonts w:hint="eastAsia" w:ascii="黑体" w:hAnsi="宋体" w:eastAsia="黑体" w:cs="黑体"/>
          <w:b w:val="0"/>
          <w:bCs w:val="0"/>
          <w:color w:val="000000"/>
          <w:kern w:val="0"/>
          <w:sz w:val="28"/>
          <w:szCs w:val="28"/>
          <w:lang w:val="en-US" w:eastAsia="zh-CN" w:bidi="ar"/>
        </w:rPr>
        <w:t xml:space="preserve">10 产业化情况、推广应用论证和预期达到的经济效果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auto"/>
          <w:sz w:val="20"/>
          <w:szCs w:val="20"/>
        </w:rPr>
      </w:pPr>
      <w:r>
        <w:rPr>
          <w:rFonts w:hint="eastAsia" w:ascii="宋体" w:hAnsi="宋体" w:eastAsia="宋体" w:cs="宋体"/>
          <w:color w:val="000000"/>
          <w:kern w:val="0"/>
          <w:sz w:val="21"/>
          <w:szCs w:val="21"/>
          <w:lang w:val="en-US" w:eastAsia="zh-CN" w:bidi="ar"/>
        </w:rPr>
        <w:t>该标准的制定，对保证行业内铜精炼炉浇铸溜槽用耐火浇注料产品质量具有重要的作用。本标准的发布和实施，能有效的规范铜火法冶炼企业对铜精炼炉浇铸溜槽用耐火浇注料质量的把控，对于保障铜产业链产品质量和安全性有着举足轻重的作用，制定行业标准进行规范具有深刻的社会意义和行业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50370"/>
    <w:multiLevelType w:val="singleLevel"/>
    <w:tmpl w:val="6C550370"/>
    <w:lvl w:ilvl="0" w:tentative="0">
      <w:start w:val="1"/>
      <w:numFmt w:val="decimal"/>
      <w:suff w:val="nothing"/>
      <w:lvlText w:val="%1"/>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zVkZGU0NjcxMDNjYzQ1MWE0YmZjNzAwY2I0MDYifQ=="/>
  </w:docVars>
  <w:rsids>
    <w:rsidRoot w:val="00000000"/>
    <w:rsid w:val="08372C1A"/>
    <w:rsid w:val="30422FDF"/>
    <w:rsid w:val="37063F02"/>
    <w:rsid w:val="49A90F8E"/>
    <w:rsid w:val="5C873CC9"/>
    <w:rsid w:val="66AC5F72"/>
    <w:rsid w:val="7B30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rPr>
      <w:sz w:val="24"/>
      <w:szCs w:val="24"/>
    </w:rPr>
  </w:style>
  <w:style w:type="paragraph" w:styleId="3">
    <w:name w:val="footer"/>
    <w:basedOn w:val="1"/>
    <w:autoRedefine/>
    <w:qFormat/>
    <w:uiPriority w:val="0"/>
    <w:pPr>
      <w:tabs>
        <w:tab w:val="center" w:pos="4153"/>
        <w:tab w:val="right" w:pos="8306"/>
      </w:tabs>
      <w:snapToGrid w:val="0"/>
      <w:ind w:right="210" w:rightChars="100"/>
      <w:jc w:val="righ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autoRedefine/>
    <w:qFormat/>
    <w:uiPriority w:val="0"/>
    <w:rPr>
      <w:rFonts w:ascii="Times New Roman" w:hAnsi="Times New Roman" w:eastAsia="宋体"/>
      <w:sz w:val="18"/>
    </w:rPr>
  </w:style>
  <w:style w:type="character" w:styleId="9">
    <w:name w:val="Hyperlink"/>
    <w:basedOn w:val="7"/>
    <w:autoRedefine/>
    <w:qFormat/>
    <w:uiPriority w:val="0"/>
    <w:rPr>
      <w:color w:val="0000FF"/>
      <w:u w:val="single"/>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2542</Words>
  <Characters>2965</Characters>
  <Lines>0</Lines>
  <Paragraphs>0</Paragraphs>
  <TotalTime>4</TotalTime>
  <ScaleCrop>false</ScaleCrop>
  <LinksUpToDate>false</LinksUpToDate>
  <CharactersWithSpaces>3071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2024-11-14T01:39:00Z</dcterms:created>
  <dc:creator>Administrator</dc:creator>
  <cp:lastModifiedBy>卢梦遥</cp:lastModifiedBy>
  <dcterms:modified xsi:type="dcterms:W3CDTF">2024-11-15T06:37:07Z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F6FD3257A3FF42479185F9926B9CA2CC_12</vt:lpwstr>
  </property>
</Properties>
</file>