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9"/>
      </w:pPr>
      <w:bookmarkStart w:id="0" w:name="SectionMark0"/>
    </w:p>
    <w:p>
      <w:pPr>
        <w:pStyle w:val="43"/>
        <w:framePr w:wrap="around" w:x="2171" w:y="15276"/>
        <w:rPr>
          <w:rFonts w:ascii="Times New Roman"/>
          <w:b w:val="0"/>
          <w:bCs/>
          <w:sz w:val="28"/>
          <w:szCs w:val="28"/>
        </w:rPr>
      </w:pPr>
      <w:r>
        <w:rPr>
          <w:rFonts w:ascii="Times New Roman"/>
          <w:b w:val="0"/>
          <w:bCs/>
          <w:sz w:val="28"/>
          <w:szCs w:val="28"/>
        </w:rPr>
        <w:t>中国有色金属工业协会</w:t>
      </w:r>
    </w:p>
    <w:p>
      <w:pPr>
        <w:pStyle w:val="43"/>
        <w:framePr w:wrap="around" w:x="2171" w:y="15276"/>
        <w:rPr>
          <w:rFonts w:hint="default" w:ascii="Times New Roman" w:eastAsia="黑体"/>
          <w:b w:val="0"/>
          <w:bCs/>
          <w:sz w:val="28"/>
          <w:szCs w:val="28"/>
          <w:lang w:val="en-US" w:eastAsia="zh-CN"/>
        </w:rPr>
      </w:pPr>
      <w:r>
        <w:rPr>
          <w:rFonts w:hint="eastAsia" w:ascii="Times New Roman"/>
          <w:b w:val="0"/>
          <w:bCs/>
          <w:sz w:val="28"/>
          <w:szCs w:val="28"/>
          <w:lang w:eastAsia="zh-CN"/>
        </w:rPr>
        <w:t>中国有色金属协会</w:t>
      </w:r>
      <w:r>
        <w:rPr>
          <w:rFonts w:hint="eastAsia" w:ascii="Times New Roman"/>
          <w:b w:val="0"/>
          <w:bCs/>
          <w:sz w:val="28"/>
          <w:szCs w:val="28"/>
          <w:lang w:val="en-US" w:eastAsia="zh-CN"/>
        </w:rPr>
        <w:t xml:space="preserve"> 发布</w:t>
      </w:r>
    </w:p>
    <w:p>
      <w:pPr>
        <w:pStyle w:val="59"/>
        <w:sectPr>
          <w:headerReference r:id="rId4" w:type="first"/>
          <w:headerReference r:id="rId3" w:type="default"/>
          <w:footerReference r:id="rId5" w:type="default"/>
          <w:footerReference r:id="rId6" w:type="even"/>
          <w:pgSz w:w="11907" w:h="16839"/>
          <w:pgMar w:top="567" w:right="851" w:bottom="1134" w:left="1418" w:header="0" w:footer="0" w:gutter="0"/>
          <w:pgNumType w:start="1"/>
          <w:cols w:space="720" w:num="1"/>
          <w:titlePg/>
          <w:docGrid w:type="lines" w:linePitch="312" w:charSpace="0"/>
        </w:sectPr>
      </w:pPr>
      <w:r>
        <w:rPr>
          <w:rFonts w:ascii="Times New Roman"/>
        </w:rPr>
        <w:t xml:space="preserve">       中国有色金属学会  </w:t>
      </w:r>
      <w:r>
        <w:rPr>
          <w:rStyle w:val="24"/>
          <w:rFonts w:ascii="Times New Roman"/>
        </w:rPr>
        <w:t>发布</w:t>
      </w:r>
      <w:r>
        <mc:AlternateContent>
          <mc:Choice Requires="wps">
            <w:drawing>
              <wp:anchor distT="0" distB="0" distL="114300" distR="114300" simplePos="0" relativeHeight="251666432" behindDoc="0" locked="1" layoutInCell="1" allowOverlap="1">
                <wp:simplePos x="0" y="0"/>
                <wp:positionH relativeFrom="margin">
                  <wp:posOffset>4672330</wp:posOffset>
                </wp:positionH>
                <wp:positionV relativeFrom="margin">
                  <wp:posOffset>8702040</wp:posOffset>
                </wp:positionV>
                <wp:extent cx="1447800" cy="312420"/>
                <wp:effectExtent l="0" t="0" r="0" b="11430"/>
                <wp:wrapNone/>
                <wp:docPr id="27" name="fmFrame5"/>
                <wp:cNvGraphicFramePr/>
                <a:graphic xmlns:a="http://schemas.openxmlformats.org/drawingml/2006/main">
                  <a:graphicData uri="http://schemas.microsoft.com/office/word/2010/wordprocessingShape">
                    <wps:wsp>
                      <wps:cNvSpPr txBox="1"/>
                      <wps:spPr>
                        <a:xfrm>
                          <a:off x="0" y="0"/>
                          <a:ext cx="1447800" cy="312420"/>
                        </a:xfrm>
                        <a:prstGeom prst="rect">
                          <a:avLst/>
                        </a:prstGeom>
                        <a:solidFill>
                          <a:srgbClr val="FFFFFF"/>
                        </a:solidFill>
                        <a:ln>
                          <a:noFill/>
                        </a:ln>
                      </wps:spPr>
                      <wps:txbx>
                        <w:txbxContent>
                          <w:p>
                            <w:pPr>
                              <w:pStyle w:val="34"/>
                              <w:rPr>
                                <w:rFonts w:ascii="黑体"/>
                              </w:rPr>
                            </w:pPr>
                            <w:r>
                              <w:rPr>
                                <w:rFonts w:hint="eastAsia" w:ascii="黑体"/>
                              </w:rPr>
                              <w:t>202X-</w:t>
                            </w:r>
                            <w:r>
                              <w:rPr>
                                <w:rFonts w:ascii="黑体"/>
                              </w:rPr>
                              <w:t>XX</w:t>
                            </w:r>
                            <w:r>
                              <w:rPr>
                                <w:rFonts w:hint="eastAsia" w:ascii="黑体"/>
                              </w:rPr>
                              <w:t>-</w:t>
                            </w:r>
                            <w:r>
                              <w:rPr>
                                <w:rFonts w:ascii="黑体"/>
                              </w:rPr>
                              <w:t>XX</w:t>
                            </w:r>
                            <w:r>
                              <w:rPr>
                                <w:rFonts w:hint="eastAsia" w:ascii="黑体"/>
                              </w:rPr>
                              <w:t xml:space="preserve"> 实施</w:t>
                            </w:r>
                          </w:p>
                        </w:txbxContent>
                      </wps:txbx>
                      <wps:bodyPr wrap="square" lIns="0" tIns="0" rIns="0" bIns="0" upright="1"/>
                    </wps:wsp>
                  </a:graphicData>
                </a:graphic>
              </wp:anchor>
            </w:drawing>
          </mc:Choice>
          <mc:Fallback>
            <w:pict>
              <v:shape id="fmFrame5" o:spid="_x0000_s1026" o:spt="202" type="#_x0000_t202" style="position:absolute;left:0pt;margin-left:367.9pt;margin-top:685.2pt;height:24.6pt;width:114pt;mso-position-horizontal-relative:margin;mso-position-vertical-relative:margin;z-index:251666432;mso-width-relative:page;mso-height-relative:page;" fillcolor="#FFFFFF" filled="t" stroked="f" coordsize="21600,21600" o:gfxdata="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SAnbAAAADQEAAA8AAAAAAAAAAQAgAAAAIgAAAGRy&#10;cy9kb3ducmV2LnhtbFBLAQIUABQAAAAIAIdO4kCpu5GpyQEAAKcDAAAOAAAAAAAAAAEAIAAAACoB&#10;AABkcnMvZTJvRG9jLnhtbFBLBQYAAAAABgAGAFkBAABlBQAAAAA=&#10;">
                <v:fill on="t" focussize="0,0"/>
                <v:stroke on="f"/>
                <v:imagedata o:title=""/>
                <o:lock v:ext="edit" aspectratio="f"/>
                <v:textbox inset="0mm,0mm,0mm,0mm">
                  <w:txbxContent>
                    <w:p>
                      <w:pPr>
                        <w:pStyle w:val="34"/>
                        <w:rPr>
                          <w:rFonts w:ascii="黑体"/>
                        </w:rPr>
                      </w:pPr>
                      <w:r>
                        <w:rPr>
                          <w:rFonts w:hint="eastAsia" w:ascii="黑体"/>
                        </w:rPr>
                        <w:t>202X-</w:t>
                      </w:r>
                      <w:r>
                        <w:rPr>
                          <w:rFonts w:ascii="黑体"/>
                        </w:rPr>
                        <w:t>XX</w:t>
                      </w:r>
                      <w:r>
                        <w:rPr>
                          <w:rFonts w:hint="eastAsia" w:ascii="黑体"/>
                        </w:rPr>
                        <w:t>-</w:t>
                      </w:r>
                      <w:r>
                        <w:rPr>
                          <w:rFonts w:ascii="黑体"/>
                        </w:rPr>
                        <w:t>XX</w:t>
                      </w:r>
                      <w:r>
                        <w:rPr>
                          <w:rFonts w:hint="eastAsia" w:ascii="黑体"/>
                        </w:rPr>
                        <w:t xml:space="preserve"> 实施</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9014460</wp:posOffset>
                </wp:positionV>
                <wp:extent cx="6121400" cy="0"/>
                <wp:effectExtent l="0" t="0" r="0" b="0"/>
                <wp:wrapTopAndBottom/>
                <wp:docPr id="25" name="直线 13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w:pict>
              <v:line id="直线 138" o:spid="_x0000_s1026" o:spt="20" style="position:absolute;left:0pt;margin-left:0pt;margin-top:709.8pt;height:0pt;width:482pt;mso-wrap-distance-bottom:0pt;mso-wrap-distance-top:0pt;z-index:251665408;mso-width-relative:page;mso-height-relative:page;" filled="f" stroked="t" coordsize="21600,21600" o:gfxdata="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m5hcHUAAAACgEAAA8A&#10;AAAAAAAAAQAgAAAAIgAAAGRycy9kb3ducmV2LnhtbFBLAQIUABQAAAAIAIdO4kAP3h374gEAANMD&#10;AAAOAAAAAAAAAAEAIAAAACMBAABkcnMvZTJvRG9jLnhtbFBLBQYAAAAABgAGAFkBAAB3BQAAAAA=&#10;">
                <v:fill on="f" focussize="0,0"/>
                <v:stroke weight="1pt" color="#800008" joinstyle="round"/>
                <v:imagedata o:title=""/>
                <o:lock v:ext="edit" aspectratio="f"/>
                <w10:wrap type="topAndBottom"/>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34"/>
                              <w:rPr>
                                <w:rFonts w:ascii="黑体"/>
                              </w:rPr>
                            </w:pPr>
                            <w:r>
                              <w:rPr>
                                <w:rFonts w:hint="eastAsia" w:ascii="黑体"/>
                              </w:rPr>
                              <w:t>202</w:t>
                            </w:r>
                            <w:r>
                              <w:rPr>
                                <w:rFonts w:hint="eastAsia" w:ascii="黑体"/>
                                <w:lang w:val="en-US" w:eastAsia="zh-CN"/>
                              </w:rPr>
                              <w:t>5</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34"/>
                        <w:rPr>
                          <w:rFonts w:ascii="黑体"/>
                        </w:rPr>
                      </w:pPr>
                      <w:r>
                        <w:rPr>
                          <w:rFonts w:hint="eastAsia" w:ascii="黑体"/>
                        </w:rPr>
                        <w:t>202</w:t>
                      </w:r>
                      <w:r>
                        <w:rPr>
                          <w:rFonts w:hint="eastAsia" w:ascii="黑体"/>
                          <w:lang w:val="en-US" w:eastAsia="zh-CN"/>
                        </w:rPr>
                        <w:t>5</w:t>
                      </w:r>
                      <w:r>
                        <w:rPr>
                          <w:rFonts w:hint="eastAsia" w:ascii="黑体"/>
                        </w:rPr>
                        <w:t>-</w:t>
                      </w:r>
                      <w:r>
                        <w:rPr>
                          <w:rFonts w:ascii="黑体"/>
                        </w:rPr>
                        <w:t>XX</w:t>
                      </w:r>
                      <w:r>
                        <w:rPr>
                          <w:rFonts w:hint="eastAsia" w:ascii="黑体"/>
                        </w:rPr>
                        <w:t>-</w:t>
                      </w:r>
                      <w:r>
                        <w:rPr>
                          <w:rFonts w:ascii="黑体"/>
                        </w:rPr>
                        <w:t>XX</w:t>
                      </w:r>
                      <w:r>
                        <w:rPr>
                          <w:rFonts w:hint="eastAsia" w:ascii="黑体"/>
                        </w:rPr>
                        <w:t xml:space="preserve"> 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153535"/>
                <wp:effectExtent l="0" t="0" r="12700" b="18415"/>
                <wp:wrapNone/>
                <wp:docPr id="5" name="fmFrame4"/>
                <wp:cNvGraphicFramePr/>
                <a:graphic xmlns:a="http://schemas.openxmlformats.org/drawingml/2006/main">
                  <a:graphicData uri="http://schemas.microsoft.com/office/word/2010/wordprocessingShape">
                    <wps:wsp>
                      <wps:cNvSpPr txBox="1"/>
                      <wps:spPr>
                        <a:xfrm>
                          <a:off x="0" y="0"/>
                          <a:ext cx="5969000" cy="4153535"/>
                        </a:xfrm>
                        <a:prstGeom prst="rect">
                          <a:avLst/>
                        </a:prstGeom>
                        <a:solidFill>
                          <a:srgbClr val="FFFFFF"/>
                        </a:solidFill>
                        <a:ln>
                          <a:noFill/>
                        </a:ln>
                      </wps:spPr>
                      <wps:txbx>
                        <w:txbxContent>
                          <w:p>
                            <w:pPr>
                              <w:pStyle w:val="27"/>
                              <w:rPr>
                                <w:rFonts w:hint="eastAsia"/>
                                <w:lang w:eastAsia="zh-CN"/>
                              </w:rPr>
                            </w:pPr>
                            <w:r>
                              <w:rPr>
                                <w:rFonts w:hint="eastAsia"/>
                                <w:lang w:eastAsia="zh-CN"/>
                              </w:rPr>
                              <w:t>硅多晶用包装袋内表面杂质含量的测定</w:t>
                            </w:r>
                          </w:p>
                          <w:p>
                            <w:pPr>
                              <w:pStyle w:val="27"/>
                              <w:rPr>
                                <w:rFonts w:hint="eastAsia"/>
                                <w:lang w:eastAsia="zh-CN"/>
                              </w:rPr>
                            </w:pPr>
                            <w:r>
                              <w:rPr>
                                <w:rFonts w:hint="eastAsia"/>
                                <w:lang w:eastAsia="zh-CN"/>
                              </w:rPr>
                              <w:t>电感耦合等离子体质谱法</w:t>
                            </w:r>
                          </w:p>
                          <w:p>
                            <w:pPr>
                              <w:pStyle w:val="27"/>
                            </w:pPr>
                          </w:p>
                          <w:p>
                            <w:pPr>
                              <w:pStyle w:val="31"/>
                              <w:ind w:left="601" w:hanging="18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Determination of surface impurity content in packaging bags for silicon polycrystalline materials</w:t>
                            </w:r>
                            <w:r>
                              <w:rPr>
                                <w:rFonts w:hint="eastAsia" w:ascii="Times New Roman" w:eastAsia="黑体" w:cs="Times New Roman"/>
                                <w:sz w:val="28"/>
                                <w:szCs w:val="28"/>
                                <w:lang w:val="en-US" w:eastAsia="zh-CN"/>
                              </w:rPr>
                              <w:t xml:space="preserve"> </w:t>
                            </w:r>
                            <w:r>
                              <w:rPr>
                                <w:rFonts w:hint="default" w:ascii="Times New Roman" w:hAnsi="Times New Roman" w:eastAsia="黑体" w:cs="Times New Roman"/>
                                <w:sz w:val="28"/>
                                <w:szCs w:val="28"/>
                              </w:rPr>
                              <w:t>Inductively coupled plasma mass spectrometry</w:t>
                            </w:r>
                          </w:p>
                          <w:p>
                            <w:pPr>
                              <w:pStyle w:val="31"/>
                              <w:ind w:left="601" w:hanging="181"/>
                              <w:rPr>
                                <w:rFonts w:hAnsi="宋体"/>
                                <w:b/>
                              </w:rPr>
                            </w:pPr>
                            <w:r>
                              <w:rPr>
                                <w:rFonts w:hint="eastAsia" w:hAnsi="宋体"/>
                                <w:b/>
                              </w:rPr>
                              <w:t>（</w:t>
                            </w:r>
                            <w:r>
                              <w:rPr>
                                <w:rFonts w:hint="eastAsia" w:hAnsi="宋体"/>
                                <w:b/>
                                <w:lang w:eastAsia="zh-CN"/>
                              </w:rPr>
                              <w:t>讨论</w:t>
                            </w:r>
                            <w:r>
                              <w:rPr>
                                <w:rFonts w:hint="eastAsia" w:hAnsi="宋体"/>
                                <w:b/>
                              </w:rPr>
                              <w:t>稿）</w:t>
                            </w:r>
                          </w:p>
                          <w:p>
                            <w:pPr>
                              <w:pStyle w:val="31"/>
                              <w:ind w:left="601" w:hanging="181"/>
                              <w:rPr>
                                <w:rFonts w:hAnsi="宋体"/>
                                <w:b/>
                              </w:rPr>
                            </w:pPr>
                            <w:r>
                              <w:fldChar w:fldCharType="begin">
                                <w:ffData>
                                  <w:name w:val="YZBS"/>
                                  <w:enabled/>
                                  <w:calcOnExit w:val="0"/>
                                  <w:textInput>
                                    <w:default w:val="2022年10月31日"/>
                                  </w:textInput>
                                </w:ffData>
                              </w:fldChar>
                            </w:r>
                            <w:bookmarkStart w:id="37" w:name="YZBS"/>
                            <w:r>
                              <w:instrText xml:space="preserve"> FORMTEXT </w:instrText>
                            </w:r>
                            <w:r>
                              <w:fldChar w:fldCharType="separate"/>
                            </w: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02</w:t>
                            </w:r>
                            <w:r>
                              <w:rPr>
                                <w:rFonts w:hint="eastAsia"/>
                              </w:rPr>
                              <w:t>日</w:t>
                            </w:r>
                            <w:r>
                              <w:fldChar w:fldCharType="end"/>
                            </w:r>
                            <w:bookmarkEnd w:id="37"/>
                          </w:p>
                          <w:p>
                            <w:pPr>
                              <w:pStyle w:val="50"/>
                            </w:pPr>
                          </w:p>
                          <w:p>
                            <w:pPr>
                              <w:pStyle w:val="40"/>
                              <w:spacing w:before="370"/>
                              <w:rPr>
                                <w:rFonts w:hAnsi="宋体" w:eastAsia="宋体" w:cs="宋体"/>
                                <w:sz w:val="24"/>
                                <w:szCs w:val="24"/>
                              </w:rPr>
                            </w:pPr>
                            <w:r>
                              <w:rPr>
                                <w:rFonts w:hint="eastAsia" w:hAnsi="宋体" w:eastAsia="宋体" w:cs="宋体"/>
                                <w:sz w:val="24"/>
                                <w:szCs w:val="24"/>
                              </w:rPr>
                              <w:t>(在提交反馈意见时，请将您知道的相关专利连同支持性文件一并附上)</w:t>
                            </w:r>
                          </w:p>
                          <w:p>
                            <w:pPr>
                              <w:pStyle w:val="50"/>
                              <w:rPr>
                                <w:color w:val="000000"/>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27.05pt;width:470pt;mso-position-horizontal-relative:margin;mso-position-vertical-relative:margin;z-index:251662336;mso-width-relative:page;mso-height-relative:page;" fillcolor="#FFFFFF" filled="t" stroked="f" coordsize="21600,21600" o:gfxdata="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wg4p2AAAAAkBAAAPAAAAAAAAAAEAIAAAACIAAABkcnMvZG93&#10;bnJldi54bWxQSwECFAAUAAAACACHTuJAk8hsyccBAACnAwAADgAAAAAAAAABACAAAAAnAQAAZHJz&#10;L2Uyb0RvYy54bWxQSwUGAAAAAAYABgBZAQAAYAUAAAAA&#10;">
                <v:fill on="t" focussize="0,0"/>
                <v:stroke on="f"/>
                <v:imagedata o:title=""/>
                <o:lock v:ext="edit" aspectratio="f"/>
                <v:textbox inset="0mm,0mm,0mm,0mm">
                  <w:txbxContent>
                    <w:p>
                      <w:pPr>
                        <w:pStyle w:val="27"/>
                        <w:rPr>
                          <w:rFonts w:hint="eastAsia"/>
                          <w:lang w:eastAsia="zh-CN"/>
                        </w:rPr>
                      </w:pPr>
                      <w:r>
                        <w:rPr>
                          <w:rFonts w:hint="eastAsia"/>
                          <w:lang w:eastAsia="zh-CN"/>
                        </w:rPr>
                        <w:t>硅多晶用包装袋内表面杂质含量的测定</w:t>
                      </w:r>
                    </w:p>
                    <w:p>
                      <w:pPr>
                        <w:pStyle w:val="27"/>
                        <w:rPr>
                          <w:rFonts w:hint="eastAsia"/>
                          <w:lang w:eastAsia="zh-CN"/>
                        </w:rPr>
                      </w:pPr>
                      <w:r>
                        <w:rPr>
                          <w:rFonts w:hint="eastAsia"/>
                          <w:lang w:eastAsia="zh-CN"/>
                        </w:rPr>
                        <w:t>电感耦合等离子体质谱法</w:t>
                      </w:r>
                    </w:p>
                    <w:p>
                      <w:pPr>
                        <w:pStyle w:val="27"/>
                      </w:pPr>
                    </w:p>
                    <w:p>
                      <w:pPr>
                        <w:pStyle w:val="31"/>
                        <w:ind w:left="601" w:hanging="18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Determination of surface impurity content in packaging bags for silicon polycrystalline materials</w:t>
                      </w:r>
                      <w:r>
                        <w:rPr>
                          <w:rFonts w:hint="eastAsia" w:ascii="Times New Roman" w:eastAsia="黑体" w:cs="Times New Roman"/>
                          <w:sz w:val="28"/>
                          <w:szCs w:val="28"/>
                          <w:lang w:val="en-US" w:eastAsia="zh-CN"/>
                        </w:rPr>
                        <w:t xml:space="preserve"> </w:t>
                      </w:r>
                      <w:r>
                        <w:rPr>
                          <w:rFonts w:hint="default" w:ascii="Times New Roman" w:hAnsi="Times New Roman" w:eastAsia="黑体" w:cs="Times New Roman"/>
                          <w:sz w:val="28"/>
                          <w:szCs w:val="28"/>
                        </w:rPr>
                        <w:t>Inductively coupled plasma mass spectrometry</w:t>
                      </w:r>
                    </w:p>
                    <w:p>
                      <w:pPr>
                        <w:pStyle w:val="31"/>
                        <w:ind w:left="601" w:hanging="181"/>
                        <w:rPr>
                          <w:rFonts w:hAnsi="宋体"/>
                          <w:b/>
                        </w:rPr>
                      </w:pPr>
                      <w:r>
                        <w:rPr>
                          <w:rFonts w:hint="eastAsia" w:hAnsi="宋体"/>
                          <w:b/>
                        </w:rPr>
                        <w:t>（</w:t>
                      </w:r>
                      <w:r>
                        <w:rPr>
                          <w:rFonts w:hint="eastAsia" w:hAnsi="宋体"/>
                          <w:b/>
                          <w:lang w:eastAsia="zh-CN"/>
                        </w:rPr>
                        <w:t>讨论</w:t>
                      </w:r>
                      <w:r>
                        <w:rPr>
                          <w:rFonts w:hint="eastAsia" w:hAnsi="宋体"/>
                          <w:b/>
                        </w:rPr>
                        <w:t>稿）</w:t>
                      </w:r>
                    </w:p>
                    <w:p>
                      <w:pPr>
                        <w:pStyle w:val="31"/>
                        <w:ind w:left="601" w:hanging="181"/>
                        <w:rPr>
                          <w:rFonts w:hAnsi="宋体"/>
                          <w:b/>
                        </w:rPr>
                      </w:pPr>
                      <w:r>
                        <w:fldChar w:fldCharType="begin">
                          <w:ffData>
                            <w:name w:val="YZBS"/>
                            <w:enabled/>
                            <w:calcOnExit w:val="0"/>
                            <w:textInput>
                              <w:default w:val="2022年10月31日"/>
                            </w:textInput>
                          </w:ffData>
                        </w:fldChar>
                      </w:r>
                      <w:bookmarkStart w:id="37" w:name="YZBS"/>
                      <w:r>
                        <w:instrText xml:space="preserve"> FORMTEXT </w:instrText>
                      </w:r>
                      <w:r>
                        <w:fldChar w:fldCharType="separate"/>
                      </w: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02</w:t>
                      </w:r>
                      <w:r>
                        <w:rPr>
                          <w:rFonts w:hint="eastAsia"/>
                        </w:rPr>
                        <w:t>日</w:t>
                      </w:r>
                      <w:r>
                        <w:fldChar w:fldCharType="end"/>
                      </w:r>
                      <w:bookmarkEnd w:id="37"/>
                    </w:p>
                    <w:p>
                      <w:pPr>
                        <w:pStyle w:val="50"/>
                      </w:pPr>
                    </w:p>
                    <w:p>
                      <w:pPr>
                        <w:pStyle w:val="40"/>
                        <w:spacing w:before="370"/>
                        <w:rPr>
                          <w:rFonts w:hAnsi="宋体" w:eastAsia="宋体" w:cs="宋体"/>
                          <w:sz w:val="24"/>
                          <w:szCs w:val="24"/>
                        </w:rPr>
                      </w:pPr>
                      <w:r>
                        <w:rPr>
                          <w:rFonts w:hint="eastAsia" w:hAnsi="宋体" w:eastAsia="宋体" w:cs="宋体"/>
                          <w:sz w:val="24"/>
                          <w:szCs w:val="24"/>
                        </w:rPr>
                        <w:t>(在提交反馈意见时，请将您知道的相关专利连同支持性文件一并附上)</w:t>
                      </w:r>
                    </w:p>
                    <w:p>
                      <w:pPr>
                        <w:pStyle w:val="50"/>
                        <w:rPr>
                          <w:color w:val="000000"/>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66675</wp:posOffset>
                </wp:positionH>
                <wp:positionV relativeFrom="margin">
                  <wp:posOffset>1584960</wp:posOffset>
                </wp:positionV>
                <wp:extent cx="5802630" cy="693420"/>
                <wp:effectExtent l="0" t="0" r="7620" b="11430"/>
                <wp:wrapNone/>
                <wp:docPr id="4" name="fmFrame3"/>
                <wp:cNvGraphicFramePr/>
                <a:graphic xmlns:a="http://schemas.openxmlformats.org/drawingml/2006/main">
                  <a:graphicData uri="http://schemas.microsoft.com/office/word/2010/wordprocessingShape">
                    <wps:wsp>
                      <wps:cNvSpPr txBox="1"/>
                      <wps:spPr>
                        <a:xfrm>
                          <a:off x="0" y="0"/>
                          <a:ext cx="5802630" cy="693420"/>
                        </a:xfrm>
                        <a:prstGeom prst="rect">
                          <a:avLst/>
                        </a:prstGeom>
                        <a:solidFill>
                          <a:srgbClr val="FFFFFF"/>
                        </a:solidFill>
                        <a:ln>
                          <a:noFill/>
                        </a:ln>
                      </wps:spPr>
                      <wps:txbx>
                        <w:txbxContent>
                          <w:p>
                            <w:pPr>
                              <w:keepNext w:val="0"/>
                              <w:keepLines w:val="0"/>
                              <w:pageBreakBefore w:val="0"/>
                              <w:widowControl w:val="0"/>
                              <w:kinsoku/>
                              <w:wordWrap/>
                              <w:overflowPunct/>
                              <w:topLinePunct w:val="0"/>
                              <w:bidi w:val="0"/>
                              <w:adjustRightInd/>
                              <w:snapToGrid/>
                              <w:spacing w:line="240" w:lineRule="auto"/>
                              <w:jc w:val="right"/>
                              <w:textAlignment w:val="auto"/>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r>
                              <w:rPr>
                                <w:rFonts w:hint="eastAsia" w:ascii="黑体" w:eastAsia="黑体"/>
                                <w:sz w:val="28"/>
                              </w:rPr>
                              <w:t xml:space="preserve">  </w:t>
                            </w:r>
                          </w:p>
                          <w:p>
                            <w:pPr>
                              <w:pStyle w:val="30"/>
                            </w:pPr>
                          </w:p>
                        </w:txbxContent>
                      </wps:txbx>
                      <wps:bodyPr wrap="square" lIns="0" tIns="0" rIns="0" bIns="0" upright="1"/>
                    </wps:wsp>
                  </a:graphicData>
                </a:graphic>
              </wp:anchor>
            </w:drawing>
          </mc:Choice>
          <mc:Fallback>
            <w:pict>
              <v:shape id="fmFrame3" o:spid="_x0000_s1026" o:spt="202" type="#_x0000_t202" style="position:absolute;left:0pt;margin-left:5.25pt;margin-top:124.8pt;height:54.6pt;width:456.9pt;mso-position-horizontal-relative:margin;mso-position-vertical-relative:margin;z-index:251661312;mso-width-relative:page;mso-height-relative:page;" fillcolor="#FFFFFF" filled="t" stroked="f" coordsize="21600,21600" o:gfxdata="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3STGNkAAAAKAQAADwAAAAAAAAABACAAAAAiAAAAZHJz&#10;L2Rvd25yZXYueG1sUEsBAhQAFAAAAAgAh07iQL9E/XPKAQAApgMAAA4AAAAAAAAAAQAgAAAAKAEA&#10;AGRycy9lMm9Eb2MueG1sUEsFBgAAAAAGAAYAWQEAAGQFAAAAAA==&#10;">
                <v:fill on="t" focussize="0,0"/>
                <v:stroke on="f"/>
                <v:imagedata o:title=""/>
                <o:lock v:ext="edit" aspectratio="f"/>
                <v:textbox inset="0mm,0mm,0mm,0mm">
                  <w:txbxContent>
                    <w:p>
                      <w:pPr>
                        <w:keepNext w:val="0"/>
                        <w:keepLines w:val="0"/>
                        <w:pageBreakBefore w:val="0"/>
                        <w:widowControl w:val="0"/>
                        <w:kinsoku/>
                        <w:wordWrap/>
                        <w:overflowPunct/>
                        <w:topLinePunct w:val="0"/>
                        <w:bidi w:val="0"/>
                        <w:adjustRightInd/>
                        <w:snapToGrid/>
                        <w:spacing w:line="240" w:lineRule="auto"/>
                        <w:jc w:val="right"/>
                        <w:textAlignment w:val="auto"/>
                      </w:pPr>
                      <w:r>
                        <w:rPr>
                          <w:rFonts w:hint="eastAsia" w:ascii="黑体" w:hAnsi="黑体" w:eastAsia="黑体" w:cs="黑体"/>
                          <w:sz w:val="28"/>
                          <w:szCs w:val="28"/>
                        </w:rPr>
                        <w:t>T/CNIA XXXX—</w:t>
                      </w:r>
                      <w:r>
                        <w:rPr>
                          <w:rFonts w:hint="eastAsia" w:ascii="黑体" w:hAnsi="黑体" w:eastAsia="黑体" w:cs="黑体"/>
                          <w:sz w:val="28"/>
                          <w:szCs w:val="28"/>
                        </w:rPr>
                        <w:fldChar w:fldCharType="begin">
                          <w:ffData>
                            <w:name w:val="StdNo2"/>
                            <w:enabled/>
                            <w:calcOnExit w:val="0"/>
                            <w:textInput>
                              <w:default w:val="XXXX"/>
                              <w:maxLength w:val="4"/>
                            </w:textInput>
                          </w:ffData>
                        </w:fldChar>
                      </w:r>
                      <w:r>
                        <w:rPr>
                          <w:rFonts w:hint="eastAsia" w:ascii="黑体" w:hAnsi="黑体" w:eastAsia="黑体" w:cs="黑体"/>
                          <w:sz w:val="28"/>
                          <w:szCs w:val="28"/>
                        </w:rPr>
                        <w:instrText xml:space="preserve"> FORMTEXT </w:instrText>
                      </w:r>
                      <w:r>
                        <w:rPr>
                          <w:rFonts w:hint="eastAsia" w:ascii="黑体" w:hAnsi="黑体" w:eastAsia="黑体" w:cs="黑体"/>
                          <w:sz w:val="28"/>
                          <w:szCs w:val="28"/>
                        </w:rPr>
                        <w:fldChar w:fldCharType="separate"/>
                      </w:r>
                      <w:r>
                        <w:rPr>
                          <w:rFonts w:hint="eastAsia" w:ascii="黑体" w:hAnsi="黑体" w:eastAsia="黑体" w:cs="黑体"/>
                          <w:sz w:val="28"/>
                          <w:szCs w:val="28"/>
                        </w:rPr>
                        <w:t>XXXX</w:t>
                      </w:r>
                      <w:r>
                        <w:rPr>
                          <w:rFonts w:hint="eastAsia" w:ascii="黑体" w:hAnsi="黑体" w:eastAsia="黑体" w:cs="黑体"/>
                          <w:sz w:val="28"/>
                          <w:szCs w:val="28"/>
                        </w:rPr>
                        <w:fldChar w:fldCharType="end"/>
                      </w:r>
                      <w:r>
                        <w:rPr>
                          <w:rFonts w:hint="eastAsia" w:ascii="黑体" w:eastAsia="黑体"/>
                          <w:sz w:val="28"/>
                        </w:rPr>
                        <w:t xml:space="preserve">  </w:t>
                      </w:r>
                    </w:p>
                    <w:p>
                      <w:pPr>
                        <w:pStyle w:val="30"/>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587375</wp:posOffset>
                </wp:positionV>
                <wp:extent cx="6120130" cy="814705"/>
                <wp:effectExtent l="0" t="0" r="13970" b="4445"/>
                <wp:wrapNone/>
                <wp:docPr id="2" name="fmFrame2"/>
                <wp:cNvGraphicFramePr/>
                <a:graphic xmlns:a="http://schemas.openxmlformats.org/drawingml/2006/main">
                  <a:graphicData uri="http://schemas.microsoft.com/office/word/2010/wordprocessingShape">
                    <wps:wsp>
                      <wps:cNvSpPr txBox="1"/>
                      <wps:spPr>
                        <a:xfrm>
                          <a:off x="0" y="0"/>
                          <a:ext cx="6120130" cy="814705"/>
                        </a:xfrm>
                        <a:prstGeom prst="rect">
                          <a:avLst/>
                        </a:prstGeom>
                        <a:solidFill>
                          <a:srgbClr val="FFFFFF"/>
                        </a:solidFill>
                        <a:ln>
                          <a:noFill/>
                        </a:ln>
                      </wps:spPr>
                      <wps:txbx>
                        <w:txbxContent>
                          <w:p>
                            <w:pPr>
                              <w:pStyle w:val="32"/>
                              <w:rPr>
                                <w:rFonts w:hint="eastAsia" w:eastAsia="黑体"/>
                                <w:lang w:eastAsia="zh-CN"/>
                              </w:rPr>
                            </w:pPr>
                            <w:r>
                              <w:rPr>
                                <w:rFonts w:hint="eastAsia"/>
                                <w:sz w:val="84"/>
                                <w:szCs w:val="84"/>
                                <w:lang w:eastAsia="zh-CN"/>
                              </w:rPr>
                              <w:t>团体标准</w:t>
                            </w:r>
                          </w:p>
                        </w:txbxContent>
                      </wps:txbx>
                      <wps:bodyPr wrap="square" lIns="0" tIns="0" rIns="0" bIns="0" upright="1"/>
                    </wps:wsp>
                  </a:graphicData>
                </a:graphic>
              </wp:anchor>
            </w:drawing>
          </mc:Choice>
          <mc:Fallback>
            <w:pict>
              <v:shape id="fmFrame2" o:spid="_x0000_s1026" o:spt="202" type="#_x0000_t202" style="position:absolute;left:0pt;margin-left:0pt;margin-top:46.25pt;height:64.15pt;width:481.9pt;mso-position-horizontal-relative:margin;mso-position-vertical-relative:margin;z-index:251660288;mso-width-relative:page;mso-height-relative:page;" fillcolor="#FFFFFF" filled="t" stroked="f" coordsize="21600,21600" o:gfxdata="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a4BxdcAAAAHAQAADwAAAAAAAAABACAAAAAiAAAAZHJzL2Rvd25y&#10;ZXYueG1sUEsBAhQAFAAAAAgAh07iQIsmvwLGAQAApgMAAA4AAAAAAAAAAQAgAAAAJgEAAGRycy9l&#10;Mm9Eb2MueG1sUEsFBgAAAAAGAAYAWQEAAF4FAAAAAA==&#10;">
                <v:fill on="t" focussize="0,0"/>
                <v:stroke on="f"/>
                <v:imagedata o:title=""/>
                <o:lock v:ext="edit" aspectratio="f"/>
                <v:textbox inset="0mm,0mm,0mm,0mm">
                  <w:txbxContent>
                    <w:p>
                      <w:pPr>
                        <w:pStyle w:val="32"/>
                        <w:rPr>
                          <w:rFonts w:hint="eastAsia" w:eastAsia="黑体"/>
                          <w:lang w:eastAsia="zh-CN"/>
                        </w:rPr>
                      </w:pPr>
                      <w:r>
                        <w:rPr>
                          <w:rFonts w:hint="eastAsia"/>
                          <w:sz w:val="84"/>
                          <w:szCs w:val="84"/>
                          <w:lang w:eastAsia="zh-CN"/>
                        </w:rPr>
                        <w:t>团体标准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45"/>
                              <w:rPr>
                                <w:rFonts w:ascii="黑体"/>
                              </w:rPr>
                            </w:pPr>
                            <w:r>
                              <w:rPr>
                                <w:rFonts w:hint="eastAsia" w:ascii="黑体"/>
                              </w:rPr>
                              <w:t>ICS 77.040</w:t>
                            </w:r>
                          </w:p>
                          <w:p>
                            <w:pPr>
                              <w:pStyle w:val="45"/>
                              <w:rPr>
                                <w:rFonts w:ascii="黑体"/>
                              </w:rPr>
                            </w:pPr>
                            <w:r>
                              <w:rPr>
                                <w:rFonts w:hint="eastAsia" w:ascii="黑体"/>
                              </w:rPr>
                              <w:t>H 17</w:t>
                            </w: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45"/>
                        <w:rPr>
                          <w:rFonts w:ascii="黑体"/>
                        </w:rPr>
                      </w:pPr>
                      <w:r>
                        <w:rPr>
                          <w:rFonts w:hint="eastAsia" w:ascii="黑体"/>
                        </w:rPr>
                        <w:t>ICS 77.040</w:t>
                      </w:r>
                    </w:p>
                    <w:p>
                      <w:pPr>
                        <w:pStyle w:val="45"/>
                        <w:rPr>
                          <w:rFonts w:ascii="黑体"/>
                        </w:rPr>
                      </w:pPr>
                      <w:r>
                        <w:rPr>
                          <w:rFonts w:hint="eastAsia" w:ascii="黑体"/>
                        </w:rPr>
                        <w:t>H 17</w:t>
                      </w:r>
                    </w:p>
                  </w:txbxContent>
                </v:textbox>
                <w10:anchorlock/>
              </v:shape>
            </w:pict>
          </mc:Fallback>
        </mc:AlternateContent>
      </w:r>
    </w:p>
    <w:bookmarkEnd w:id="0"/>
    <w:p>
      <w:pPr>
        <w:pStyle w:val="52"/>
        <w:numPr>
          <w:ilvl w:val="0"/>
          <w:numId w:val="0"/>
        </w:numPr>
      </w:pPr>
      <w:bookmarkStart w:id="1" w:name="_Toc86495519"/>
      <w:bookmarkStart w:id="2" w:name="_Toc113094791"/>
      <w:bookmarkStart w:id="3" w:name="_Toc85459512"/>
      <w:bookmarkStart w:id="4" w:name="_Toc113094939"/>
      <w:bookmarkStart w:id="5" w:name="_Toc86495692"/>
      <w:bookmarkStart w:id="6" w:name="_Toc113094861"/>
      <w:bookmarkStart w:id="7" w:name="SectionMark2"/>
      <w:r>
        <w:rPr>
          <w:rFonts w:hint="eastAsia"/>
        </w:rPr>
        <w:t>前    言</w:t>
      </w:r>
      <w:bookmarkEnd w:id="1"/>
      <w:bookmarkEnd w:id="2"/>
      <w:bookmarkEnd w:id="3"/>
      <w:bookmarkEnd w:id="4"/>
      <w:bookmarkEnd w:id="5"/>
      <w:bookmarkEnd w:id="6"/>
    </w:p>
    <w:p>
      <w:pPr>
        <w:pStyle w:val="16"/>
        <w:tabs>
          <w:tab w:val="center" w:pos="4201"/>
          <w:tab w:val="right" w:leader="dot" w:pos="9298"/>
        </w:tabs>
        <w:ind w:firstLine="420"/>
        <w:rPr>
          <w:rFonts w:hAnsi="宋体"/>
          <w:szCs w:val="21"/>
        </w:rPr>
      </w:pPr>
      <w:r>
        <w:rPr>
          <w:rFonts w:hint="eastAsia" w:hAnsi="宋体"/>
          <w:szCs w:val="21"/>
        </w:rPr>
        <w:t>本文件按照GB/T 1.1-20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第1部分：标准化文件的结构和起草规则》的规定起草。</w:t>
      </w:r>
    </w:p>
    <w:p>
      <w:pPr>
        <w:pStyle w:val="16"/>
        <w:tabs>
          <w:tab w:val="center" w:pos="4201"/>
          <w:tab w:val="right" w:leader="dot" w:pos="9298"/>
        </w:tabs>
        <w:ind w:firstLine="420"/>
      </w:pPr>
      <w:bookmarkStart w:id="8" w:name="_Hlk39932491"/>
      <w:r>
        <w:rPr>
          <w:rFonts w:hint="eastAsia"/>
        </w:rPr>
        <w:t>请注意本文件的某些内容可能涉及专利。本文件的发布机构不承担识别专利的责任。</w:t>
      </w:r>
    </w:p>
    <w:p>
      <w:pPr>
        <w:pStyle w:val="16"/>
        <w:tabs>
          <w:tab w:val="center" w:pos="4201"/>
          <w:tab w:val="right" w:leader="dot" w:pos="9298"/>
        </w:tabs>
        <w:ind w:firstLine="420"/>
        <w:rPr>
          <w:rFonts w:hAnsi="宋体"/>
          <w:szCs w:val="21"/>
        </w:rPr>
      </w:pPr>
      <w:r>
        <w:rPr>
          <w:rFonts w:hint="eastAsia" w:hAnsi="宋体"/>
          <w:szCs w:val="21"/>
        </w:rPr>
        <w:t>本文件由全国有色金属标准化技术委员会（SAC/TC243）</w:t>
      </w:r>
      <w:r>
        <w:rPr>
          <w:rFonts w:hint="eastAsia" w:hAnsi="宋体"/>
        </w:rPr>
        <w:t>、全国半导体设备和材料标准化技术委员会材料分技术委员会（SAC/TC203/SC2）提出并</w:t>
      </w:r>
      <w:r>
        <w:rPr>
          <w:rFonts w:hint="eastAsia" w:hAnsi="宋体"/>
          <w:szCs w:val="21"/>
        </w:rPr>
        <w:t>归口。</w:t>
      </w:r>
    </w:p>
    <w:bookmarkEnd w:id="8"/>
    <w:p>
      <w:pPr>
        <w:pStyle w:val="16"/>
        <w:tabs>
          <w:tab w:val="center" w:pos="4201"/>
          <w:tab w:val="right" w:leader="dot" w:pos="9298"/>
        </w:tabs>
        <w:ind w:firstLine="420"/>
        <w:rPr>
          <w:rFonts w:hint="eastAsia" w:hAnsi="Times New Roman" w:cs="Times New Roman"/>
          <w:color w:val="auto"/>
          <w:szCs w:val="21"/>
          <w:highlight w:val="none"/>
          <w:lang w:eastAsia="zh-CN"/>
        </w:rPr>
      </w:pPr>
      <w:r>
        <w:rPr>
          <w:rFonts w:hint="eastAsia"/>
        </w:rPr>
        <w:t>本文件起草单位：</w:t>
      </w:r>
      <w:r>
        <w:rPr>
          <w:rFonts w:hint="eastAsia" w:hAnsi="宋体"/>
          <w:szCs w:val="21"/>
        </w:rPr>
        <w:t>亚洲硅业（青海）股份有限公司、</w:t>
      </w:r>
      <w:r>
        <w:rPr>
          <w:rFonts w:hint="eastAsia"/>
          <w:color w:val="auto"/>
          <w:szCs w:val="21"/>
          <w:highlight w:val="none"/>
        </w:rPr>
        <w:t>新特能源股份有限公司</w:t>
      </w:r>
      <w:r>
        <w:rPr>
          <w:rFonts w:hint="eastAsia"/>
          <w:color w:val="auto"/>
          <w:szCs w:val="21"/>
          <w:highlight w:val="none"/>
          <w:lang w:eastAsia="zh-CN"/>
        </w:rPr>
        <w:t>、</w:t>
      </w:r>
      <w:r>
        <w:rPr>
          <w:rFonts w:hint="eastAsia" w:hAnsi="Times New Roman" w:cs="Times New Roman"/>
          <w:color w:val="auto"/>
          <w:szCs w:val="21"/>
          <w:highlight w:val="none"/>
        </w:rPr>
        <w:t>四川永祥股份有限公司、洛阳中硅高科技有限公司、江苏中能硅业科技发展有限公司</w:t>
      </w:r>
    </w:p>
    <w:p>
      <w:pPr>
        <w:ind w:firstLine="420" w:firstLineChars="200"/>
        <w:rPr>
          <w:rFonts w:hint="eastAsia" w:ascii="宋体" w:hAnsi="宋体" w:eastAsia="宋体"/>
          <w:kern w:val="0"/>
          <w:szCs w:val="21"/>
          <w:lang w:eastAsia="zh-CN"/>
        </w:rPr>
      </w:pPr>
      <w:r>
        <w:rPr>
          <w:rFonts w:hint="eastAsia" w:ascii="宋体" w:hAnsi="宋体"/>
          <w:kern w:val="0"/>
          <w:szCs w:val="21"/>
        </w:rPr>
        <w:t>本文件主要起草人：</w:t>
      </w:r>
    </w:p>
    <w:p>
      <w:pPr>
        <w:pStyle w:val="16"/>
        <w:ind w:firstLine="420"/>
      </w:pPr>
    </w:p>
    <w:p>
      <w:pPr>
        <w:pStyle w:val="16"/>
        <w:ind w:firstLine="420"/>
        <w:sectPr>
          <w:headerReference r:id="rId7" w:type="default"/>
          <w:footerReference r:id="rId9" w:type="default"/>
          <w:headerReference r:id="rId8" w:type="even"/>
          <w:footerReference r:id="rId10" w:type="even"/>
          <w:pgSz w:w="11906" w:h="16838"/>
          <w:pgMar w:top="1418" w:right="1418" w:bottom="1418" w:left="1418" w:header="851" w:footer="992" w:gutter="0"/>
          <w:pgNumType w:fmt="upperRoman" w:start="1"/>
          <w:cols w:space="720" w:num="1"/>
          <w:docGrid w:type="lines" w:linePitch="312" w:charSpace="0"/>
        </w:sectPr>
      </w:pPr>
    </w:p>
    <w:bookmarkEnd w:id="7"/>
    <w:p>
      <w:pPr>
        <w:pStyle w:val="60"/>
        <w:spacing w:line="240" w:lineRule="auto"/>
        <w:rPr>
          <w:rFonts w:hint="eastAsia" w:eastAsia="黑体"/>
          <w:lang w:eastAsia="zh-CN"/>
        </w:rPr>
      </w:pPr>
      <w:bookmarkStart w:id="9" w:name="SectionMark4"/>
      <w:r>
        <w:rPr>
          <w:rFonts w:hint="eastAsia"/>
        </w:rPr>
        <w:t>硅多晶</w:t>
      </w:r>
      <w:r>
        <w:rPr>
          <w:rFonts w:hint="eastAsia"/>
          <w:lang w:eastAsia="zh-CN"/>
        </w:rPr>
        <w:t>用包装袋内表面杂质含量的测定</w:t>
      </w:r>
      <w:r>
        <w:rPr>
          <w:rFonts w:hint="eastAsia"/>
        </w:rPr>
        <w:t xml:space="preserve"> </w:t>
      </w:r>
      <w:r>
        <w:rPr>
          <w:rFonts w:hint="eastAsia"/>
          <w:lang w:eastAsia="zh-CN"/>
        </w:rPr>
        <w:t>电感耦合等离子体质谱法</w:t>
      </w:r>
    </w:p>
    <w:p>
      <w:pPr>
        <w:spacing w:before="312" w:beforeLines="100" w:after="312" w:afterLines="100"/>
        <w:rPr>
          <w:rFonts w:ascii="黑体" w:hAnsi="黑体" w:eastAsia="黑体"/>
        </w:rPr>
      </w:pPr>
      <w:bookmarkStart w:id="10" w:name="_Toc113094940"/>
      <w:bookmarkStart w:id="11" w:name="_Toc86495520"/>
      <w:bookmarkStart w:id="12" w:name="_Toc85459513"/>
      <w:bookmarkStart w:id="13" w:name="_Toc113094792"/>
      <w:bookmarkStart w:id="14" w:name="_Toc113094862"/>
      <w:bookmarkStart w:id="15" w:name="_Toc86495693"/>
      <w:r>
        <w:rPr>
          <w:rFonts w:hint="eastAsia" w:ascii="黑体" w:hAnsi="黑体" w:eastAsia="黑体"/>
        </w:rPr>
        <w:t>1  范围</w:t>
      </w:r>
      <w:bookmarkEnd w:id="10"/>
      <w:bookmarkEnd w:id="11"/>
      <w:bookmarkEnd w:id="12"/>
      <w:bookmarkEnd w:id="13"/>
      <w:bookmarkEnd w:id="14"/>
      <w:bookmarkEnd w:id="15"/>
    </w:p>
    <w:p>
      <w:pPr>
        <w:pStyle w:val="16"/>
        <w:ind w:firstLine="420"/>
      </w:pPr>
      <w:bookmarkStart w:id="16" w:name="OLE_LINK2"/>
      <w:r>
        <w:rPr>
          <w:rFonts w:hint="eastAsia"/>
        </w:rPr>
        <w:t>本文件</w:t>
      </w:r>
      <w:r>
        <w:rPr>
          <w:rFonts w:hint="eastAsia" w:ascii="宋体" w:hAnsi="宋体"/>
        </w:rPr>
        <w:t>规定了</w:t>
      </w:r>
      <w:r>
        <w:rPr>
          <w:rFonts w:hint="eastAsia" w:hAnsi="宋体"/>
          <w:lang w:eastAsia="zh-CN"/>
        </w:rPr>
        <w:t>硅</w:t>
      </w:r>
      <w:r>
        <w:rPr>
          <w:rFonts w:hint="eastAsia" w:ascii="宋体" w:hAnsi="宋体"/>
        </w:rPr>
        <w:t>多晶</w:t>
      </w:r>
      <w:r>
        <w:rPr>
          <w:rFonts w:hint="eastAsia" w:ascii="宋体" w:hAnsi="宋体"/>
          <w:lang w:val="en-US" w:eastAsia="zh-CN"/>
        </w:rPr>
        <w:t>用包装袋</w:t>
      </w:r>
      <w:r>
        <w:rPr>
          <w:rFonts w:hint="eastAsia" w:hAnsi="宋体"/>
          <w:lang w:val="en-US" w:eastAsia="zh-CN"/>
        </w:rPr>
        <w:t>内</w:t>
      </w:r>
      <w:r>
        <w:rPr>
          <w:rFonts w:hint="eastAsia" w:ascii="宋体" w:hAnsi="宋体"/>
          <w:lang w:val="en-US" w:eastAsia="zh-CN"/>
        </w:rPr>
        <w:t>表面杂质含量的分析方法</w:t>
      </w:r>
      <w:r>
        <w:rPr>
          <w:rFonts w:hint="eastAsia" w:ascii="宋体" w:hAnsi="宋体"/>
        </w:rPr>
        <w:t>。</w:t>
      </w:r>
    </w:p>
    <w:p>
      <w:pPr>
        <w:pStyle w:val="16"/>
        <w:ind w:firstLine="420"/>
      </w:pPr>
      <w:r>
        <w:rPr>
          <w:rFonts w:hint="eastAsia"/>
        </w:rPr>
        <w:t>本文件</w:t>
      </w:r>
      <w:r>
        <w:rPr>
          <w:rFonts w:hint="eastAsia" w:ascii="宋体" w:hAnsi="宋体"/>
        </w:rPr>
        <w:t>适用于</w:t>
      </w:r>
      <w:r>
        <w:rPr>
          <w:rFonts w:hint="eastAsia" w:hAnsi="宋体"/>
          <w:lang w:eastAsia="zh-CN"/>
        </w:rPr>
        <w:t>硅</w:t>
      </w:r>
      <w:r>
        <w:rPr>
          <w:rFonts w:hint="eastAsia" w:ascii="宋体" w:hAnsi="宋体"/>
        </w:rPr>
        <w:t>多晶</w:t>
      </w:r>
      <w:r>
        <w:rPr>
          <w:rFonts w:hint="eastAsia" w:ascii="宋体" w:hAnsi="宋体"/>
          <w:lang w:val="en-US" w:eastAsia="zh-CN"/>
        </w:rPr>
        <w:t>用包装袋</w:t>
      </w:r>
      <w:r>
        <w:rPr>
          <w:rFonts w:hint="eastAsia" w:hAnsi="宋体"/>
          <w:lang w:val="en-US" w:eastAsia="zh-CN"/>
        </w:rPr>
        <w:t>内</w:t>
      </w:r>
      <w:r>
        <w:rPr>
          <w:rFonts w:hint="eastAsia" w:ascii="宋体" w:hAnsi="宋体"/>
          <w:lang w:val="en-US" w:eastAsia="zh-CN"/>
        </w:rPr>
        <w:t>表面金属杂质含量的测定，</w:t>
      </w:r>
      <w:r>
        <w:rPr>
          <w:rFonts w:hint="eastAsia" w:hAnsi="宋体"/>
          <w:lang w:val="en-US" w:eastAsia="zh-CN"/>
        </w:rPr>
        <w:t>各元素检出限1pg/cm</w:t>
      </w:r>
      <w:r>
        <w:rPr>
          <w:rFonts w:hint="eastAsia" w:hAnsi="宋体"/>
          <w:vertAlign w:val="superscript"/>
          <w:lang w:val="en-US" w:eastAsia="zh-CN"/>
        </w:rPr>
        <w:t>2</w:t>
      </w:r>
      <w:r>
        <w:rPr>
          <w:rFonts w:hint="eastAsia"/>
        </w:rPr>
        <w:t>。</w:t>
      </w:r>
    </w:p>
    <w:bookmarkEnd w:id="16"/>
    <w:p>
      <w:pPr>
        <w:spacing w:before="312" w:beforeLines="100" w:after="312" w:afterLines="100"/>
        <w:rPr>
          <w:rFonts w:ascii="黑体" w:hAnsi="黑体" w:eastAsia="黑体"/>
        </w:rPr>
      </w:pPr>
      <w:bookmarkStart w:id="17" w:name="_Toc86495521"/>
      <w:bookmarkStart w:id="18" w:name="_Toc113094793"/>
      <w:bookmarkStart w:id="19" w:name="_Toc86495694"/>
      <w:bookmarkStart w:id="20" w:name="_Toc113094941"/>
      <w:bookmarkStart w:id="21" w:name="_Toc85459514"/>
      <w:bookmarkStart w:id="22" w:name="_Toc113094863"/>
      <w:r>
        <w:rPr>
          <w:rFonts w:hint="eastAsia" w:ascii="黑体" w:hAnsi="黑体" w:eastAsia="黑体"/>
        </w:rPr>
        <w:t>2  规范性引用文件</w:t>
      </w:r>
      <w:bookmarkEnd w:id="17"/>
      <w:bookmarkEnd w:id="18"/>
      <w:bookmarkEnd w:id="19"/>
      <w:bookmarkEnd w:id="20"/>
      <w:bookmarkEnd w:id="21"/>
      <w:bookmarkEnd w:id="22"/>
    </w:p>
    <w:p>
      <w:pPr>
        <w:pStyle w:val="16"/>
        <w:ind w:firstLine="420"/>
      </w:pPr>
      <w:r>
        <w:rPr>
          <w:rFonts w:hint="eastAsia"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color w:val="000000"/>
          <w:szCs w:val="21"/>
          <w:shd w:val="clear" w:color="auto" w:fill="FFFFFF"/>
        </w:rPr>
      </w:pPr>
      <w:r>
        <w:rPr>
          <w:rFonts w:hint="eastAsia"/>
          <w:szCs w:val="21"/>
          <w:lang w:val="en-US" w:eastAsia="zh-CN"/>
        </w:rPr>
        <w:t>GB/T 11446.1 电子级水</w:t>
      </w:r>
    </w:p>
    <w:p>
      <w:pPr>
        <w:pStyle w:val="16"/>
        <w:tabs>
          <w:tab w:val="center" w:pos="4201"/>
          <w:tab w:val="right" w:leader="dot" w:pos="9298"/>
        </w:tabs>
        <w:rPr>
          <w:rFonts w:hint="eastAsia"/>
          <w:color w:val="000000"/>
          <w:szCs w:val="21"/>
          <w:shd w:val="clear" w:color="auto" w:fill="FFFFFF"/>
        </w:rPr>
      </w:pPr>
      <w:r>
        <w:rPr>
          <w:rFonts w:ascii="Times New Roman"/>
          <w:color w:val="000000"/>
          <w:szCs w:val="21"/>
          <w:shd w:val="clear" w:color="auto" w:fill="FFFFFF"/>
        </w:rPr>
        <w:t>GB/T</w:t>
      </w:r>
      <w:r>
        <w:rPr>
          <w:rFonts w:hint="eastAsia" w:ascii="Times New Roman"/>
          <w:color w:val="000000"/>
          <w:szCs w:val="21"/>
          <w:shd w:val="clear" w:color="auto" w:fill="FFFFFF"/>
          <w:lang w:val="en-US" w:eastAsia="zh-CN"/>
        </w:rPr>
        <w:t xml:space="preserve"> 12963</w:t>
      </w:r>
      <w:r>
        <w:rPr>
          <w:rFonts w:hint="eastAsia"/>
          <w:color w:val="000000"/>
          <w:szCs w:val="21"/>
          <w:shd w:val="clear" w:color="auto" w:fill="FFFFFF"/>
        </w:rPr>
        <w:t xml:space="preserve"> </w:t>
      </w:r>
      <w:r>
        <w:rPr>
          <w:rFonts w:hint="eastAsia"/>
          <w:color w:val="000000"/>
          <w:szCs w:val="21"/>
          <w:shd w:val="clear" w:color="auto" w:fill="FFFFFF"/>
          <w:lang w:eastAsia="zh-CN"/>
        </w:rPr>
        <w:t>电子</w:t>
      </w:r>
      <w:r>
        <w:rPr>
          <w:rFonts w:hint="eastAsia"/>
          <w:color w:val="000000"/>
          <w:szCs w:val="21"/>
          <w:shd w:val="clear" w:color="auto" w:fill="FFFFFF"/>
        </w:rPr>
        <w:t>级多晶硅</w:t>
      </w:r>
    </w:p>
    <w:p>
      <w:pPr>
        <w:pStyle w:val="16"/>
        <w:tabs>
          <w:tab w:val="center" w:pos="4201"/>
          <w:tab w:val="right" w:leader="dot" w:pos="9298"/>
        </w:tabs>
        <w:rPr>
          <w:rFonts w:hint="eastAsia"/>
          <w:color w:val="000000"/>
          <w:szCs w:val="21"/>
          <w:shd w:val="clear" w:color="auto" w:fill="FFFFFF"/>
        </w:rPr>
      </w:pPr>
      <w:r>
        <w:rPr>
          <w:rFonts w:ascii="Times New Roman"/>
          <w:color w:val="000000"/>
          <w:szCs w:val="21"/>
          <w:shd w:val="clear" w:color="auto" w:fill="FFFFFF"/>
        </w:rPr>
        <w:t>GB/T</w:t>
      </w:r>
      <w:r>
        <w:rPr>
          <w:rFonts w:hint="eastAsia" w:ascii="Times New Roman"/>
          <w:color w:val="000000"/>
          <w:szCs w:val="21"/>
          <w:shd w:val="clear" w:color="auto" w:fill="FFFFFF"/>
          <w:lang w:val="en-US" w:eastAsia="zh-CN"/>
        </w:rPr>
        <w:t xml:space="preserve"> </w:t>
      </w:r>
      <w:r>
        <w:rPr>
          <w:rFonts w:ascii="Times New Roman"/>
          <w:color w:val="000000"/>
          <w:szCs w:val="21"/>
          <w:shd w:val="clear" w:color="auto" w:fill="FFFFFF"/>
        </w:rPr>
        <w:t>25074</w:t>
      </w:r>
      <w:r>
        <w:rPr>
          <w:rFonts w:hint="eastAsia"/>
          <w:color w:val="000000"/>
          <w:szCs w:val="21"/>
          <w:shd w:val="clear" w:color="auto" w:fill="FFFFFF"/>
        </w:rPr>
        <w:t xml:space="preserve"> 太阳能级多晶硅</w:t>
      </w:r>
    </w:p>
    <w:p>
      <w:pPr>
        <w:pStyle w:val="16"/>
        <w:tabs>
          <w:tab w:val="center" w:pos="4201"/>
          <w:tab w:val="right" w:leader="dot" w:pos="9298"/>
        </w:tabs>
        <w:rPr>
          <w:rFonts w:ascii="Times New Roman"/>
          <w:szCs w:val="21"/>
        </w:rPr>
      </w:pPr>
      <w:r>
        <w:rPr>
          <w:rFonts w:ascii="Times New Roman"/>
          <w:szCs w:val="21"/>
        </w:rPr>
        <w:t>GB/T 25915.1</w:t>
      </w:r>
      <w:r>
        <w:rPr>
          <w:rFonts w:hint="eastAsia"/>
          <w:szCs w:val="21"/>
        </w:rPr>
        <w:t xml:space="preserve"> 洁净室及相关受控环境 第</w:t>
      </w:r>
      <w:r>
        <w:rPr>
          <w:rFonts w:ascii="Times New Roman"/>
          <w:szCs w:val="21"/>
        </w:rPr>
        <w:t>1</w:t>
      </w:r>
      <w:r>
        <w:rPr>
          <w:rFonts w:hint="eastAsia"/>
          <w:szCs w:val="21"/>
        </w:rPr>
        <w:t>部分：空气洁净度等级</w:t>
      </w:r>
    </w:p>
    <w:p>
      <w:pPr>
        <w:spacing w:before="312" w:beforeLines="100" w:after="312" w:afterLines="100"/>
        <w:rPr>
          <w:rFonts w:ascii="黑体" w:hAnsi="黑体" w:eastAsia="黑体"/>
        </w:rPr>
      </w:pPr>
      <w:r>
        <w:rPr>
          <w:rFonts w:hint="eastAsia" w:ascii="黑体" w:hAnsi="黑体" w:eastAsia="黑体"/>
        </w:rPr>
        <w:t xml:space="preserve">3  </w:t>
      </w:r>
      <w:bookmarkEnd w:id="9"/>
      <w:r>
        <w:rPr>
          <w:rFonts w:hint="eastAsia" w:ascii="黑体" w:hAnsi="黑体" w:eastAsia="黑体"/>
        </w:rPr>
        <w:t>术语和定义</w:t>
      </w:r>
    </w:p>
    <w:p>
      <w:pPr>
        <w:widowControl/>
        <w:spacing w:before="312" w:beforeLines="100" w:after="312" w:afterLines="100"/>
        <w:ind w:firstLine="420" w:firstLineChars="200"/>
        <w:outlineLvl w:val="1"/>
        <w:rPr>
          <w:rFonts w:ascii="黑体" w:hAnsi="黑体" w:eastAsia="黑体"/>
        </w:rPr>
      </w:pPr>
      <w:r>
        <w:rPr>
          <w:rFonts w:hint="eastAsia" w:ascii="宋体" w:hAnsi="宋体"/>
          <w:kern w:val="0"/>
        </w:rPr>
        <w:t>本文件没有需要界定的术语和定义。</w:t>
      </w:r>
    </w:p>
    <w:p>
      <w:pPr>
        <w:spacing w:before="312" w:beforeLines="100" w:after="312" w:afterLines="100"/>
        <w:rPr>
          <w:rFonts w:ascii="黑体" w:hAnsi="黑体" w:eastAsia="黑体"/>
        </w:rPr>
      </w:pPr>
      <w:r>
        <w:rPr>
          <w:rFonts w:hint="eastAsia" w:ascii="黑体" w:hAnsi="黑体" w:eastAsia="黑体"/>
        </w:rPr>
        <w:t>4  方法原理</w:t>
      </w:r>
      <w:r>
        <w:rPr>
          <w:rFonts w:hint="eastAsia" w:ascii="黑体" w:hAnsi="黑体" w:eastAsia="黑体"/>
        </w:rPr>
        <w:tab/>
      </w:r>
    </w:p>
    <w:p>
      <w:pPr>
        <w:pStyle w:val="16"/>
        <w:tabs>
          <w:tab w:val="center" w:pos="4201"/>
          <w:tab w:val="right" w:leader="dot" w:pos="9298"/>
        </w:tabs>
        <w:rPr>
          <w:color w:val="000000"/>
          <w:szCs w:val="21"/>
          <w:shd w:val="clear" w:color="auto" w:fill="FFFFFF"/>
        </w:rPr>
      </w:pPr>
      <w:r>
        <w:rPr>
          <w:rFonts w:hint="eastAsia"/>
          <w:color w:val="000000"/>
          <w:szCs w:val="21"/>
          <w:shd w:val="clear" w:color="auto" w:fill="FFFFFF"/>
        </w:rPr>
        <w:t>将包装袋制成一定体积的试样袋后，装入一定体积</w:t>
      </w:r>
      <w:r>
        <w:rPr>
          <w:rFonts w:ascii="Times New Roman"/>
          <w:color w:val="000000"/>
          <w:szCs w:val="21"/>
          <w:shd w:val="clear" w:color="auto" w:fill="FFFFFF"/>
        </w:rPr>
        <w:t>5%</w:t>
      </w:r>
      <w:r>
        <w:rPr>
          <w:rFonts w:hint="eastAsia"/>
          <w:color w:val="000000"/>
          <w:szCs w:val="21"/>
          <w:shd w:val="clear" w:color="auto" w:fill="FFFFFF"/>
        </w:rPr>
        <w:t>的硝酸溶液，溶解其表面金属杂质，用电感耦合等离子体质谱仪测定浸泡后溶液内各金属杂质的含量。</w:t>
      </w:r>
    </w:p>
    <w:p>
      <w:pPr>
        <w:spacing w:before="312" w:beforeLines="100" w:after="312" w:afterLines="100"/>
        <w:rPr>
          <w:rFonts w:ascii="黑体" w:hAnsi="黑体" w:eastAsia="黑体"/>
        </w:rPr>
      </w:pPr>
      <w:r>
        <w:rPr>
          <w:rFonts w:hint="eastAsia" w:ascii="黑体" w:hAnsi="黑体" w:eastAsia="黑体"/>
        </w:rPr>
        <w:t>5  干扰因素</w:t>
      </w:r>
    </w:p>
    <w:p>
      <w:pPr>
        <w:pStyle w:val="62"/>
        <w:numPr>
          <w:ilvl w:val="2"/>
          <w:numId w:val="0"/>
        </w:numPr>
      </w:pPr>
      <w:bookmarkStart w:id="23" w:name="_Toc472690679"/>
      <w:bookmarkStart w:id="24" w:name="_Toc494367470"/>
      <w:r>
        <w:rPr>
          <w:rFonts w:hint="eastAsia"/>
          <w:lang w:val="en-US" w:eastAsia="zh-CN"/>
        </w:rPr>
        <w:t>5.1</w:t>
      </w:r>
      <w:r>
        <w:rPr>
          <w:rFonts w:hint="eastAsia"/>
        </w:rPr>
        <w:t>实验室的洁净度应符合</w:t>
      </w:r>
      <w:r>
        <w:rPr>
          <w:rFonts w:ascii="Times New Roman"/>
        </w:rPr>
        <w:t xml:space="preserve">GB/T 25915.1 </w:t>
      </w:r>
      <w:r>
        <w:rPr>
          <w:rFonts w:hint="eastAsia"/>
        </w:rPr>
        <w:t>的要求，容器和进样系统的洁净度、试剂及操作过程等因素直接影响测量结果的准确度，应严格控制。</w:t>
      </w:r>
      <w:bookmarkEnd w:id="23"/>
      <w:bookmarkEnd w:id="24"/>
    </w:p>
    <w:p>
      <w:pPr>
        <w:pStyle w:val="62"/>
        <w:numPr>
          <w:ilvl w:val="2"/>
          <w:numId w:val="0"/>
        </w:numPr>
      </w:pPr>
      <w:bookmarkStart w:id="25" w:name="_Toc494367471"/>
      <w:bookmarkStart w:id="26" w:name="_Toc472690680"/>
      <w:r>
        <w:rPr>
          <w:rFonts w:hint="eastAsia"/>
          <w:lang w:val="en-US" w:eastAsia="zh-CN"/>
        </w:rPr>
        <w:t>5.2</w:t>
      </w:r>
      <w:r>
        <w:rPr>
          <w:rFonts w:hint="eastAsia"/>
        </w:rPr>
        <w:t>双原子离子、多原子离子、基体效应、背景噪声、元素间的干扰、交叉污染和仪器信号漂移等因素会影响测量结果。</w:t>
      </w:r>
      <w:bookmarkEnd w:id="25"/>
      <w:bookmarkEnd w:id="26"/>
    </w:p>
    <w:p>
      <w:pPr>
        <w:pStyle w:val="62"/>
        <w:numPr>
          <w:ilvl w:val="2"/>
          <w:numId w:val="0"/>
        </w:numPr>
        <w:rPr>
          <w:color w:val="000000"/>
          <w:shd w:val="clear" w:color="auto" w:fill="FFFFFF"/>
        </w:rPr>
      </w:pPr>
      <w:bookmarkStart w:id="27" w:name="_Toc472690681"/>
      <w:bookmarkStart w:id="28" w:name="_Toc494367472"/>
      <w:r>
        <w:rPr>
          <w:rFonts w:hint="eastAsia"/>
          <w:lang w:val="en-US" w:eastAsia="zh-CN"/>
        </w:rPr>
        <w:t>5.3</w:t>
      </w:r>
      <w:r>
        <w:rPr>
          <w:rFonts w:hint="eastAsia"/>
        </w:rPr>
        <w:t>取样的洁净度直接影响检测结果的准确度，取样过程要求洁净、无污染。</w:t>
      </w:r>
      <w:bookmarkEnd w:id="27"/>
      <w:bookmarkEnd w:id="28"/>
    </w:p>
    <w:p>
      <w:pPr>
        <w:spacing w:before="312" w:beforeLines="100" w:after="312" w:afterLines="100"/>
        <w:rPr>
          <w:rFonts w:ascii="黑体" w:hAnsi="黑体" w:eastAsia="黑体"/>
          <w:b/>
        </w:rPr>
      </w:pPr>
      <w:r>
        <w:rPr>
          <w:rFonts w:hint="eastAsia" w:ascii="黑体" w:hAnsi="黑体" w:eastAsia="黑体"/>
        </w:rPr>
        <w:t xml:space="preserve">6  试剂和材料 </w:t>
      </w:r>
      <w:r>
        <w:rPr>
          <w:rFonts w:hint="eastAsia" w:ascii="黑体" w:hAnsi="黑体" w:eastAsia="黑体"/>
          <w:b/>
        </w:rPr>
        <w:t xml:space="preserve">      </w:t>
      </w:r>
    </w:p>
    <w:p>
      <w:pPr>
        <w:pStyle w:val="62"/>
        <w:numPr>
          <w:ilvl w:val="2"/>
          <w:numId w:val="0"/>
        </w:numPr>
      </w:pPr>
      <w:r>
        <w:rPr>
          <w:kern w:val="0"/>
        </w:rPr>
        <w:t xml:space="preserve">6.1 </w:t>
      </w:r>
      <w:r>
        <w:rPr>
          <w:rFonts w:hint="eastAsia" w:hAnsi="宋体"/>
          <w:color w:val="000000"/>
        </w:rPr>
        <w:t>超纯水：</w:t>
      </w:r>
      <w:r>
        <w:rPr>
          <w:rFonts w:hint="eastAsia"/>
        </w:rPr>
        <w:t>所有的水应为GB/T 11446.1中描述的EW-</w:t>
      </w:r>
      <w:r>
        <w:rPr>
          <w:rFonts w:hint="eastAsia"/>
          <w:lang w:val="en-US" w:eastAsia="zh-CN"/>
        </w:rPr>
        <w:t>I</w:t>
      </w:r>
      <w:r>
        <w:rPr>
          <w:rFonts w:hint="eastAsia"/>
        </w:rPr>
        <w:t>型或其他品质相当的去离子水。</w:t>
      </w:r>
    </w:p>
    <w:p>
      <w:pPr>
        <w:pStyle w:val="62"/>
        <w:numPr>
          <w:ilvl w:val="2"/>
          <w:numId w:val="0"/>
        </w:numPr>
        <w:rPr>
          <w:rFonts w:hint="eastAsia" w:eastAsia="宋体"/>
          <w:lang w:eastAsia="zh-CN"/>
        </w:rPr>
      </w:pPr>
      <w:bookmarkStart w:id="29" w:name="_Toc494367475"/>
      <w:bookmarkStart w:id="30" w:name="_Toc472690684"/>
      <w:r>
        <w:rPr>
          <w:rFonts w:hint="eastAsia"/>
          <w:lang w:val="en-US" w:eastAsia="zh-CN"/>
        </w:rPr>
        <w:t>6.2</w:t>
      </w:r>
      <w:r>
        <w:rPr>
          <w:rFonts w:hint="eastAsia"/>
        </w:rPr>
        <w:t>标准贮存溶液：包含元素</w:t>
      </w:r>
      <w:r>
        <w:rPr>
          <w:rFonts w:hint="eastAsia" w:hAnsi="宋体"/>
        </w:rPr>
        <w:t>硼、钠、铝、钾、钙、磷、铬、铁、镍、铜、锌、</w:t>
      </w:r>
      <w:r>
        <w:rPr>
          <w:rFonts w:hint="eastAsia" w:hAnsi="宋体"/>
          <w:lang w:eastAsia="zh-CN"/>
        </w:rPr>
        <w:t>钛</w:t>
      </w:r>
      <w:r>
        <w:rPr>
          <w:rFonts w:hint="eastAsia" w:hAnsi="宋体"/>
        </w:rPr>
        <w:t>、</w:t>
      </w:r>
      <w:r>
        <w:rPr>
          <w:rFonts w:hint="eastAsia" w:hAnsi="宋体"/>
          <w:lang w:eastAsia="zh-CN"/>
        </w:rPr>
        <w:t>钼</w:t>
      </w:r>
      <w:r>
        <w:rPr>
          <w:rFonts w:hint="eastAsia"/>
          <w:lang w:eastAsia="zh-CN"/>
        </w:rPr>
        <w:t>、钨、钴，</w:t>
      </w:r>
      <w:r>
        <w:rPr>
          <w:rFonts w:ascii="Times New Roman"/>
        </w:rPr>
        <w:t xml:space="preserve">10µg/mL </w:t>
      </w:r>
      <w:bookmarkEnd w:id="29"/>
      <w:bookmarkEnd w:id="30"/>
      <w:r>
        <w:rPr>
          <w:rFonts w:hint="eastAsia"/>
          <w:lang w:eastAsia="zh-CN"/>
        </w:rPr>
        <w:t>。</w:t>
      </w:r>
    </w:p>
    <w:p>
      <w:pPr>
        <w:pStyle w:val="62"/>
        <w:numPr>
          <w:ilvl w:val="2"/>
          <w:numId w:val="0"/>
        </w:numPr>
        <w:rPr>
          <w:rFonts w:hint="eastAsia" w:eastAsia="宋体"/>
          <w:lang w:eastAsia="zh-CN"/>
        </w:rPr>
      </w:pPr>
      <w:bookmarkStart w:id="31" w:name="_Toc494367477"/>
      <w:bookmarkStart w:id="32" w:name="_Toc472690686"/>
      <w:r>
        <w:rPr>
          <w:rFonts w:hint="eastAsia"/>
          <w:lang w:val="en-US" w:eastAsia="zh-CN"/>
        </w:rPr>
        <w:t>6.3</w:t>
      </w:r>
      <w:r>
        <w:rPr>
          <w:rFonts w:hint="eastAsia"/>
        </w:rPr>
        <w:t>硝酸：质量分数</w:t>
      </w:r>
      <w:r>
        <w:rPr>
          <w:rFonts w:ascii="Times New Roman"/>
        </w:rPr>
        <w:t>65.0 %～68.0 %，</w:t>
      </w:r>
      <w:r>
        <w:rPr>
          <w:rFonts w:hint="eastAsia"/>
        </w:rPr>
        <w:t>每种杂质含量均低于</w:t>
      </w:r>
      <w:r>
        <w:rPr>
          <w:rFonts w:ascii="Times New Roman"/>
        </w:rPr>
        <w:t>10 ng/L</w:t>
      </w:r>
      <w:bookmarkEnd w:id="31"/>
      <w:bookmarkEnd w:id="32"/>
      <w:r>
        <w:rPr>
          <w:rFonts w:hint="eastAsia"/>
          <w:lang w:eastAsia="zh-CN"/>
        </w:rPr>
        <w:t>。</w:t>
      </w:r>
    </w:p>
    <w:p>
      <w:pPr>
        <w:pStyle w:val="62"/>
        <w:numPr>
          <w:ilvl w:val="2"/>
          <w:numId w:val="0"/>
        </w:numPr>
        <w:rPr>
          <w:rFonts w:ascii="宋体" w:hAnsi="宋体"/>
        </w:rPr>
      </w:pPr>
      <w:bookmarkStart w:id="33" w:name="_Toc472690687"/>
      <w:bookmarkStart w:id="34" w:name="_Toc494367478"/>
      <w:r>
        <w:rPr>
          <w:rFonts w:hint="eastAsia"/>
          <w:lang w:val="en-US" w:eastAsia="zh-CN"/>
        </w:rPr>
        <w:t>6.4</w:t>
      </w:r>
      <w:r>
        <w:rPr>
          <w:rFonts w:hint="eastAsia" w:ascii="Times New Roman"/>
          <w:lang w:val="en-US" w:eastAsia="zh-CN"/>
        </w:rPr>
        <w:t xml:space="preserve"> </w:t>
      </w:r>
      <w:r>
        <w:rPr>
          <w:rFonts w:ascii="Times New Roman"/>
        </w:rPr>
        <w:t>5%</w:t>
      </w:r>
      <w:r>
        <w:rPr>
          <w:rFonts w:hint="eastAsia"/>
        </w:rPr>
        <w:t>硝酸溶液：硝酸:超纯水</w:t>
      </w:r>
      <w:r>
        <w:rPr>
          <w:rFonts w:ascii="Times New Roman"/>
        </w:rPr>
        <w:t>=5:95(V:V)</w:t>
      </w:r>
      <w:bookmarkEnd w:id="33"/>
      <w:bookmarkEnd w:id="34"/>
      <w:r>
        <w:rPr>
          <w:rFonts w:hint="eastAsia"/>
        </w:rPr>
        <w:t>。</w:t>
      </w:r>
    </w:p>
    <w:p>
      <w:pPr>
        <w:spacing w:before="312" w:beforeLines="100" w:after="312" w:afterLines="100"/>
        <w:rPr>
          <w:rFonts w:ascii="黑体" w:hAnsi="黑体" w:eastAsia="黑体"/>
        </w:rPr>
      </w:pPr>
      <w:r>
        <w:rPr>
          <w:rFonts w:hint="eastAsia" w:ascii="黑体" w:hAnsi="黑体" w:eastAsia="黑体"/>
        </w:rPr>
        <w:t>7  仪器设备</w:t>
      </w:r>
    </w:p>
    <w:p>
      <w:pPr>
        <w:pStyle w:val="62"/>
        <w:numPr>
          <w:ilvl w:val="2"/>
          <w:numId w:val="0"/>
        </w:numPr>
      </w:pPr>
      <w:r>
        <w:rPr>
          <w:rFonts w:hint="eastAsia"/>
        </w:rPr>
        <w:t>7.1电感耦合等离子体质谱仪</w:t>
      </w:r>
      <w:r>
        <w:rPr>
          <w:rFonts w:ascii="Times New Roman"/>
        </w:rPr>
        <w:t>（ICP-MS）</w:t>
      </w:r>
      <w:r>
        <w:rPr>
          <w:rFonts w:hint="eastAsia"/>
        </w:rPr>
        <w:t>；</w:t>
      </w:r>
    </w:p>
    <w:p>
      <w:pPr>
        <w:pStyle w:val="62"/>
        <w:numPr>
          <w:ilvl w:val="2"/>
          <w:numId w:val="0"/>
        </w:numPr>
      </w:pPr>
      <w:r>
        <w:rPr>
          <w:rFonts w:hint="eastAsia"/>
          <w:lang w:val="en-US" w:eastAsia="zh-CN"/>
        </w:rPr>
        <w:t>7.2</w:t>
      </w:r>
      <w:r>
        <w:rPr>
          <w:rFonts w:hint="eastAsia"/>
        </w:rPr>
        <w:t>陶瓷剪刀；</w:t>
      </w:r>
    </w:p>
    <w:p>
      <w:pPr>
        <w:pStyle w:val="62"/>
        <w:numPr>
          <w:ilvl w:val="2"/>
          <w:numId w:val="0"/>
        </w:numPr>
      </w:pPr>
      <w:bookmarkStart w:id="35" w:name="_Toc494367485"/>
      <w:bookmarkStart w:id="36" w:name="_Toc472690694"/>
      <w:r>
        <w:rPr>
          <w:rFonts w:hint="eastAsia"/>
          <w:lang w:val="en-US" w:eastAsia="zh-CN"/>
        </w:rPr>
        <w:t>7.3</w:t>
      </w:r>
      <w:r>
        <w:rPr>
          <w:rFonts w:hint="eastAsia"/>
        </w:rPr>
        <w:t>器皿：</w:t>
      </w:r>
      <w:r>
        <w:rPr>
          <w:rFonts w:ascii="Times New Roman"/>
        </w:rPr>
        <w:t>100mL</w:t>
      </w:r>
      <w:r>
        <w:rPr>
          <w:rFonts w:hint="eastAsia"/>
        </w:rPr>
        <w:t>全氟烷氧基树脂</w:t>
      </w:r>
      <w:r>
        <w:rPr>
          <w:rFonts w:ascii="Times New Roman"/>
        </w:rPr>
        <w:t>（PFA）</w:t>
      </w:r>
      <w:r>
        <w:rPr>
          <w:rFonts w:hint="eastAsia"/>
        </w:rPr>
        <w:t>样品瓶，</w:t>
      </w:r>
      <w:r>
        <w:rPr>
          <w:rFonts w:hint="eastAsia" w:ascii="Times New Roman"/>
          <w:lang w:val="en-US" w:eastAsia="zh-CN"/>
        </w:rPr>
        <w:t>50</w:t>
      </w:r>
      <w:r>
        <w:rPr>
          <w:rFonts w:ascii="Times New Roman"/>
        </w:rPr>
        <w:t>mL</w:t>
      </w:r>
      <w:r>
        <w:rPr>
          <w:rFonts w:hint="eastAsia"/>
        </w:rPr>
        <w:t>全氟烷氧基树脂</w:t>
      </w:r>
      <w:r>
        <w:rPr>
          <w:rFonts w:ascii="Times New Roman"/>
        </w:rPr>
        <w:t>（PFA）</w:t>
      </w:r>
      <w:r>
        <w:rPr>
          <w:rFonts w:hint="eastAsia"/>
        </w:rPr>
        <w:t>容量瓶；</w:t>
      </w:r>
      <w:bookmarkEnd w:id="35"/>
      <w:bookmarkEnd w:id="36"/>
    </w:p>
    <w:p>
      <w:pPr>
        <w:pStyle w:val="62"/>
        <w:numPr>
          <w:ilvl w:val="2"/>
          <w:numId w:val="0"/>
        </w:numPr>
      </w:pPr>
      <w:r>
        <w:rPr>
          <w:rFonts w:hint="eastAsia"/>
          <w:lang w:val="en-US" w:eastAsia="zh-CN"/>
        </w:rPr>
        <w:t>7.4</w:t>
      </w:r>
      <w:r>
        <w:rPr>
          <w:rFonts w:hint="eastAsia"/>
        </w:rPr>
        <w:t>直尺；</w:t>
      </w:r>
    </w:p>
    <w:p>
      <w:pPr>
        <w:pStyle w:val="62"/>
        <w:numPr>
          <w:ilvl w:val="2"/>
          <w:numId w:val="0"/>
        </w:numPr>
        <w:rPr>
          <w:rFonts w:hint="eastAsia"/>
          <w:lang w:val="en-US" w:eastAsia="zh-CN"/>
        </w:rPr>
      </w:pPr>
      <w:r>
        <w:rPr>
          <w:rFonts w:hint="eastAsia"/>
          <w:lang w:val="en-US" w:eastAsia="zh-CN"/>
        </w:rPr>
        <w:t>7.5封口机；</w:t>
      </w:r>
    </w:p>
    <w:p>
      <w:pPr>
        <w:pStyle w:val="62"/>
        <w:numPr>
          <w:ilvl w:val="2"/>
          <w:numId w:val="0"/>
        </w:numPr>
        <w:rPr>
          <w:rFonts w:hint="eastAsia"/>
          <w:lang w:val="en-US" w:eastAsia="zh-CN"/>
        </w:rPr>
      </w:pPr>
      <w:r>
        <w:rPr>
          <w:rFonts w:hint="eastAsia"/>
          <w:lang w:val="en-US" w:eastAsia="zh-CN"/>
        </w:rPr>
        <w:t>7.6分析天平:感量为0.1mg；</w:t>
      </w:r>
    </w:p>
    <w:p>
      <w:pPr>
        <w:pStyle w:val="62"/>
        <w:numPr>
          <w:ilvl w:val="2"/>
          <w:numId w:val="0"/>
        </w:numPr>
        <w:rPr>
          <w:rFonts w:hint="default"/>
          <w:lang w:val="en-US" w:eastAsia="zh-CN"/>
        </w:rPr>
      </w:pPr>
      <w:r>
        <w:rPr>
          <w:rFonts w:hint="eastAsia"/>
          <w:lang w:val="en-US" w:eastAsia="zh-CN"/>
        </w:rPr>
        <w:t>7.7移液枪：10-100uL。</w:t>
      </w:r>
    </w:p>
    <w:p>
      <w:pPr>
        <w:pStyle w:val="62"/>
        <w:numPr>
          <w:ilvl w:val="2"/>
          <w:numId w:val="0"/>
        </w:numPr>
        <w:rPr>
          <w:rFonts w:ascii="黑体" w:hAnsi="黑体" w:eastAsia="黑体"/>
        </w:rPr>
      </w:pPr>
      <w:r>
        <w:rPr>
          <w:rFonts w:hint="eastAsia"/>
        </w:rPr>
        <w:br w:type="textWrapping"/>
      </w:r>
      <w:r>
        <w:rPr>
          <w:rFonts w:hint="eastAsia" w:ascii="黑体" w:hAnsi="黑体" w:eastAsia="黑体" w:cs="Times New Roman"/>
          <w:kern w:val="2"/>
          <w:sz w:val="21"/>
          <w:lang w:val="en-US" w:eastAsia="zh-CN" w:bidi="ar-SA"/>
        </w:rPr>
        <w:t>8环境要求</w:t>
      </w:r>
    </w:p>
    <w:p>
      <w:pPr>
        <w:rPr>
          <w:rFonts w:ascii="黑体" w:hAnsi="黑体" w:eastAsia="黑体"/>
        </w:rPr>
      </w:pPr>
    </w:p>
    <w:p>
      <w:r>
        <w:rPr>
          <w:rFonts w:hint="eastAsia"/>
        </w:rPr>
        <w:t>8.1 温度：</w:t>
      </w:r>
      <w:r>
        <w:t>18℃～25℃；</w:t>
      </w:r>
    </w:p>
    <w:p>
      <w:pPr>
        <w:rPr>
          <w:b/>
          <w:bCs/>
        </w:rPr>
      </w:pPr>
      <w:r>
        <w:rPr>
          <w:rFonts w:hint="eastAsia"/>
        </w:rPr>
        <w:t>8.2 湿度：≤65%RH。</w:t>
      </w:r>
    </w:p>
    <w:p>
      <w:pPr>
        <w:spacing w:before="312" w:beforeLines="100" w:after="312" w:afterLines="100"/>
        <w:rPr>
          <w:rFonts w:ascii="黑体" w:hAnsi="黑体" w:eastAsia="黑体"/>
        </w:rPr>
      </w:pPr>
      <w:r>
        <w:rPr>
          <w:rFonts w:hint="eastAsia" w:ascii="黑体" w:hAnsi="黑体" w:eastAsia="黑体"/>
        </w:rPr>
        <w:t>9 样品</w:t>
      </w:r>
    </w:p>
    <w:p>
      <w:pPr>
        <w:rPr>
          <w:rFonts w:hint="eastAsia"/>
        </w:rPr>
      </w:pPr>
      <w:r>
        <w:rPr>
          <w:rFonts w:hint="eastAsia"/>
          <w:lang w:val="en-US" w:eastAsia="zh-CN"/>
        </w:rPr>
        <w:t>9.1</w:t>
      </w:r>
      <w:r>
        <w:rPr>
          <w:rFonts w:hint="eastAsia"/>
        </w:rPr>
        <w:t>选择一包</w:t>
      </w:r>
      <w:r>
        <w:rPr>
          <w:rFonts w:hint="eastAsia"/>
          <w:lang w:eastAsia="zh-CN"/>
        </w:rPr>
        <w:t>完整的</w:t>
      </w:r>
      <w:r>
        <w:rPr>
          <w:rFonts w:hint="eastAsia"/>
        </w:rPr>
        <w:t>包装袋作为代表性的样品。</w:t>
      </w:r>
    </w:p>
    <w:p>
      <w:r>
        <w:rPr>
          <w:rFonts w:hint="eastAsia"/>
          <w:lang w:val="en-US" w:eastAsia="zh-CN"/>
        </w:rPr>
        <w:t>9.2样品需要密封在双层包装袋内，然后送至实验室，为了减少环境和人员带来的影响，所有样品的采集和分析的步骤是在一个洁净的房间或层流罩下进行，分析人员必须身穿全套洁净服。为了减少环境的影响，实验室至少应满足</w:t>
      </w:r>
      <w:r>
        <w:rPr>
          <w:rFonts w:ascii="Times New Roman"/>
          <w:szCs w:val="21"/>
        </w:rPr>
        <w:t>GB/T 25915.1</w:t>
      </w:r>
      <w:r>
        <w:rPr>
          <w:rFonts w:hint="eastAsia"/>
          <w:lang w:val="en-US" w:eastAsia="zh-CN"/>
        </w:rPr>
        <w:t>中6级洁净标准。</w:t>
      </w:r>
    </w:p>
    <w:p>
      <w:pPr>
        <w:spacing w:before="312" w:beforeLines="100" w:after="312" w:afterLines="100"/>
        <w:rPr>
          <w:rFonts w:hint="eastAsia" w:ascii="黑体" w:hAnsi="黑体" w:eastAsia="黑体"/>
        </w:rPr>
      </w:pPr>
      <w:r>
        <w:rPr>
          <w:rFonts w:hint="eastAsia" w:ascii="黑体" w:hAnsi="黑体" w:eastAsia="黑体"/>
        </w:rPr>
        <w:t>10 试验步骤</w:t>
      </w:r>
    </w:p>
    <w:p>
      <w:pPr>
        <w:pStyle w:val="22"/>
        <w:numPr>
          <w:ilvl w:val="0"/>
          <w:numId w:val="0"/>
        </w:numPr>
        <w:spacing w:before="156" w:beforeLines="50" w:after="156" w:afterLines="50"/>
        <w:rPr>
          <w:rFonts w:hint="eastAsia" w:ascii="黑体"/>
          <w:lang w:val="en-US" w:eastAsia="zh-CN"/>
        </w:rPr>
      </w:pPr>
      <w:r>
        <w:rPr>
          <w:rFonts w:hint="eastAsia" w:ascii="黑体"/>
          <w:lang w:val="en-US" w:eastAsia="zh-CN"/>
        </w:rPr>
        <w:t>10.1设备准备工作</w:t>
      </w:r>
    </w:p>
    <w:p>
      <w:pPr>
        <w:pStyle w:val="63"/>
        <w:keepNext w:val="0"/>
        <w:keepLines w:val="0"/>
        <w:pageBreakBefore w:val="0"/>
        <w:widowControl/>
        <w:numPr>
          <w:ilvl w:val="2"/>
          <w:numId w:val="0"/>
        </w:numPr>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rPr>
      </w:pPr>
      <w:r>
        <w:rPr>
          <w:rFonts w:hint="eastAsia"/>
          <w:color w:val="000000" w:themeColor="text1"/>
          <w:lang w:val="en-US" w:eastAsia="zh-CN"/>
          <w14:textFill>
            <w14:solidFill>
              <w14:schemeClr w14:val="tx1"/>
            </w14:solidFill>
          </w14:textFill>
        </w:rPr>
        <w:t>打开通风系统，调节检测所需气体流量以及冷却水循环系统压力，进行仪器开机预热准备，使其满足仪器正常工作的要求。在测试前电感耦合等离子质谱仪需要选择相应的检测模式，并进行调谐，以达到最佳测试条件。</w:t>
      </w:r>
    </w:p>
    <w:p>
      <w:pPr>
        <w:pStyle w:val="22"/>
        <w:numPr>
          <w:ilvl w:val="0"/>
          <w:numId w:val="0"/>
        </w:numPr>
        <w:spacing w:before="156" w:beforeLines="50" w:after="156" w:afterLines="50"/>
        <w:rPr>
          <w:rFonts w:hint="eastAsia" w:ascii="黑体"/>
          <w:lang w:eastAsia="zh-CN"/>
        </w:rPr>
      </w:pPr>
      <w:r>
        <w:rPr>
          <w:rFonts w:hint="eastAsia" w:ascii="黑体"/>
        </w:rPr>
        <w:t>10.</w:t>
      </w:r>
      <w:r>
        <w:rPr>
          <w:rFonts w:hint="eastAsia" w:ascii="黑体"/>
          <w:lang w:val="en-US" w:eastAsia="zh-CN"/>
        </w:rPr>
        <w:t>2</w:t>
      </w:r>
      <w:r>
        <w:rPr>
          <w:rFonts w:hint="eastAsia" w:ascii="黑体"/>
        </w:rPr>
        <w:t xml:space="preserve"> </w:t>
      </w:r>
      <w:r>
        <w:rPr>
          <w:rFonts w:hint="eastAsia" w:ascii="黑体"/>
          <w:lang w:eastAsia="zh-CN"/>
        </w:rPr>
        <w:t>标准溶液的配制</w:t>
      </w:r>
    </w:p>
    <w:p>
      <w:pPr>
        <w:pStyle w:val="16"/>
        <w:ind w:left="0" w:leftChars="0" w:firstLine="0" w:firstLineChars="0"/>
        <w:rPr>
          <w:rFonts w:hint="eastAsia" w:ascii="黑体"/>
          <w:lang w:val="en-US" w:eastAsia="zh-CN"/>
        </w:rPr>
      </w:pPr>
      <w:r>
        <w:rPr>
          <w:rFonts w:hint="eastAsia" w:ascii="宋体" w:hAnsi="Times New Roman" w:eastAsia="宋体" w:cs="Times New Roman"/>
          <w:sz w:val="21"/>
          <w:lang w:val="en-US" w:eastAsia="zh-CN" w:bidi="ar-SA"/>
        </w:rPr>
        <w:t xml:space="preserve">10.2.1 </w:t>
      </w:r>
      <w:r>
        <w:rPr>
          <w:rFonts w:hint="eastAsia" w:ascii="黑体"/>
          <w:lang w:val="en-US" w:eastAsia="zh-CN"/>
        </w:rPr>
        <w:t>混合元素标准溶液的配制</w:t>
      </w:r>
    </w:p>
    <w:p>
      <w:pPr>
        <w:pStyle w:val="16"/>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ascii="黑体"/>
          <w:lang w:val="en-US" w:eastAsia="zh-CN"/>
        </w:rPr>
      </w:pPr>
      <w:r>
        <w:rPr>
          <w:rFonts w:hint="eastAsia" w:ascii="黑体"/>
          <w:lang w:val="en-US" w:eastAsia="zh-CN"/>
        </w:rPr>
        <w:t>准备</w:t>
      </w:r>
      <w:r>
        <w:rPr>
          <w:rFonts w:hint="default" w:ascii="Times New Roman" w:hAnsi="Times New Roman" w:cs="Times New Roman"/>
          <w:lang w:val="en-US" w:eastAsia="zh-CN"/>
        </w:rPr>
        <w:t>50</w:t>
      </w:r>
      <w:r>
        <w:rPr>
          <w:rFonts w:hint="default" w:ascii="Times New Roman" w:hAnsi="Times New Roman" w:eastAsia="宋体" w:cs="Times New Roman"/>
          <w:kern w:val="2"/>
          <w:sz w:val="21"/>
          <w:lang w:val="en-US" w:eastAsia="zh-CN" w:bidi="ar-SA"/>
        </w:rPr>
        <w:t>mL</w:t>
      </w:r>
      <w:r>
        <w:rPr>
          <w:rFonts w:hint="eastAsia" w:cs="Times New Roman"/>
          <w:kern w:val="2"/>
          <w:sz w:val="21"/>
          <w:lang w:val="en-US" w:eastAsia="zh-CN" w:bidi="ar-SA"/>
        </w:rPr>
        <w:t>干净的PFA容量瓶，准确移取</w:t>
      </w:r>
      <w:r>
        <w:rPr>
          <w:rFonts w:hint="default" w:ascii="Times New Roman" w:hAnsi="Times New Roman" w:cs="Times New Roman"/>
          <w:kern w:val="2"/>
          <w:sz w:val="21"/>
          <w:lang w:val="en-US" w:eastAsia="zh-CN" w:bidi="ar-SA"/>
        </w:rPr>
        <w:t>10mg/</w:t>
      </w:r>
      <w:r>
        <w:rPr>
          <w:rFonts w:hint="default" w:ascii="Times New Roman" w:hAnsi="Times New Roman" w:eastAsia="宋体" w:cs="Times New Roman"/>
          <w:kern w:val="2"/>
          <w:sz w:val="21"/>
          <w:lang w:val="en-US" w:eastAsia="zh-CN" w:bidi="ar-SA"/>
        </w:rPr>
        <w:t>L</w:t>
      </w:r>
      <w:r>
        <w:rPr>
          <w:rFonts w:hint="eastAsia" w:cs="Times New Roman"/>
          <w:kern w:val="2"/>
          <w:sz w:val="21"/>
          <w:lang w:val="en-US" w:eastAsia="zh-CN" w:bidi="ar-SA"/>
        </w:rPr>
        <w:t>的混合元素标液</w:t>
      </w:r>
      <w:r>
        <w:rPr>
          <w:rFonts w:hint="default" w:ascii="Times New Roman" w:hAnsi="Times New Roman" w:cs="Times New Roman"/>
          <w:kern w:val="2"/>
          <w:sz w:val="21"/>
          <w:lang w:val="en-US" w:eastAsia="zh-CN" w:bidi="ar-SA"/>
        </w:rPr>
        <w:t>0.5</w:t>
      </w:r>
      <w:r>
        <w:rPr>
          <w:rFonts w:hint="default" w:ascii="Times New Roman" w:hAnsi="Times New Roman" w:eastAsia="宋体" w:cs="Times New Roman"/>
          <w:kern w:val="2"/>
          <w:sz w:val="21"/>
          <w:lang w:val="en-US" w:eastAsia="zh-CN" w:bidi="ar-SA"/>
        </w:rPr>
        <w:t>mL</w:t>
      </w:r>
      <w:r>
        <w:rPr>
          <w:rFonts w:hint="eastAsia" w:cs="Times New Roman"/>
          <w:kern w:val="2"/>
          <w:sz w:val="21"/>
          <w:lang w:val="en-US" w:eastAsia="zh-CN" w:bidi="ar-SA"/>
        </w:rPr>
        <w:t>，用5%硝酸定容至刻度，此混合元素标准溶液中各元素浓度为</w:t>
      </w:r>
      <w:r>
        <w:rPr>
          <w:rFonts w:hint="default" w:ascii="Times New Roman" w:hAnsi="Times New Roman" w:cs="Times New Roman"/>
          <w:kern w:val="2"/>
          <w:sz w:val="21"/>
          <w:lang w:val="en-US" w:eastAsia="zh-CN" w:bidi="ar-SA"/>
        </w:rPr>
        <w:t>100</w:t>
      </w:r>
      <w:r>
        <w:rPr>
          <w:rFonts w:hint="default" w:ascii="Times New Roman" w:hAnsi="Times New Roman" w:eastAsia="宋体" w:cs="Times New Roman"/>
          <w:kern w:val="2"/>
          <w:sz w:val="21"/>
          <w:lang w:val="en-US" w:eastAsia="zh-CN" w:bidi="ar-SA"/>
        </w:rPr>
        <w:t>ng/mL</w:t>
      </w:r>
      <w:r>
        <w:rPr>
          <w:rFonts w:hint="eastAsia" w:cs="Times New Roman"/>
          <w:kern w:val="2"/>
          <w:sz w:val="21"/>
          <w:lang w:val="en-US" w:eastAsia="zh-CN" w:bidi="ar-SA"/>
        </w:rPr>
        <w:t>。</w:t>
      </w:r>
    </w:p>
    <w:p>
      <w:pPr>
        <w:pStyle w:val="16"/>
        <w:ind w:left="0" w:leftChars="0" w:firstLine="0" w:firstLineChars="0"/>
        <w:rPr>
          <w:rFonts w:hint="default" w:ascii="黑体"/>
          <w:lang w:val="en-US" w:eastAsia="zh-CN"/>
        </w:rPr>
      </w:pPr>
      <w:r>
        <w:rPr>
          <w:rFonts w:hint="eastAsia" w:ascii="宋体" w:hAnsi="Times New Roman" w:eastAsia="宋体" w:cs="Times New Roman"/>
          <w:sz w:val="21"/>
          <w:lang w:val="en-US" w:eastAsia="zh-CN" w:bidi="ar-SA"/>
        </w:rPr>
        <w:t xml:space="preserve">10.2.2 </w:t>
      </w:r>
      <w:r>
        <w:rPr>
          <w:rFonts w:hint="eastAsia" w:ascii="黑体"/>
          <w:lang w:val="en-US" w:eastAsia="zh-CN"/>
        </w:rPr>
        <w:t>工作曲线的配制</w:t>
      </w:r>
    </w:p>
    <w:p>
      <w:pPr>
        <w:pStyle w:val="2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imes New Roman" w:hAnsi="Times New Roman" w:eastAsia="宋体" w:cs="Times New Roman"/>
          <w:kern w:val="2"/>
          <w:sz w:val="21"/>
          <w:lang w:val="en-US" w:eastAsia="zh-CN" w:bidi="ar-SA"/>
        </w:rPr>
      </w:pPr>
      <w:r>
        <w:rPr>
          <w:rFonts w:hint="eastAsia" w:eastAsia="宋体" w:cs="Times New Roman"/>
          <w:kern w:val="2"/>
          <w:sz w:val="21"/>
          <w:lang w:val="en-US" w:eastAsia="zh-CN" w:bidi="ar-SA"/>
        </w:rPr>
        <w:t>根据样品被测定元素的浓度范围</w:t>
      </w:r>
      <w:r>
        <w:rPr>
          <w:rFonts w:hint="eastAsia" w:ascii="Times New Roman" w:hAnsi="Times New Roman" w:eastAsia="宋体" w:cs="Times New Roman"/>
          <w:kern w:val="2"/>
          <w:sz w:val="21"/>
          <w:lang w:val="en-US" w:eastAsia="zh-CN" w:bidi="ar-SA"/>
        </w:rPr>
        <w:t>，用5%硝酸</w:t>
      </w:r>
      <w:r>
        <w:rPr>
          <w:rFonts w:hint="eastAsia" w:eastAsia="宋体" w:cs="Times New Roman"/>
          <w:kern w:val="2"/>
          <w:sz w:val="21"/>
          <w:lang w:val="en-US" w:eastAsia="zh-CN" w:bidi="ar-SA"/>
        </w:rPr>
        <w:t>溶液（6.4）将混合标准溶液（10.2.1）</w:t>
      </w:r>
      <w:r>
        <w:rPr>
          <w:rFonts w:hint="eastAsia" w:ascii="Times New Roman" w:hAnsi="Times New Roman" w:eastAsia="宋体" w:cs="Times New Roman"/>
          <w:kern w:val="2"/>
          <w:sz w:val="21"/>
          <w:lang w:val="en-US" w:eastAsia="zh-CN" w:bidi="ar-SA"/>
        </w:rPr>
        <w:t>配制成0ng/</w:t>
      </w:r>
      <w:r>
        <w:rPr>
          <w:rFonts w:hint="eastAsia" w:eastAsia="宋体" w:cs="Times New Roman"/>
          <w:kern w:val="2"/>
          <w:sz w:val="21"/>
          <w:lang w:val="en-US" w:eastAsia="zh-CN" w:bidi="ar-SA"/>
        </w:rPr>
        <w:t>mL</w:t>
      </w:r>
      <w:r>
        <w:rPr>
          <w:rFonts w:hint="eastAsia" w:ascii="Times New Roman" w:hAnsi="Times New Roman" w:eastAsia="宋体" w:cs="Times New Roman"/>
          <w:kern w:val="2"/>
          <w:sz w:val="21"/>
          <w:lang w:val="en-US" w:eastAsia="zh-CN" w:bidi="ar-SA"/>
        </w:rPr>
        <w:t>、0.2ng/</w:t>
      </w:r>
      <w:r>
        <w:rPr>
          <w:rFonts w:hint="eastAsia" w:eastAsia="宋体" w:cs="Times New Roman"/>
          <w:kern w:val="2"/>
          <w:sz w:val="21"/>
          <w:lang w:val="en-US" w:eastAsia="zh-CN" w:bidi="ar-SA"/>
        </w:rPr>
        <w:t>mL</w:t>
      </w:r>
      <w:r>
        <w:rPr>
          <w:rFonts w:hint="eastAsia" w:ascii="Times New Roman" w:hAnsi="Times New Roman" w:eastAsia="宋体" w:cs="Times New Roman"/>
          <w:kern w:val="2"/>
          <w:sz w:val="21"/>
          <w:lang w:val="en-US" w:eastAsia="zh-CN" w:bidi="ar-SA"/>
        </w:rPr>
        <w:t>、0.5ng/</w:t>
      </w:r>
      <w:r>
        <w:rPr>
          <w:rFonts w:hint="eastAsia" w:eastAsia="宋体" w:cs="Times New Roman"/>
          <w:kern w:val="2"/>
          <w:sz w:val="21"/>
          <w:lang w:val="en-US" w:eastAsia="zh-CN" w:bidi="ar-SA"/>
        </w:rPr>
        <w:t>mL</w:t>
      </w:r>
      <w:r>
        <w:rPr>
          <w:rFonts w:hint="eastAsia" w:ascii="Times New Roman" w:hAnsi="Times New Roman" w:eastAsia="宋体" w:cs="Times New Roman"/>
          <w:kern w:val="2"/>
          <w:sz w:val="21"/>
          <w:lang w:val="en-US" w:eastAsia="zh-CN" w:bidi="ar-SA"/>
        </w:rPr>
        <w:t xml:space="preserve"> 、1ng/</w:t>
      </w:r>
      <w:r>
        <w:rPr>
          <w:rFonts w:hint="eastAsia" w:eastAsia="宋体" w:cs="Times New Roman"/>
          <w:kern w:val="2"/>
          <w:sz w:val="21"/>
          <w:lang w:val="en-US" w:eastAsia="zh-CN" w:bidi="ar-SA"/>
        </w:rPr>
        <w:t>mL</w:t>
      </w:r>
      <w:r>
        <w:rPr>
          <w:rFonts w:hint="eastAsia" w:ascii="Times New Roman" w:hAnsi="Times New Roman" w:eastAsia="宋体" w:cs="Times New Roman"/>
          <w:kern w:val="2"/>
          <w:sz w:val="21"/>
          <w:lang w:val="en-US" w:eastAsia="zh-CN" w:bidi="ar-SA"/>
        </w:rPr>
        <w:t xml:space="preserve"> 、2ng/</w:t>
      </w:r>
      <w:r>
        <w:rPr>
          <w:rFonts w:hint="eastAsia" w:eastAsia="宋体" w:cs="Times New Roman"/>
          <w:kern w:val="2"/>
          <w:sz w:val="21"/>
          <w:lang w:val="en-US" w:eastAsia="zh-CN" w:bidi="ar-SA"/>
        </w:rPr>
        <w:t>mL</w:t>
      </w:r>
      <w:r>
        <w:rPr>
          <w:rFonts w:hint="eastAsia" w:ascii="Times New Roman" w:hAnsi="Times New Roman" w:eastAsia="宋体" w:cs="Times New Roman"/>
          <w:kern w:val="2"/>
          <w:sz w:val="21"/>
          <w:lang w:val="en-US" w:eastAsia="zh-CN" w:bidi="ar-SA"/>
        </w:rPr>
        <w:t>的标准溶液。</w:t>
      </w:r>
      <w:r>
        <w:rPr>
          <w:rFonts w:hint="eastAsia" w:eastAsia="宋体" w:cs="Times New Roman"/>
          <w:kern w:val="2"/>
          <w:sz w:val="21"/>
          <w:lang w:val="en-US" w:eastAsia="zh-CN" w:bidi="ar-SA"/>
        </w:rPr>
        <w:t>依次进样</w:t>
      </w:r>
      <w:r>
        <w:rPr>
          <w:rFonts w:hint="eastAsia" w:ascii="Times New Roman" w:hAnsi="Times New Roman" w:eastAsia="宋体" w:cs="Times New Roman"/>
          <w:kern w:val="2"/>
          <w:sz w:val="21"/>
          <w:lang w:val="en-US" w:eastAsia="zh-CN" w:bidi="ar-SA"/>
        </w:rPr>
        <w:t>绘制工作曲线。</w:t>
      </w:r>
    </w:p>
    <w:p>
      <w:pPr>
        <w:pStyle w:val="22"/>
        <w:numPr>
          <w:ilvl w:val="0"/>
          <w:numId w:val="0"/>
        </w:numPr>
        <w:spacing w:before="156" w:beforeLines="50" w:after="156" w:afterLines="50"/>
        <w:rPr>
          <w:rFonts w:ascii="黑体"/>
        </w:rPr>
      </w:pPr>
      <w:r>
        <w:rPr>
          <w:rFonts w:hint="eastAsia" w:ascii="黑体"/>
        </w:rPr>
        <w:t>10.</w:t>
      </w:r>
      <w:r>
        <w:rPr>
          <w:rFonts w:hint="eastAsia" w:ascii="黑体"/>
          <w:lang w:val="en-US" w:eastAsia="zh-CN"/>
        </w:rPr>
        <w:t>3</w:t>
      </w:r>
      <w:r>
        <w:rPr>
          <w:rFonts w:hint="eastAsia" w:ascii="黑体"/>
        </w:rPr>
        <w:t xml:space="preserve"> 样品测定</w:t>
      </w:r>
    </w:p>
    <w:p>
      <w:pPr>
        <w:pStyle w:val="62"/>
        <w:numPr>
          <w:ilvl w:val="2"/>
          <w:numId w:val="0"/>
        </w:numPr>
        <w:rPr>
          <w:shd w:val="clear" w:color="auto" w:fill="FFFFFF"/>
        </w:rPr>
      </w:pPr>
      <w:r>
        <w:t>10.</w:t>
      </w:r>
      <w:r>
        <w:rPr>
          <w:rFonts w:hint="eastAsia"/>
          <w:lang w:val="en-US" w:eastAsia="zh-CN"/>
        </w:rPr>
        <w:t>3</w:t>
      </w:r>
      <w:r>
        <w:t>.1</w:t>
      </w:r>
      <w:r>
        <w:rPr>
          <w:rFonts w:hint="eastAsia"/>
        </w:rPr>
        <w:t xml:space="preserve"> </w:t>
      </w:r>
      <w:r>
        <w:rPr>
          <w:rFonts w:hint="eastAsia"/>
          <w:shd w:val="clear" w:color="auto" w:fill="FFFFFF"/>
        </w:rPr>
        <w:t>随机抽取一个包装袋，用直尺在包装袋上量取</w:t>
      </w:r>
      <w:r>
        <w:rPr>
          <w:rFonts w:ascii="Times New Roman"/>
          <w:shd w:val="clear" w:color="auto" w:fill="FFFFFF"/>
        </w:rPr>
        <w:t>20*20cm</w:t>
      </w:r>
      <w:r>
        <w:rPr>
          <w:rFonts w:hint="eastAsia"/>
          <w:shd w:val="clear" w:color="auto" w:fill="FFFFFF"/>
        </w:rPr>
        <w:t>的尺寸并用陶瓷剪刀剪下，用封口机密封三条边。</w:t>
      </w:r>
    </w:p>
    <w:p>
      <w:pPr>
        <w:pStyle w:val="21"/>
        <w:numPr>
          <w:ilvl w:val="2"/>
          <w:numId w:val="0"/>
        </w:numPr>
        <w:spacing w:before="0" w:beforeLines="0" w:after="0" w:afterLines="0"/>
        <w:rPr>
          <w:rFonts w:ascii="宋体" w:hAnsi="宋体" w:eastAsia="宋体"/>
          <w:shd w:val="clear" w:color="auto" w:fill="FFFFFF"/>
        </w:rPr>
      </w:pPr>
      <w:r>
        <w:rPr>
          <w:rFonts w:hint="eastAsia" w:ascii="宋体" w:hAnsi="宋体" w:eastAsia="宋体"/>
          <w:shd w:val="clear" w:color="auto" w:fill="FFFFFF"/>
          <w:lang w:val="en-US" w:eastAsia="zh-CN"/>
        </w:rPr>
        <w:t>10.3.2</w:t>
      </w:r>
      <w:r>
        <w:rPr>
          <w:rFonts w:hint="eastAsia" w:ascii="宋体" w:hAnsi="宋体" w:eastAsia="宋体"/>
          <w:shd w:val="clear" w:color="auto" w:fill="FFFFFF"/>
        </w:rPr>
        <w:t>从未密封的一边向内倒入</w:t>
      </w:r>
      <w:r>
        <w:rPr>
          <w:rFonts w:ascii="Times New Roman" w:eastAsia="宋体"/>
          <w:shd w:val="clear" w:color="auto" w:fill="FFFFFF"/>
        </w:rPr>
        <w:t>5%</w:t>
      </w:r>
      <w:r>
        <w:rPr>
          <w:rFonts w:hint="eastAsia" w:ascii="宋体" w:hAnsi="宋体" w:eastAsia="宋体"/>
          <w:shd w:val="clear" w:color="auto" w:fill="FFFFFF"/>
        </w:rPr>
        <w:t>的硝酸溶液</w:t>
      </w:r>
      <w:r>
        <w:rPr>
          <w:rFonts w:ascii="Times New Roman" w:eastAsia="宋体"/>
          <w:shd w:val="clear" w:color="auto" w:fill="FFFFFF"/>
        </w:rPr>
        <w:t>50mL</w:t>
      </w:r>
      <w:r>
        <w:rPr>
          <w:rFonts w:hint="eastAsia" w:ascii="宋体" w:hAnsi="宋体" w:eastAsia="宋体"/>
          <w:shd w:val="clear" w:color="auto" w:fill="FFFFFF"/>
        </w:rPr>
        <w:t>，将袋内空气赶净，封口机密封，振摇</w:t>
      </w:r>
      <w:r>
        <w:rPr>
          <w:rFonts w:ascii="Times New Roman" w:eastAsia="宋体"/>
          <w:shd w:val="clear" w:color="auto" w:fill="FFFFFF"/>
        </w:rPr>
        <w:t>1min</w:t>
      </w:r>
      <w:r>
        <w:rPr>
          <w:rFonts w:hint="eastAsia" w:ascii="宋体" w:hAnsi="宋体" w:eastAsia="宋体"/>
          <w:shd w:val="clear" w:color="auto" w:fill="FFFFFF"/>
        </w:rPr>
        <w:t>。</w:t>
      </w:r>
    </w:p>
    <w:p>
      <w:pPr>
        <w:pStyle w:val="21"/>
        <w:numPr>
          <w:ilvl w:val="2"/>
          <w:numId w:val="0"/>
        </w:numPr>
        <w:spacing w:before="0" w:beforeLines="0" w:after="0" w:afterLines="0"/>
        <w:rPr>
          <w:rFonts w:hint="eastAsia" w:ascii="宋体" w:hAnsi="宋体" w:eastAsia="宋体"/>
          <w:shd w:val="clear" w:color="auto" w:fill="FFFFFF"/>
        </w:rPr>
      </w:pPr>
      <w:r>
        <w:rPr>
          <w:rFonts w:hint="eastAsia" w:ascii="宋体" w:hAnsi="宋体" w:eastAsia="宋体"/>
          <w:shd w:val="clear" w:color="auto" w:fill="FFFFFF"/>
          <w:lang w:val="en-US" w:eastAsia="zh-CN"/>
        </w:rPr>
        <w:t>10.3.3</w:t>
      </w:r>
      <w:r>
        <w:rPr>
          <w:rFonts w:hint="eastAsia" w:ascii="宋体" w:hAnsi="宋体" w:eastAsia="宋体"/>
          <w:shd w:val="clear" w:color="auto" w:fill="FFFFFF"/>
        </w:rPr>
        <w:t>用陶瓷剪刀剪开一个小口，将里面的溶液全部倒入PFA样品瓶中，待测。</w:t>
      </w:r>
    </w:p>
    <w:p>
      <w:pPr>
        <w:pStyle w:val="63"/>
        <w:keepNext w:val="0"/>
        <w:keepLines w:val="0"/>
        <w:pageBreakBefore w:val="0"/>
        <w:widowControl/>
        <w:numPr>
          <w:ilvl w:val="2"/>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hAnsi="宋体"/>
          <w:shd w:val="clear" w:color="auto" w:fill="FFFFFF"/>
          <w:lang w:val="en-US" w:eastAsia="zh-CN"/>
        </w:rPr>
        <w:t>10.3.4</w:t>
      </w:r>
      <w:r>
        <w:rPr>
          <w:rFonts w:hint="eastAsia"/>
          <w:lang w:val="en-US" w:eastAsia="zh-CN"/>
        </w:rPr>
        <w:t>随同试样做空白试验。</w:t>
      </w:r>
    </w:p>
    <w:p>
      <w:pPr>
        <w:pStyle w:val="63"/>
        <w:keepNext w:val="0"/>
        <w:keepLines w:val="0"/>
        <w:pageBreakBefore w:val="0"/>
        <w:widowControl/>
        <w:numPr>
          <w:ilvl w:val="2"/>
          <w:numId w:val="0"/>
        </w:numPr>
        <w:kinsoku/>
        <w:wordWrap/>
        <w:overflowPunct/>
        <w:topLinePunct w:val="0"/>
        <w:autoSpaceDE/>
        <w:autoSpaceDN/>
        <w:bidi w:val="0"/>
        <w:adjustRightInd/>
        <w:snapToGrid/>
        <w:spacing w:line="240" w:lineRule="auto"/>
        <w:textAlignment w:val="auto"/>
        <w:rPr>
          <w:rFonts w:hint="default" w:eastAsia="宋体"/>
          <w:lang w:val="en-US" w:eastAsia="zh-CN"/>
        </w:rPr>
      </w:pPr>
      <w:r>
        <w:rPr>
          <w:rFonts w:hint="eastAsia"/>
          <w:lang w:val="en-US" w:eastAsia="zh-CN"/>
        </w:rPr>
        <w:t>10.3.5</w:t>
      </w:r>
      <w:r>
        <w:rPr>
          <w:rFonts w:hint="eastAsia"/>
          <w:color w:val="auto"/>
          <w:highlight w:val="none"/>
          <w:lang w:val="en-US" w:eastAsia="zh-CN"/>
        </w:rPr>
        <w:t>至少</w:t>
      </w:r>
      <w:r>
        <w:rPr>
          <w:rFonts w:hint="eastAsia"/>
          <w:color w:val="auto"/>
          <w:lang w:val="en-US" w:eastAsia="zh-CN"/>
        </w:rPr>
        <w:t>做两份平行试验。</w:t>
      </w:r>
      <w:r>
        <w:rPr>
          <w:rFonts w:hint="eastAsia"/>
          <w:lang w:val="en-US" w:eastAsia="zh-CN"/>
        </w:rPr>
        <w:t>取测量值的平均值，测试结果应符合12的要求。</w:t>
      </w:r>
    </w:p>
    <w:p>
      <w:pPr>
        <w:spacing w:before="312" w:beforeLines="100" w:after="312" w:afterLines="100"/>
        <w:rPr>
          <w:rFonts w:eastAsia="黑体"/>
        </w:rPr>
      </w:pPr>
      <w:r>
        <w:rPr>
          <w:rFonts w:hint="eastAsia" w:ascii="黑体" w:hAnsi="黑体" w:eastAsia="黑体"/>
        </w:rPr>
        <w:t xml:space="preserve">11 </w:t>
      </w:r>
      <w:r>
        <w:rPr>
          <w:rFonts w:eastAsia="黑体"/>
        </w:rPr>
        <w:t xml:space="preserve"> 试验数据处理</w:t>
      </w:r>
      <w:bookmarkStart w:id="38" w:name="_GoBack"/>
      <w:bookmarkEnd w:id="38"/>
    </w:p>
    <w:p>
      <w:pPr>
        <w:spacing w:before="312" w:beforeLines="100" w:after="312" w:afterLines="100"/>
        <w:ind w:firstLine="420" w:firstLineChars="200"/>
        <w:rPr>
          <w:rFonts w:eastAsia="黑体"/>
        </w:rPr>
      </w:pPr>
      <w:r>
        <w:rPr>
          <w:rFonts w:hint="eastAsia"/>
          <w:color w:val="auto"/>
          <w:sz w:val="21"/>
          <w:szCs w:val="21"/>
          <w:lang w:val="en-US" w:eastAsia="zh-CN"/>
        </w:rPr>
        <w:t>硅多晶用包装袋表金属</w:t>
      </w:r>
      <w:r>
        <w:rPr>
          <w:rFonts w:hint="eastAsia" w:hAnsi="宋体"/>
        </w:rPr>
        <w:t>按公式（1）计算</w:t>
      </w:r>
      <w:r>
        <w:rPr>
          <w:rFonts w:hint="eastAsia" w:ascii="宋体" w:hAnsi="宋体"/>
          <w:szCs w:val="21"/>
        </w:rPr>
        <w:t>:</w:t>
      </w:r>
    </w:p>
    <w:p>
      <w:pPr>
        <w:pStyle w:val="16"/>
        <w:tabs>
          <w:tab w:val="center" w:pos="4201"/>
          <w:tab w:val="right" w:leader="dot" w:pos="9298"/>
        </w:tabs>
        <w:ind w:firstLine="2310" w:firstLineChars="1100"/>
      </w:pPr>
      <w:r>
        <w:rPr>
          <w:rFonts w:ascii="Times New Roman"/>
          <w:kern w:val="2"/>
          <w:position w:val="-24"/>
          <w:szCs w:val="24"/>
        </w:rPr>
        <w:object>
          <v:shape id="_x0000_i1025" o:spt="75" type="#_x0000_t75" style="height:33.15pt;width:128.65pt;" o:ole="t" filled="f" o:preferrelative="t" stroked="f" coordsize="21600,21600">
            <v:path/>
            <v:fill on="f" focussize="0,0"/>
            <v:stroke on="f"/>
            <v:imagedata r:id="rId17" o:title=""/>
            <o:lock v:ext="edit" aspectratio="t"/>
            <w10:wrap type="none"/>
            <w10:anchorlock/>
          </v:shape>
          <o:OLEObject Type="Embed" ProgID="Equation.3" ShapeID="_x0000_i1025" DrawAspect="Content" ObjectID="_1468075725" r:id="rId16">
            <o:LockedField>false</o:LockedField>
          </o:OLEObject>
        </w:object>
      </w:r>
      <w:r>
        <w:tab/>
      </w:r>
      <w:r>
        <w:t>(</w:t>
      </w:r>
      <w:r>
        <w:fldChar w:fldCharType="begin"/>
      </w:r>
      <w:r>
        <w:instrText xml:space="preserve"> SEQ </w:instrText>
      </w:r>
      <w:r>
        <w:rPr>
          <w:rFonts w:hint="eastAsia"/>
        </w:rPr>
        <w:instrText xml:space="preserve">标准自动公式</w:instrText>
      </w:r>
      <w:r>
        <w:instrText xml:space="preserve"> \* ARABIC </w:instrText>
      </w:r>
      <w:r>
        <w:fldChar w:fldCharType="separate"/>
      </w:r>
      <w:r>
        <w:t>1</w:t>
      </w:r>
      <w:r>
        <w:fldChar w:fldCharType="end"/>
      </w:r>
      <w:r>
        <w:t>)</w:t>
      </w:r>
    </w:p>
    <w:p>
      <w:pPr>
        <w:pStyle w:val="16"/>
        <w:tabs>
          <w:tab w:val="center" w:pos="4201"/>
          <w:tab w:val="right" w:leader="dot" w:pos="9298"/>
        </w:tabs>
      </w:pPr>
      <w:r>
        <w:rPr>
          <w:rFonts w:hint="eastAsia"/>
        </w:rPr>
        <w:t>式中：</w:t>
      </w:r>
    </w:p>
    <w:p>
      <w:pPr>
        <w:pStyle w:val="16"/>
        <w:tabs>
          <w:tab w:val="center" w:pos="4201"/>
          <w:tab w:val="right" w:leader="dot" w:pos="9298"/>
        </w:tabs>
        <w:rPr>
          <w:rFonts w:hAnsi="宋体"/>
          <w:szCs w:val="21"/>
        </w:rPr>
      </w:pPr>
      <w:r>
        <w:rPr>
          <w:rFonts w:hint="eastAsia" w:hAnsi="宋体"/>
          <w:i/>
          <w:szCs w:val="21"/>
        </w:rPr>
        <w:t>W</w:t>
      </w:r>
      <w:r>
        <w:rPr>
          <w:rFonts w:hint="eastAsia" w:hAnsi="宋体"/>
          <w:szCs w:val="21"/>
        </w:rPr>
        <w:t>x ——</w:t>
      </w:r>
      <w:r>
        <w:rPr>
          <w:rFonts w:hint="eastAsia" w:hAnsi="宋体"/>
          <w:kern w:val="21"/>
          <w:szCs w:val="21"/>
        </w:rPr>
        <w:t>样品中</w:t>
      </w:r>
      <w:r>
        <w:rPr>
          <w:rFonts w:hint="eastAsia" w:hAnsi="宋体"/>
          <w:kern w:val="21"/>
          <w:szCs w:val="21"/>
          <w:lang w:eastAsia="zh-CN"/>
        </w:rPr>
        <w:t>杂质元素的</w:t>
      </w:r>
      <w:r>
        <w:rPr>
          <w:rFonts w:hint="eastAsia" w:hAnsi="宋体"/>
          <w:kern w:val="21"/>
          <w:szCs w:val="21"/>
        </w:rPr>
        <w:t>质量</w:t>
      </w:r>
      <w:r>
        <w:rPr>
          <w:rFonts w:hint="eastAsia" w:hAnsi="宋体"/>
          <w:kern w:val="21"/>
          <w:szCs w:val="21"/>
          <w:lang w:eastAsia="zh-CN"/>
        </w:rPr>
        <w:t>分数</w:t>
      </w:r>
      <w:r>
        <w:rPr>
          <w:rFonts w:hint="eastAsia" w:hAnsi="宋体"/>
          <w:kern w:val="21"/>
          <w:szCs w:val="21"/>
        </w:rPr>
        <w:t>，单位为皮克每平方厘米（</w:t>
      </w:r>
      <w:r>
        <w:rPr>
          <w:rFonts w:hint="eastAsia"/>
          <w:color w:val="000000"/>
          <w:szCs w:val="21"/>
          <w:shd w:val="clear" w:color="auto" w:fill="FFFFFF"/>
        </w:rPr>
        <w:t>pg/cm</w:t>
      </w:r>
      <w:r>
        <w:rPr>
          <w:rFonts w:hint="eastAsia"/>
          <w:color w:val="000000"/>
          <w:szCs w:val="21"/>
          <w:shd w:val="clear" w:color="auto" w:fill="FFFFFF"/>
          <w:vertAlign w:val="superscript"/>
        </w:rPr>
        <w:t>2</w:t>
      </w:r>
      <w:r>
        <w:rPr>
          <w:rFonts w:hint="eastAsia" w:hAnsi="宋体"/>
          <w:kern w:val="21"/>
          <w:szCs w:val="21"/>
        </w:rPr>
        <w:t>）</w:t>
      </w:r>
      <w:r>
        <w:rPr>
          <w:rFonts w:hint="eastAsia" w:hAnsi="宋体"/>
          <w:szCs w:val="21"/>
        </w:rPr>
        <w:t>；</w:t>
      </w:r>
    </w:p>
    <w:p>
      <w:pPr>
        <w:pStyle w:val="16"/>
        <w:tabs>
          <w:tab w:val="center" w:pos="4201"/>
          <w:tab w:val="right" w:leader="dot" w:pos="9298"/>
        </w:tabs>
        <w:rPr>
          <w:rFonts w:hAnsi="宋体"/>
          <w:szCs w:val="21"/>
        </w:rPr>
      </w:pPr>
      <w:r>
        <w:rPr>
          <w:rFonts w:hint="eastAsia" w:hAnsi="宋体"/>
          <w:i/>
          <w:szCs w:val="21"/>
        </w:rPr>
        <w:t>c</w:t>
      </w:r>
      <w:r>
        <w:rPr>
          <w:rFonts w:hint="eastAsia" w:hAnsi="宋体"/>
          <w:szCs w:val="21"/>
          <w:vertAlign w:val="subscript"/>
        </w:rPr>
        <w:t>1</w:t>
      </w:r>
      <w:r>
        <w:rPr>
          <w:rFonts w:hint="eastAsia" w:hAnsi="宋体"/>
          <w:szCs w:val="21"/>
        </w:rPr>
        <w:t xml:space="preserve"> ——</w:t>
      </w:r>
      <w:r>
        <w:rPr>
          <w:rFonts w:hint="eastAsia" w:hAnsi="宋体"/>
          <w:kern w:val="21"/>
          <w:szCs w:val="21"/>
        </w:rPr>
        <w:t>空白溶液中待测元素的浓度，单位为</w:t>
      </w:r>
      <w:r>
        <w:rPr>
          <w:rFonts w:hint="eastAsia" w:hAnsi="宋体"/>
          <w:color w:val="000000"/>
          <w:kern w:val="21"/>
          <w:szCs w:val="21"/>
        </w:rPr>
        <w:t>纳克每</w:t>
      </w:r>
      <w:r>
        <w:rPr>
          <w:rFonts w:hint="eastAsia" w:hAnsi="宋体"/>
          <w:color w:val="000000"/>
          <w:kern w:val="21"/>
          <w:szCs w:val="21"/>
          <w:lang w:eastAsia="zh-CN"/>
        </w:rPr>
        <w:t>豪</w:t>
      </w:r>
      <w:r>
        <w:rPr>
          <w:rFonts w:hint="eastAsia" w:hAnsi="宋体"/>
          <w:color w:val="000000"/>
          <w:kern w:val="21"/>
          <w:szCs w:val="21"/>
        </w:rPr>
        <w:t>升</w:t>
      </w:r>
      <w:r>
        <w:rPr>
          <w:rFonts w:hint="eastAsia" w:hAnsi="宋体"/>
          <w:kern w:val="21"/>
          <w:szCs w:val="21"/>
        </w:rPr>
        <w:t>（</w:t>
      </w:r>
      <w:r>
        <w:rPr>
          <w:rFonts w:hint="eastAsia" w:hAnsi="宋体"/>
        </w:rPr>
        <w:t>n</w:t>
      </w:r>
      <w:r>
        <w:rPr>
          <w:rFonts w:hint="eastAsia" w:hAnsi="宋体"/>
          <w:kern w:val="21"/>
          <w:szCs w:val="21"/>
        </w:rPr>
        <w:t>g/</w:t>
      </w:r>
      <w:r>
        <w:rPr>
          <w:rFonts w:hint="eastAsia" w:hAnsi="宋体"/>
          <w:kern w:val="21"/>
          <w:szCs w:val="21"/>
          <w:lang w:val="en-US" w:eastAsia="zh-CN"/>
        </w:rPr>
        <w:t>m</w:t>
      </w:r>
      <w:r>
        <w:rPr>
          <w:rFonts w:hint="eastAsia" w:hAnsi="宋体"/>
          <w:kern w:val="21"/>
          <w:szCs w:val="21"/>
        </w:rPr>
        <w:t>L）</w:t>
      </w:r>
      <w:r>
        <w:rPr>
          <w:rFonts w:hint="eastAsia" w:hAnsi="宋体"/>
          <w:szCs w:val="21"/>
        </w:rPr>
        <w:t xml:space="preserve">； </w:t>
      </w:r>
    </w:p>
    <w:p>
      <w:pPr>
        <w:pStyle w:val="16"/>
        <w:tabs>
          <w:tab w:val="center" w:pos="4201"/>
          <w:tab w:val="right" w:leader="dot" w:pos="9298"/>
        </w:tabs>
        <w:rPr>
          <w:rFonts w:hAnsi="宋体"/>
          <w:szCs w:val="21"/>
        </w:rPr>
      </w:pPr>
      <w:r>
        <w:rPr>
          <w:rFonts w:hint="eastAsia" w:hAnsi="宋体"/>
          <w:i/>
          <w:szCs w:val="21"/>
        </w:rPr>
        <w:t>c</w:t>
      </w:r>
      <w:r>
        <w:rPr>
          <w:rFonts w:hint="eastAsia" w:hAnsi="宋体"/>
          <w:szCs w:val="21"/>
          <w:vertAlign w:val="subscript"/>
        </w:rPr>
        <w:t>2</w:t>
      </w:r>
      <w:r>
        <w:rPr>
          <w:rFonts w:hint="eastAsia" w:hAnsi="宋体"/>
          <w:szCs w:val="21"/>
        </w:rPr>
        <w:t xml:space="preserve"> ——</w:t>
      </w:r>
      <w:r>
        <w:rPr>
          <w:rFonts w:hint="eastAsia" w:hAnsi="宋体"/>
          <w:kern w:val="21"/>
          <w:szCs w:val="21"/>
        </w:rPr>
        <w:t>样品溶液中待测元素的浓度，单位为</w:t>
      </w:r>
      <w:r>
        <w:rPr>
          <w:rFonts w:hint="eastAsia" w:hAnsi="宋体"/>
          <w:color w:val="000000"/>
          <w:kern w:val="21"/>
          <w:szCs w:val="21"/>
        </w:rPr>
        <w:t>纳克每</w:t>
      </w:r>
      <w:r>
        <w:rPr>
          <w:rFonts w:hint="eastAsia" w:hAnsi="宋体"/>
          <w:color w:val="000000"/>
          <w:kern w:val="21"/>
          <w:szCs w:val="21"/>
          <w:lang w:eastAsia="zh-CN"/>
        </w:rPr>
        <w:t>豪</w:t>
      </w:r>
      <w:r>
        <w:rPr>
          <w:rFonts w:hint="eastAsia" w:hAnsi="宋体"/>
          <w:color w:val="000000"/>
          <w:kern w:val="21"/>
          <w:szCs w:val="21"/>
        </w:rPr>
        <w:t>升</w:t>
      </w:r>
      <w:r>
        <w:rPr>
          <w:rFonts w:hint="eastAsia" w:hAnsi="宋体"/>
          <w:kern w:val="21"/>
          <w:szCs w:val="21"/>
        </w:rPr>
        <w:t>（</w:t>
      </w:r>
      <w:r>
        <w:rPr>
          <w:rFonts w:hint="eastAsia" w:hAnsi="宋体"/>
        </w:rPr>
        <w:t>n</w:t>
      </w:r>
      <w:r>
        <w:rPr>
          <w:rFonts w:hint="eastAsia" w:hAnsi="宋体"/>
          <w:kern w:val="21"/>
          <w:szCs w:val="21"/>
        </w:rPr>
        <w:t>g/</w:t>
      </w:r>
      <w:r>
        <w:rPr>
          <w:rFonts w:hint="eastAsia" w:hAnsi="宋体"/>
          <w:kern w:val="21"/>
          <w:szCs w:val="21"/>
          <w:lang w:val="en-US" w:eastAsia="zh-CN"/>
        </w:rPr>
        <w:t>m</w:t>
      </w:r>
      <w:r>
        <w:rPr>
          <w:rFonts w:hint="eastAsia" w:hAnsi="宋体"/>
          <w:kern w:val="21"/>
          <w:szCs w:val="21"/>
        </w:rPr>
        <w:t>L）</w:t>
      </w:r>
      <w:r>
        <w:rPr>
          <w:rFonts w:hint="eastAsia" w:hAnsi="宋体"/>
          <w:szCs w:val="21"/>
        </w:rPr>
        <w:t>；</w:t>
      </w:r>
    </w:p>
    <w:p>
      <w:pPr>
        <w:pStyle w:val="16"/>
        <w:tabs>
          <w:tab w:val="center" w:pos="4201"/>
          <w:tab w:val="right" w:leader="dot" w:pos="9298"/>
        </w:tabs>
        <w:rPr>
          <w:rFonts w:hint="eastAsia" w:hAnsi="宋体" w:eastAsia="宋体"/>
          <w:kern w:val="21"/>
          <w:szCs w:val="21"/>
          <w:lang w:eastAsia="zh-CN"/>
        </w:rPr>
      </w:pPr>
      <w:r>
        <w:rPr>
          <w:rFonts w:hint="eastAsia" w:hAnsi="宋体"/>
          <w:i/>
          <w:szCs w:val="21"/>
        </w:rPr>
        <w:t>V</w:t>
      </w:r>
      <w:r>
        <w:rPr>
          <w:rFonts w:hint="eastAsia" w:hAnsi="宋体"/>
          <w:szCs w:val="21"/>
        </w:rPr>
        <w:t xml:space="preserve"> ——</w:t>
      </w:r>
      <w:r>
        <w:rPr>
          <w:rFonts w:hint="eastAsia" w:hAnsi="宋体"/>
          <w:kern w:val="21"/>
          <w:szCs w:val="21"/>
        </w:rPr>
        <w:t>样品溶液的体积，单位为毫升（mL）</w:t>
      </w:r>
      <w:r>
        <w:rPr>
          <w:rFonts w:hint="eastAsia" w:hAnsi="宋体"/>
          <w:kern w:val="21"/>
          <w:szCs w:val="21"/>
          <w:lang w:eastAsia="zh-CN"/>
        </w:rPr>
        <w:t>。</w:t>
      </w:r>
    </w:p>
    <w:p>
      <w:pPr>
        <w:spacing w:before="312" w:beforeLines="100" w:after="312" w:afterLines="100"/>
        <w:rPr>
          <w:rFonts w:ascii="黑体" w:hAnsi="黑体" w:eastAsia="黑体"/>
        </w:rPr>
      </w:pPr>
      <w:r>
        <w:rPr>
          <w:rFonts w:hint="eastAsia" w:ascii="黑体" w:hAnsi="黑体" w:eastAsia="黑体"/>
        </w:rPr>
        <w:t>12  精密度</w:t>
      </w:r>
    </w:p>
    <w:p>
      <w:pPr>
        <w:ind w:firstLine="210" w:firstLineChars="100"/>
        <w:rPr>
          <w:szCs w:val="21"/>
        </w:rPr>
      </w:pPr>
      <w:r>
        <w:rPr>
          <w:rFonts w:hint="eastAsia"/>
          <w:szCs w:val="21"/>
          <w:lang w:val="en-US" w:eastAsia="zh-CN"/>
        </w:rPr>
        <w:t xml:space="preserve"> **</w:t>
      </w:r>
      <w:r>
        <w:rPr>
          <w:rFonts w:hint="eastAsia"/>
          <w:szCs w:val="21"/>
        </w:rPr>
        <w:t>家实验室分别对</w:t>
      </w:r>
      <w:r>
        <w:rPr>
          <w:rFonts w:hint="eastAsia"/>
          <w:szCs w:val="21"/>
          <w:lang w:val="en-US" w:eastAsia="zh-CN"/>
        </w:rPr>
        <w:t>硅多晶用包装袋</w:t>
      </w:r>
      <w:r>
        <w:rPr>
          <w:rFonts w:hint="eastAsia"/>
          <w:szCs w:val="21"/>
        </w:rPr>
        <w:t>进行了测定，实验室内相对标准偏差和实验室间相对标准偏差见表1。</w:t>
      </w:r>
    </w:p>
    <w:p>
      <w:pPr>
        <w:ind w:firstLine="3780" w:firstLineChars="1800"/>
        <w:rPr>
          <w:rFonts w:ascii="黑体" w:eastAsia="黑体"/>
          <w:szCs w:val="21"/>
        </w:rPr>
      </w:pPr>
      <w:r>
        <w:rPr>
          <w:rFonts w:hint="eastAsia" w:ascii="黑体" w:eastAsia="黑体"/>
          <w:szCs w:val="21"/>
        </w:rPr>
        <w:t xml:space="preserve"> 表1                                            </w:t>
      </w:r>
    </w:p>
    <w:tbl>
      <w:tblPr>
        <w:tblStyle w:val="6"/>
        <w:tblW w:w="956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800"/>
        <w:gridCol w:w="863"/>
        <w:gridCol w:w="825"/>
        <w:gridCol w:w="719"/>
        <w:gridCol w:w="769"/>
        <w:gridCol w:w="798"/>
        <w:gridCol w:w="719"/>
        <w:gridCol w:w="809"/>
        <w:gridCol w:w="719"/>
        <w:gridCol w:w="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8" w:space="0"/>
              <w:bottom w:val="single" w:color="auto" w:sz="8" w:space="0"/>
            </w:tcBorders>
            <w:shd w:val="clear" w:color="auto" w:fill="auto"/>
          </w:tcPr>
          <w:p>
            <w:pPr>
              <w:jc w:val="center"/>
              <w:rPr>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0</wp:posOffset>
                      </wp:positionV>
                      <wp:extent cx="0" cy="0"/>
                      <wp:effectExtent l="0" t="0" r="0" b="0"/>
                      <wp:wrapNone/>
                      <wp:docPr id="9"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Line 15" o:spid="_x0000_s1026" o:spt="20" style="position:absolute;left:0pt;margin-left:-5.4pt;margin-top:0pt;height:0pt;width:0pt;z-index:251667456;mso-width-relative:page;mso-height-relative:page;" filled="f" stroked="t" coordsize="21600,21600" o:gfxdata="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FNaQnRAAAABQEAAA8AAAAAAAAAAQAgAAAAIgAAAGRycy9kb3ducmV2Lnht&#10;bFBLAQIUABQAAAAIAIdO4kCoNzpWxwEAAKgDAAAOAAAAAAAAAAEAIAAAACABAABkcnMvZTJvRG9j&#10;LnhtbFBLBQYAAAAABgAGAFkBAABZBQAAAAA=&#10;">
                      <v:fill on="f" focussize="0,0"/>
                      <v:stroke color="#000000" joinstyle="round"/>
                      <v:imagedata o:title=""/>
                      <o:lock v:ext="edit" aspectratio="f"/>
                    </v:line>
                  </w:pict>
                </mc:Fallback>
              </mc:AlternateContent>
            </w:r>
            <w:r>
              <w:rPr>
                <w:rFonts w:hint="eastAsia"/>
                <w:sz w:val="18"/>
                <w:szCs w:val="18"/>
              </w:rPr>
              <w:t>元素</w:t>
            </w:r>
          </w:p>
        </w:tc>
        <w:tc>
          <w:tcPr>
            <w:tcW w:w="800"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Na</w:t>
            </w:r>
          </w:p>
        </w:tc>
        <w:tc>
          <w:tcPr>
            <w:tcW w:w="863"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Mg</w:t>
            </w:r>
          </w:p>
        </w:tc>
        <w:tc>
          <w:tcPr>
            <w:tcW w:w="825"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Al</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K</w:t>
            </w:r>
          </w:p>
        </w:tc>
        <w:tc>
          <w:tcPr>
            <w:tcW w:w="76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Ca</w:t>
            </w:r>
          </w:p>
        </w:tc>
        <w:tc>
          <w:tcPr>
            <w:tcW w:w="798"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Cr</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Fe</w:t>
            </w:r>
          </w:p>
        </w:tc>
        <w:tc>
          <w:tcPr>
            <w:tcW w:w="80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Ni</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Cu</w:t>
            </w:r>
          </w:p>
        </w:tc>
        <w:tc>
          <w:tcPr>
            <w:tcW w:w="719"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Zn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8" w:space="0"/>
              <w:bottom w:val="single" w:color="auto" w:sz="8" w:space="0"/>
            </w:tcBorders>
            <w:shd w:val="clear" w:color="auto" w:fill="auto"/>
          </w:tcPr>
          <w:p>
            <w:pPr>
              <w:jc w:val="center"/>
              <w:rPr>
                <w:rFonts w:hint="default" w:eastAsia="宋体"/>
                <w:sz w:val="18"/>
                <w:szCs w:val="18"/>
                <w:lang w:val="en-US" w:eastAsia="zh-CN"/>
              </w:rPr>
            </w:pPr>
            <w:r>
              <w:rPr>
                <w:rFonts w:hint="eastAsia"/>
                <w:sz w:val="18"/>
                <w:szCs w:val="18"/>
                <w:lang w:val="en-US" w:eastAsia="zh-CN"/>
              </w:rPr>
              <w:t>杂质含量（</w:t>
            </w:r>
            <w:r>
              <w:rPr>
                <w:rFonts w:hint="eastAsia" w:ascii="宋体" w:hAnsi="宋体" w:cs="宋体"/>
                <w:szCs w:val="21"/>
                <w:lang w:val="en-US" w:eastAsia="zh-CN"/>
              </w:rPr>
              <w:t>p</w:t>
            </w:r>
            <w:r>
              <w:rPr>
                <w:rFonts w:hint="eastAsia" w:ascii="宋体" w:hAnsi="宋体" w:eastAsia="宋体" w:cs="宋体"/>
                <w:szCs w:val="21"/>
              </w:rPr>
              <w:t>g/</w:t>
            </w:r>
            <w:r>
              <w:rPr>
                <w:rFonts w:hint="eastAsia" w:ascii="宋体" w:hAnsi="宋体" w:cs="宋体"/>
                <w:szCs w:val="21"/>
                <w:lang w:val="en-US" w:eastAsia="zh-CN"/>
              </w:rPr>
              <w:t>cm2</w:t>
            </w:r>
            <w:r>
              <w:rPr>
                <w:rFonts w:hint="eastAsia"/>
                <w:sz w:val="18"/>
                <w:szCs w:val="18"/>
                <w:lang w:val="en-US" w:eastAsia="zh-CN"/>
              </w:rPr>
              <w:t>）</w:t>
            </w:r>
          </w:p>
        </w:tc>
        <w:tc>
          <w:tcPr>
            <w:tcW w:w="800" w:type="dxa"/>
            <w:tcBorders>
              <w:top w:val="single" w:color="auto" w:sz="8" w:space="0"/>
              <w:bottom w:val="single" w:color="auto" w:sz="8" w:space="0"/>
            </w:tcBorders>
            <w:shd w:val="clear" w:color="auto" w:fill="auto"/>
          </w:tcPr>
          <w:p>
            <w:pPr>
              <w:jc w:val="center"/>
              <w:rPr>
                <w:rFonts w:hint="default" w:eastAsia="宋体"/>
                <w:sz w:val="18"/>
                <w:szCs w:val="18"/>
                <w:lang w:val="en-US" w:eastAsia="zh-CN"/>
              </w:rPr>
            </w:pPr>
          </w:p>
        </w:tc>
        <w:tc>
          <w:tcPr>
            <w:tcW w:w="863" w:type="dxa"/>
            <w:tcBorders>
              <w:top w:val="single" w:color="auto" w:sz="8" w:space="0"/>
              <w:bottom w:val="single" w:color="auto" w:sz="8" w:space="0"/>
            </w:tcBorders>
            <w:shd w:val="clear" w:color="auto" w:fill="auto"/>
          </w:tcPr>
          <w:p>
            <w:pPr>
              <w:jc w:val="center"/>
              <w:rPr>
                <w:rFonts w:hint="default" w:eastAsia="宋体"/>
                <w:sz w:val="18"/>
                <w:szCs w:val="18"/>
                <w:lang w:val="en-US" w:eastAsia="zh-CN"/>
              </w:rPr>
            </w:pPr>
          </w:p>
        </w:tc>
        <w:tc>
          <w:tcPr>
            <w:tcW w:w="825"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1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6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98"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1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80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1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c>
          <w:tcPr>
            <w:tcW w:w="719" w:type="dxa"/>
            <w:tcBorders>
              <w:top w:val="single" w:color="auto" w:sz="8" w:space="0"/>
              <w:bottom w:val="single" w:color="auto" w:sz="8" w:space="0"/>
            </w:tcBorders>
            <w:shd w:val="clear" w:color="auto" w:fill="auto"/>
            <w:vAlign w:val="center"/>
          </w:tcPr>
          <w:p>
            <w:pPr>
              <w:jc w:val="center"/>
              <w:rPr>
                <w:rFonts w:hint="default" w:eastAsia="宋体"/>
                <w:sz w:val="18"/>
                <w:szCs w:val="1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8" w:space="0"/>
              <w:bottom w:val="single" w:color="auto" w:sz="8" w:space="0"/>
            </w:tcBorders>
            <w:shd w:val="clear" w:color="auto" w:fill="auto"/>
          </w:tcPr>
          <w:p>
            <w:pPr>
              <w:jc w:val="center"/>
              <w:rPr>
                <w:sz w:val="18"/>
                <w:szCs w:val="18"/>
              </w:rPr>
            </w:pPr>
            <w:r>
              <w:rPr>
                <w:rFonts w:hint="eastAsia"/>
                <w:sz w:val="18"/>
                <w:szCs w:val="18"/>
              </w:rPr>
              <w:t>实验室内RSD</w:t>
            </w:r>
            <w:r>
              <w:rPr>
                <w:rFonts w:hint="eastAsia" w:ascii="黑体" w:eastAsia="黑体"/>
                <w:szCs w:val="21"/>
              </w:rPr>
              <w:t>（</w:t>
            </w:r>
            <w:r>
              <w:rPr>
                <w:rFonts w:hint="eastAsia"/>
                <w:sz w:val="18"/>
                <w:szCs w:val="18"/>
              </w:rPr>
              <w:t>%</w:t>
            </w:r>
            <w:r>
              <w:rPr>
                <w:rFonts w:hint="eastAsia" w:ascii="黑体" w:eastAsia="黑体"/>
                <w:szCs w:val="21"/>
              </w:rPr>
              <w:t>）</w:t>
            </w:r>
          </w:p>
        </w:tc>
        <w:tc>
          <w:tcPr>
            <w:tcW w:w="800"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eastAsia="宋体"/>
                <w:sz w:val="18"/>
                <w:szCs w:val="18"/>
                <w:lang w:val="en-US" w:eastAsia="zh-CN"/>
              </w:rPr>
            </w:pPr>
          </w:p>
        </w:tc>
        <w:tc>
          <w:tcPr>
            <w:tcW w:w="863"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eastAsia="宋体"/>
                <w:sz w:val="18"/>
                <w:szCs w:val="18"/>
                <w:lang w:eastAsia="zh-CN"/>
              </w:rPr>
            </w:pPr>
          </w:p>
        </w:tc>
        <w:tc>
          <w:tcPr>
            <w:tcW w:w="825"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71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p>
        </w:tc>
        <w:tc>
          <w:tcPr>
            <w:tcW w:w="76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p>
        </w:tc>
        <w:tc>
          <w:tcPr>
            <w:tcW w:w="798"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p>
        </w:tc>
        <w:tc>
          <w:tcPr>
            <w:tcW w:w="71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highlight w:val="none"/>
                <w:lang w:eastAsia="zh-CN"/>
              </w:rPr>
            </w:pPr>
          </w:p>
        </w:tc>
        <w:tc>
          <w:tcPr>
            <w:tcW w:w="80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p>
        </w:tc>
        <w:tc>
          <w:tcPr>
            <w:tcW w:w="71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p>
        </w:tc>
        <w:tc>
          <w:tcPr>
            <w:tcW w:w="719" w:type="dxa"/>
            <w:tcBorders>
              <w:top w:val="single" w:color="auto" w:sz="8" w:space="0"/>
              <w:bottom w:val="single" w:color="auto"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24" w:type="dxa"/>
            <w:tcBorders>
              <w:top w:val="single" w:color="auto" w:sz="8" w:space="0"/>
            </w:tcBorders>
            <w:shd w:val="clear" w:color="auto" w:fill="auto"/>
          </w:tcPr>
          <w:p>
            <w:pPr>
              <w:jc w:val="center"/>
              <w:rPr>
                <w:sz w:val="18"/>
                <w:szCs w:val="18"/>
              </w:rPr>
            </w:pPr>
            <w:r>
              <w:rPr>
                <w:rFonts w:hint="eastAsia"/>
                <w:sz w:val="18"/>
                <w:szCs w:val="18"/>
              </w:rPr>
              <w:t>实验室间RSD</w:t>
            </w:r>
            <w:r>
              <w:rPr>
                <w:rFonts w:hint="eastAsia" w:ascii="黑体" w:eastAsia="黑体"/>
                <w:szCs w:val="21"/>
              </w:rPr>
              <w:t>（</w:t>
            </w:r>
            <w:r>
              <w:rPr>
                <w:rFonts w:hint="eastAsia"/>
                <w:sz w:val="18"/>
                <w:szCs w:val="18"/>
              </w:rPr>
              <w:t>%</w:t>
            </w:r>
            <w:r>
              <w:rPr>
                <w:rFonts w:hint="eastAsia" w:ascii="黑体" w:eastAsia="黑体"/>
                <w:szCs w:val="21"/>
              </w:rPr>
              <w:t>）</w:t>
            </w:r>
          </w:p>
        </w:tc>
        <w:tc>
          <w:tcPr>
            <w:tcW w:w="800"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863"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825"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71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76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highlight w:val="none"/>
              </w:rPr>
            </w:pPr>
          </w:p>
        </w:tc>
        <w:tc>
          <w:tcPr>
            <w:tcW w:w="798"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highlight w:val="none"/>
              </w:rPr>
            </w:pPr>
          </w:p>
        </w:tc>
        <w:tc>
          <w:tcPr>
            <w:tcW w:w="71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highlight w:val="none"/>
              </w:rPr>
            </w:pPr>
          </w:p>
        </w:tc>
        <w:tc>
          <w:tcPr>
            <w:tcW w:w="80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71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c>
          <w:tcPr>
            <w:tcW w:w="719" w:type="dxa"/>
            <w:tcBorders>
              <w:top w:val="single" w:color="auto" w:sz="8" w:space="0"/>
            </w:tcBorders>
            <w:shd w:val="clear" w:color="auto" w:fill="auto"/>
            <w:vAlign w:val="center"/>
          </w:tcPr>
          <w:p>
            <w:pPr>
              <w:keepNext w:val="0"/>
              <w:keepLines w:val="0"/>
              <w:widowControl/>
              <w:suppressLineNumbers w:val="0"/>
              <w:jc w:val="center"/>
              <w:textAlignment w:val="center"/>
              <w:rPr>
                <w:sz w:val="18"/>
                <w:szCs w:val="18"/>
              </w:rPr>
            </w:pPr>
          </w:p>
        </w:tc>
      </w:tr>
    </w:tbl>
    <w:p>
      <w:pPr>
        <w:spacing w:before="312" w:beforeLines="100" w:after="312" w:afterLines="100"/>
        <w:rPr>
          <w:rFonts w:ascii="黑体" w:hAnsi="黑体" w:eastAsia="黑体"/>
        </w:rPr>
      </w:pPr>
      <w:r>
        <w:rPr>
          <w:rFonts w:hint="eastAsia" w:ascii="黑体" w:hAnsi="黑体" w:eastAsia="黑体"/>
        </w:rPr>
        <w:t>13  试验报告</w:t>
      </w:r>
    </w:p>
    <w:p>
      <w:pPr>
        <w:pStyle w:val="2"/>
        <w:ind w:firstLine="420" w:firstLineChars="200"/>
      </w:pPr>
      <w:r>
        <w:rPr>
          <w:rFonts w:hint="eastAsia"/>
        </w:rPr>
        <w:t>试验报告应包括如下内容：</w:t>
      </w:r>
    </w:p>
    <w:p>
      <w:pPr>
        <w:pStyle w:val="2"/>
        <w:ind w:firstLine="420"/>
      </w:pPr>
      <w:r>
        <w:rPr>
          <w:rFonts w:hint="eastAsia"/>
        </w:rPr>
        <w:t>a) 使用设备、操作者、测试日期；</w:t>
      </w:r>
    </w:p>
    <w:p>
      <w:pPr>
        <w:pStyle w:val="2"/>
        <w:ind w:firstLine="420"/>
      </w:pPr>
      <w:r>
        <w:rPr>
          <w:rFonts w:hint="eastAsia"/>
        </w:rPr>
        <w:t>b) 测试样品编号；</w:t>
      </w:r>
    </w:p>
    <w:p>
      <w:pPr>
        <w:pStyle w:val="2"/>
        <w:ind w:firstLine="420"/>
      </w:pPr>
      <w:r>
        <w:rPr>
          <w:rFonts w:hint="eastAsia"/>
        </w:rPr>
        <w:t>c) 环境温度和环境湿度；</w:t>
      </w:r>
    </w:p>
    <w:p>
      <w:pPr>
        <w:pStyle w:val="2"/>
        <w:ind w:firstLine="420"/>
      </w:pPr>
      <w:r>
        <w:rPr>
          <w:rFonts w:hint="eastAsia"/>
        </w:rPr>
        <w:t>d) 测试结果；</w:t>
      </w:r>
    </w:p>
    <w:p>
      <w:pPr>
        <w:pStyle w:val="2"/>
        <w:ind w:firstLine="420"/>
      </w:pPr>
      <w:r>
        <w:rPr>
          <w:rFonts w:hint="eastAsia"/>
        </w:rPr>
        <w:t>e) 本文件编号；</w:t>
      </w:r>
    </w:p>
    <w:p>
      <w:pPr>
        <w:pStyle w:val="2"/>
        <w:ind w:firstLine="420"/>
      </w:pPr>
      <w:r>
        <w:rPr>
          <w:rFonts w:hint="eastAsia"/>
        </w:rPr>
        <w:t>f) 其他。</w:t>
      </w:r>
    </w:p>
    <w:p>
      <w:pPr>
        <w:tabs>
          <w:tab w:val="left" w:pos="360"/>
          <w:tab w:val="left" w:pos="900"/>
          <w:tab w:val="left" w:pos="3465"/>
        </w:tabs>
        <w:ind w:left="540" w:leftChars="257"/>
        <w:rPr>
          <w:rFonts w:ascii="黑体" w:hAnsi="黑体" w:eastAsia="黑体"/>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112395</wp:posOffset>
                </wp:positionV>
                <wp:extent cx="1466850" cy="0"/>
                <wp:effectExtent l="0" t="0" r="0" b="0"/>
                <wp:wrapNone/>
                <wp:docPr id="23" name="直线 136"/>
                <wp:cNvGraphicFramePr/>
                <a:graphic xmlns:a="http://schemas.openxmlformats.org/drawingml/2006/main">
                  <a:graphicData uri="http://schemas.microsoft.com/office/word/2010/wordprocessingShape">
                    <wps:wsp>
                      <wps:cNvCnPr/>
                      <wps:spPr>
                        <a:xfrm>
                          <a:off x="0" y="0"/>
                          <a:ext cx="14668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36" o:spid="_x0000_s1026" o:spt="20" style="position:absolute;left:0pt;margin-left:171pt;margin-top:8.85pt;height:0pt;width:115.5pt;z-index:251664384;mso-width-relative:page;mso-height-relative:page;" filled="f" stroked="t" coordsize="21600,21600" o:gfxdata="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qo2fbXAAAACQEA&#10;AA8AAAAAAAAAAQAgAAAAIgAAAGRycy9kb3ducmV2LnhtbFBLAQIUABQAAAAIAIdO4kC1W3yB4gEA&#10;ANMDAAAOAAAAAAAAAAEAIAAAACYBAABkcnMvZTJvRG9jLnhtbFBLBQYAAAAABgAGAFkBAAB6BQAA&#10;AAA=&#10;">
                <v:fill on="f" focussize="0,0"/>
                <v:stroke weight="1pt" color="#000000" joinstyle="round"/>
                <v:imagedata o:title=""/>
                <o:lock v:ext="edit" aspectratio="f"/>
              </v:line>
            </w:pict>
          </mc:Fallback>
        </mc:AlternateContent>
      </w:r>
      <w:r>
        <w:rPr>
          <w:rFonts w:hint="eastAsia"/>
        </w:rPr>
        <w:t xml:space="preserve"> </w:t>
      </w:r>
    </w:p>
    <w:p/>
    <w:sectPr>
      <w:headerReference r:id="rId11" w:type="first"/>
      <w:footerReference r:id="rId14" w:type="first"/>
      <w:footerReference r:id="rId12" w:type="default"/>
      <w:footerReference r:id="rId13" w:type="even"/>
      <w:pgSz w:w="11907" w:h="16839"/>
      <w:pgMar w:top="567" w:right="851" w:bottom="1361" w:left="1838" w:header="907"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Style w:val="9"/>
        <w:rFonts w:ascii="宋体" w:hAnsi="宋体"/>
      </w:rPr>
      <w:instrText xml:space="preserve"> PAGE </w:instrText>
    </w:r>
    <w:r>
      <w:rPr>
        <w:rFonts w:ascii="宋体" w:hAnsi="宋体"/>
      </w:rPr>
      <w:fldChar w:fldCharType="separate"/>
    </w:r>
    <w:r>
      <w:rPr>
        <w:rStyle w:val="9"/>
        <w:rFonts w:ascii="宋体" w:hAnsi="宋体"/>
      </w:rPr>
      <w:t>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9"/>
      </w:rPr>
    </w:pPr>
    <w:r>
      <w:fldChar w:fldCharType="begin"/>
    </w:r>
    <w:r>
      <w:rPr>
        <w:rStyle w:val="9"/>
      </w:rPr>
      <w:instrText xml:space="preserve">PAGE  </w:instrText>
    </w:r>
    <w:r>
      <w:fldChar w:fldCharType="separate"/>
    </w:r>
    <w:r>
      <w:rPr>
        <w:rStyle w:val="9"/>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Style w:val="9"/>
      </w:rPr>
    </w:pPr>
    <w:r>
      <w:fldChar w:fldCharType="begin"/>
    </w:r>
    <w:r>
      <w:rPr>
        <w:rStyle w:val="9"/>
      </w:rPr>
      <w:instrText xml:space="preserve">PAGE  </w:instrText>
    </w:r>
    <w:r>
      <w:fldChar w:fldCharType="separate"/>
    </w:r>
    <w:r>
      <w:rPr>
        <w:rStyle w:val="9"/>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9"/>
        <w:rFonts w:ascii="宋体" w:hAnsi="宋体"/>
      </w:rPr>
    </w:pPr>
    <w:r>
      <w:rPr>
        <w:rFonts w:ascii="宋体" w:hAnsi="宋体"/>
      </w:rPr>
      <w:fldChar w:fldCharType="begin"/>
    </w:r>
    <w:r>
      <w:rPr>
        <w:rStyle w:val="9"/>
        <w:rFonts w:ascii="宋体" w:hAnsi="宋体"/>
      </w:rPr>
      <w:instrText xml:space="preserve">PAGE  </w:instrText>
    </w:r>
    <w:r>
      <w:rPr>
        <w:rFonts w:ascii="宋体" w:hAnsi="宋体"/>
      </w:rPr>
      <w:fldChar w:fldCharType="separate"/>
    </w:r>
    <w:r>
      <w:rPr>
        <w:rStyle w:val="9"/>
        <w:rFonts w:ascii="宋体" w:hAnsi="宋体"/>
      </w:rPr>
      <w:t>2</w:t>
    </w:r>
    <w:r>
      <w:rPr>
        <w:rFonts w:ascii="宋体" w:hAnsi="宋体"/>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黑体" w:eastAsia="黑体"/>
      </w:rPr>
    </w:pPr>
    <w:r>
      <w:rPr>
        <w:rFonts w:hint="eastAsia" w:ascii="黑体" w:eastAsia="黑体"/>
      </w:rPr>
      <w:t>YS ××××—201×</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lang w:val="en-US" w:eastAsia="zh-CN"/>
      </w:rPr>
    </w:pPr>
    <w:r>
      <w:t>T/</w:t>
    </w:r>
    <w:r>
      <w:rPr>
        <w:rFonts w:hint="eastAsia"/>
      </w:rPr>
      <w:t>CNIA</w:t>
    </w:r>
    <w:r>
      <w:t xml:space="preserve">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lang w:val="en-US" w:eastAsia="zh-CN"/>
      </w:rPr>
    </w:pPr>
    <w:r>
      <w:t>T/</w:t>
    </w:r>
    <w:r>
      <w:rPr>
        <w:rFonts w:hint="eastAsia"/>
      </w:rPr>
      <w:t>CNIA</w:t>
    </w:r>
    <w:r>
      <w:t xml:space="preserve">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default"/>
        <w:lang w:val="en-US" w:eastAsia="zh-CN"/>
      </w:rPr>
    </w:pPr>
    <w:r>
      <w:t>T/</w:t>
    </w:r>
    <w:r>
      <w:rPr>
        <w:rFonts w:hint="eastAsia"/>
      </w:rPr>
      <w:t>CNIA</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7"/>
      <w:numFmt w:val="decimal"/>
      <w:pStyle w:val="51"/>
      <w:lvlText w:val="%1."/>
      <w:lvlJc w:val="left"/>
      <w:pPr>
        <w:tabs>
          <w:tab w:val="left" w:pos="540"/>
        </w:tabs>
        <w:ind w:left="540" w:hanging="540"/>
      </w:pPr>
      <w:rPr>
        <w:rFonts w:hint="default" w:hAnsi="Times New Roman" w:cs="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pStyle w:val="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F"/>
    <w:multiLevelType w:val="multilevel"/>
    <w:tmpl w:val="0000000F"/>
    <w:lvl w:ilvl="0" w:tentative="0">
      <w:start w:val="1"/>
      <w:numFmt w:val="none"/>
      <w:pStyle w:val="52"/>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315" w:firstLine="0"/>
      </w:pPr>
      <w:rPr>
        <w:rFonts w:hint="eastAsia" w:ascii="黑体" w:hAnsi="Times New Roman" w:eastAsia="黑体"/>
        <w:b w:val="0"/>
        <w:i w:val="0"/>
        <w:sz w:val="21"/>
      </w:rPr>
    </w:lvl>
    <w:lvl w:ilvl="3" w:tentative="0">
      <w:start w:val="1"/>
      <w:numFmt w:val="decimal"/>
      <w:pStyle w:val="22"/>
      <w:suff w:val="nothing"/>
      <w:lvlText w:val="%1%2.%3.%4　"/>
      <w:lvlJc w:val="left"/>
      <w:pPr>
        <w:ind w:left="630" w:firstLine="0"/>
      </w:pPr>
      <w:rPr>
        <w:rFonts w:hint="eastAsia" w:ascii="黑体" w:hAnsi="Times New Roman" w:eastAsia="黑体"/>
        <w:b w:val="0"/>
        <w:i w:val="0"/>
        <w:sz w:val="21"/>
      </w:rPr>
    </w:lvl>
    <w:lvl w:ilvl="4" w:tentative="0">
      <w:start w:val="1"/>
      <w:numFmt w:val="decimal"/>
      <w:pStyle w:val="38"/>
      <w:suff w:val="nothing"/>
      <w:lvlText w:val="%1%2.%3.%4.%5　"/>
      <w:lvlJc w:val="left"/>
      <w:pPr>
        <w:ind w:left="0" w:firstLine="0"/>
      </w:pPr>
      <w:rPr>
        <w:rFonts w:hint="eastAsia" w:ascii="黑体" w:hAnsi="Times New Roman" w:eastAsia="黑体"/>
        <w:b w:val="0"/>
        <w:i w:val="0"/>
        <w:sz w:val="21"/>
      </w:rPr>
    </w:lvl>
    <w:lvl w:ilvl="5" w:tentative="0">
      <w:start w:val="1"/>
      <w:numFmt w:val="decimal"/>
      <w:pStyle w:val="37"/>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00000010"/>
    <w:multiLevelType w:val="multilevel"/>
    <w:tmpl w:val="00000010"/>
    <w:lvl w:ilvl="0" w:tentative="0">
      <w:start w:val="1"/>
      <w:numFmt w:val="none"/>
      <w:pStyle w:val="58"/>
      <w:lvlText w:val="%1——"/>
      <w:lvlJc w:val="left"/>
      <w:pPr>
        <w:tabs>
          <w:tab w:val="left" w:pos="1140"/>
        </w:tabs>
        <w:ind w:left="840" w:hanging="420"/>
      </w:pPr>
      <w:rPr>
        <w:rFonts w:hint="eastAsia"/>
      </w:rPr>
    </w:lvl>
    <w:lvl w:ilvl="1" w:tentative="0">
      <w:start w:val="4"/>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4C50F90"/>
    <w:multiLevelType w:val="multilevel"/>
    <w:tmpl w:val="44C50F90"/>
    <w:lvl w:ilvl="0" w:tentative="0">
      <w:start w:val="1"/>
      <w:numFmt w:val="lowerLetter"/>
      <w:pStyle w:val="3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YmNhMzYxMTU4ZTlkZjVmNmVhN2FlMmZkNTNlMzkifQ=="/>
  </w:docVars>
  <w:rsids>
    <w:rsidRoot w:val="00172A27"/>
    <w:rsid w:val="00013815"/>
    <w:rsid w:val="00020200"/>
    <w:rsid w:val="00023952"/>
    <w:rsid w:val="000517B2"/>
    <w:rsid w:val="000550CE"/>
    <w:rsid w:val="0006077A"/>
    <w:rsid w:val="00070C19"/>
    <w:rsid w:val="000946B3"/>
    <w:rsid w:val="000A0FEE"/>
    <w:rsid w:val="000B1E0E"/>
    <w:rsid w:val="000B2662"/>
    <w:rsid w:val="000C1DF4"/>
    <w:rsid w:val="000C6E85"/>
    <w:rsid w:val="000D382F"/>
    <w:rsid w:val="000D3B33"/>
    <w:rsid w:val="000E0C86"/>
    <w:rsid w:val="000F035E"/>
    <w:rsid w:val="000F772E"/>
    <w:rsid w:val="000F7975"/>
    <w:rsid w:val="0010092D"/>
    <w:rsid w:val="00103777"/>
    <w:rsid w:val="001065F5"/>
    <w:rsid w:val="001333A1"/>
    <w:rsid w:val="00155B68"/>
    <w:rsid w:val="00162B8C"/>
    <w:rsid w:val="00172A27"/>
    <w:rsid w:val="00191D7E"/>
    <w:rsid w:val="00191F14"/>
    <w:rsid w:val="001A1F87"/>
    <w:rsid w:val="001B669D"/>
    <w:rsid w:val="001C02E2"/>
    <w:rsid w:val="001C1775"/>
    <w:rsid w:val="001C4676"/>
    <w:rsid w:val="001C5004"/>
    <w:rsid w:val="001D30C0"/>
    <w:rsid w:val="001E15E4"/>
    <w:rsid w:val="001E3D81"/>
    <w:rsid w:val="001E61C6"/>
    <w:rsid w:val="001F4839"/>
    <w:rsid w:val="001F4978"/>
    <w:rsid w:val="001F6E64"/>
    <w:rsid w:val="0020427A"/>
    <w:rsid w:val="00204B97"/>
    <w:rsid w:val="0020513E"/>
    <w:rsid w:val="00207F41"/>
    <w:rsid w:val="002203D7"/>
    <w:rsid w:val="00234E07"/>
    <w:rsid w:val="002409BA"/>
    <w:rsid w:val="0024675E"/>
    <w:rsid w:val="0025647C"/>
    <w:rsid w:val="00267004"/>
    <w:rsid w:val="00286C5D"/>
    <w:rsid w:val="00291F76"/>
    <w:rsid w:val="0029285A"/>
    <w:rsid w:val="00294458"/>
    <w:rsid w:val="002A17F0"/>
    <w:rsid w:val="002A2C77"/>
    <w:rsid w:val="002A5D0C"/>
    <w:rsid w:val="002A74BD"/>
    <w:rsid w:val="002B383F"/>
    <w:rsid w:val="002B72E1"/>
    <w:rsid w:val="002C1057"/>
    <w:rsid w:val="002C19B8"/>
    <w:rsid w:val="002C1D57"/>
    <w:rsid w:val="002C58CD"/>
    <w:rsid w:val="002C5CDD"/>
    <w:rsid w:val="002C76DD"/>
    <w:rsid w:val="002D36E6"/>
    <w:rsid w:val="002D5496"/>
    <w:rsid w:val="00307DA9"/>
    <w:rsid w:val="00315F34"/>
    <w:rsid w:val="00327877"/>
    <w:rsid w:val="00335287"/>
    <w:rsid w:val="0034677F"/>
    <w:rsid w:val="00346E55"/>
    <w:rsid w:val="00350F98"/>
    <w:rsid w:val="00352813"/>
    <w:rsid w:val="003562C7"/>
    <w:rsid w:val="003738D5"/>
    <w:rsid w:val="0037677E"/>
    <w:rsid w:val="00392C1D"/>
    <w:rsid w:val="00395A6E"/>
    <w:rsid w:val="003A13ED"/>
    <w:rsid w:val="003B137B"/>
    <w:rsid w:val="003D2047"/>
    <w:rsid w:val="003E182E"/>
    <w:rsid w:val="003F2E28"/>
    <w:rsid w:val="003F6FAB"/>
    <w:rsid w:val="004072E6"/>
    <w:rsid w:val="00412D28"/>
    <w:rsid w:val="00413800"/>
    <w:rsid w:val="004158D0"/>
    <w:rsid w:val="00440B26"/>
    <w:rsid w:val="004525E8"/>
    <w:rsid w:val="00453B1F"/>
    <w:rsid w:val="004700F9"/>
    <w:rsid w:val="004749B0"/>
    <w:rsid w:val="00474CE4"/>
    <w:rsid w:val="00487097"/>
    <w:rsid w:val="004939BD"/>
    <w:rsid w:val="00494E48"/>
    <w:rsid w:val="004D1F27"/>
    <w:rsid w:val="004D23BA"/>
    <w:rsid w:val="004E21DA"/>
    <w:rsid w:val="004F66B5"/>
    <w:rsid w:val="005143C8"/>
    <w:rsid w:val="00523431"/>
    <w:rsid w:val="00531739"/>
    <w:rsid w:val="005356B6"/>
    <w:rsid w:val="005378AF"/>
    <w:rsid w:val="00547CF6"/>
    <w:rsid w:val="005514AC"/>
    <w:rsid w:val="00551DAD"/>
    <w:rsid w:val="00556267"/>
    <w:rsid w:val="00564244"/>
    <w:rsid w:val="005666C6"/>
    <w:rsid w:val="005676FA"/>
    <w:rsid w:val="005742C4"/>
    <w:rsid w:val="00590C83"/>
    <w:rsid w:val="005B42AB"/>
    <w:rsid w:val="005D298A"/>
    <w:rsid w:val="005D3B42"/>
    <w:rsid w:val="005E328D"/>
    <w:rsid w:val="005E5BA2"/>
    <w:rsid w:val="0060063B"/>
    <w:rsid w:val="0061513F"/>
    <w:rsid w:val="00615E51"/>
    <w:rsid w:val="006229DE"/>
    <w:rsid w:val="0064480A"/>
    <w:rsid w:val="0064515F"/>
    <w:rsid w:val="006600AB"/>
    <w:rsid w:val="006719F5"/>
    <w:rsid w:val="00673DA5"/>
    <w:rsid w:val="00685997"/>
    <w:rsid w:val="00692579"/>
    <w:rsid w:val="006A06EF"/>
    <w:rsid w:val="006C0970"/>
    <w:rsid w:val="006C2D13"/>
    <w:rsid w:val="006C38F2"/>
    <w:rsid w:val="006E037E"/>
    <w:rsid w:val="00720FEB"/>
    <w:rsid w:val="00724F92"/>
    <w:rsid w:val="00725DF1"/>
    <w:rsid w:val="00725E43"/>
    <w:rsid w:val="0073074F"/>
    <w:rsid w:val="00737889"/>
    <w:rsid w:val="007412DB"/>
    <w:rsid w:val="0074490F"/>
    <w:rsid w:val="00752507"/>
    <w:rsid w:val="007749FE"/>
    <w:rsid w:val="007801E5"/>
    <w:rsid w:val="00781239"/>
    <w:rsid w:val="007837ED"/>
    <w:rsid w:val="00787F76"/>
    <w:rsid w:val="007940C7"/>
    <w:rsid w:val="007A7812"/>
    <w:rsid w:val="007C3569"/>
    <w:rsid w:val="007C5751"/>
    <w:rsid w:val="007C6863"/>
    <w:rsid w:val="007D0A4B"/>
    <w:rsid w:val="007E3192"/>
    <w:rsid w:val="007E5178"/>
    <w:rsid w:val="007E53C9"/>
    <w:rsid w:val="007E5A6C"/>
    <w:rsid w:val="007F6313"/>
    <w:rsid w:val="007F6F26"/>
    <w:rsid w:val="00803962"/>
    <w:rsid w:val="0080636D"/>
    <w:rsid w:val="00813FAA"/>
    <w:rsid w:val="008245F5"/>
    <w:rsid w:val="00826074"/>
    <w:rsid w:val="00826790"/>
    <w:rsid w:val="00837BBA"/>
    <w:rsid w:val="00852670"/>
    <w:rsid w:val="00852CFF"/>
    <w:rsid w:val="008559DF"/>
    <w:rsid w:val="00890EC8"/>
    <w:rsid w:val="00896BF7"/>
    <w:rsid w:val="008B35E1"/>
    <w:rsid w:val="008B42D5"/>
    <w:rsid w:val="008B45C3"/>
    <w:rsid w:val="008B6EBC"/>
    <w:rsid w:val="008D4655"/>
    <w:rsid w:val="008F3208"/>
    <w:rsid w:val="008F3826"/>
    <w:rsid w:val="008F4879"/>
    <w:rsid w:val="0090746D"/>
    <w:rsid w:val="009247D6"/>
    <w:rsid w:val="0094266A"/>
    <w:rsid w:val="00944758"/>
    <w:rsid w:val="009532A3"/>
    <w:rsid w:val="00953745"/>
    <w:rsid w:val="00961ED1"/>
    <w:rsid w:val="00975E99"/>
    <w:rsid w:val="00981FD5"/>
    <w:rsid w:val="00984A5A"/>
    <w:rsid w:val="00992C82"/>
    <w:rsid w:val="00997112"/>
    <w:rsid w:val="009A5A4B"/>
    <w:rsid w:val="009B71FD"/>
    <w:rsid w:val="009C0750"/>
    <w:rsid w:val="009C53AE"/>
    <w:rsid w:val="009D1283"/>
    <w:rsid w:val="009E2073"/>
    <w:rsid w:val="009F00AE"/>
    <w:rsid w:val="009F2870"/>
    <w:rsid w:val="009F7A84"/>
    <w:rsid w:val="00A21FC8"/>
    <w:rsid w:val="00A26162"/>
    <w:rsid w:val="00A343BA"/>
    <w:rsid w:val="00A405F2"/>
    <w:rsid w:val="00A4376B"/>
    <w:rsid w:val="00A44043"/>
    <w:rsid w:val="00A449EB"/>
    <w:rsid w:val="00A470C4"/>
    <w:rsid w:val="00A54A53"/>
    <w:rsid w:val="00A556B3"/>
    <w:rsid w:val="00A704AD"/>
    <w:rsid w:val="00A71DB4"/>
    <w:rsid w:val="00A7274C"/>
    <w:rsid w:val="00A75AC8"/>
    <w:rsid w:val="00AA610A"/>
    <w:rsid w:val="00AB0399"/>
    <w:rsid w:val="00AB694D"/>
    <w:rsid w:val="00AD3E83"/>
    <w:rsid w:val="00AF6D63"/>
    <w:rsid w:val="00B05B1F"/>
    <w:rsid w:val="00B23FF3"/>
    <w:rsid w:val="00B26516"/>
    <w:rsid w:val="00B30E5E"/>
    <w:rsid w:val="00B42478"/>
    <w:rsid w:val="00B5703F"/>
    <w:rsid w:val="00B626E3"/>
    <w:rsid w:val="00BA4C02"/>
    <w:rsid w:val="00BC1669"/>
    <w:rsid w:val="00BC4E35"/>
    <w:rsid w:val="00BD3E45"/>
    <w:rsid w:val="00BD7421"/>
    <w:rsid w:val="00BE5F52"/>
    <w:rsid w:val="00C04CF8"/>
    <w:rsid w:val="00C458A8"/>
    <w:rsid w:val="00C5587E"/>
    <w:rsid w:val="00C65EEB"/>
    <w:rsid w:val="00C737BB"/>
    <w:rsid w:val="00C90B76"/>
    <w:rsid w:val="00C91991"/>
    <w:rsid w:val="00C93EB0"/>
    <w:rsid w:val="00C946B7"/>
    <w:rsid w:val="00CA0D67"/>
    <w:rsid w:val="00CA1340"/>
    <w:rsid w:val="00CA5A4A"/>
    <w:rsid w:val="00CB1813"/>
    <w:rsid w:val="00CB4703"/>
    <w:rsid w:val="00CB698F"/>
    <w:rsid w:val="00CC3921"/>
    <w:rsid w:val="00CC6A9C"/>
    <w:rsid w:val="00CD2932"/>
    <w:rsid w:val="00CE112B"/>
    <w:rsid w:val="00CF544F"/>
    <w:rsid w:val="00D13710"/>
    <w:rsid w:val="00D21D41"/>
    <w:rsid w:val="00D224B3"/>
    <w:rsid w:val="00D665F2"/>
    <w:rsid w:val="00D671CE"/>
    <w:rsid w:val="00D71B03"/>
    <w:rsid w:val="00D80203"/>
    <w:rsid w:val="00D92B94"/>
    <w:rsid w:val="00D945AB"/>
    <w:rsid w:val="00D94B56"/>
    <w:rsid w:val="00DA2D4D"/>
    <w:rsid w:val="00DA31BA"/>
    <w:rsid w:val="00DA4CD5"/>
    <w:rsid w:val="00DB41FD"/>
    <w:rsid w:val="00DC3E0D"/>
    <w:rsid w:val="00DD3B22"/>
    <w:rsid w:val="00DE7875"/>
    <w:rsid w:val="00DF55C4"/>
    <w:rsid w:val="00DF5A9F"/>
    <w:rsid w:val="00E02B53"/>
    <w:rsid w:val="00E0504D"/>
    <w:rsid w:val="00E143F2"/>
    <w:rsid w:val="00E21903"/>
    <w:rsid w:val="00E26890"/>
    <w:rsid w:val="00E275BC"/>
    <w:rsid w:val="00E43105"/>
    <w:rsid w:val="00E54395"/>
    <w:rsid w:val="00E62912"/>
    <w:rsid w:val="00E67357"/>
    <w:rsid w:val="00E72AFF"/>
    <w:rsid w:val="00E760D2"/>
    <w:rsid w:val="00E80826"/>
    <w:rsid w:val="00E955DE"/>
    <w:rsid w:val="00EA4FAF"/>
    <w:rsid w:val="00EB47AF"/>
    <w:rsid w:val="00EC0985"/>
    <w:rsid w:val="00EC347E"/>
    <w:rsid w:val="00EE2AD2"/>
    <w:rsid w:val="00EF0204"/>
    <w:rsid w:val="00F032A3"/>
    <w:rsid w:val="00F16C70"/>
    <w:rsid w:val="00F260F3"/>
    <w:rsid w:val="00F30459"/>
    <w:rsid w:val="00F42A86"/>
    <w:rsid w:val="00F56A66"/>
    <w:rsid w:val="00F65192"/>
    <w:rsid w:val="00F701D1"/>
    <w:rsid w:val="00F774B2"/>
    <w:rsid w:val="00F85885"/>
    <w:rsid w:val="00F86E71"/>
    <w:rsid w:val="00FB5410"/>
    <w:rsid w:val="00FD32B1"/>
    <w:rsid w:val="00FD6118"/>
    <w:rsid w:val="017C1C61"/>
    <w:rsid w:val="02204321"/>
    <w:rsid w:val="029F0F02"/>
    <w:rsid w:val="02FE031F"/>
    <w:rsid w:val="0378785F"/>
    <w:rsid w:val="037B7F7B"/>
    <w:rsid w:val="04E946A2"/>
    <w:rsid w:val="04ED41A7"/>
    <w:rsid w:val="05A15B90"/>
    <w:rsid w:val="066606B5"/>
    <w:rsid w:val="079D469A"/>
    <w:rsid w:val="07DC4BDB"/>
    <w:rsid w:val="086F032B"/>
    <w:rsid w:val="08C60002"/>
    <w:rsid w:val="0B284E9E"/>
    <w:rsid w:val="0C7340BE"/>
    <w:rsid w:val="0D38442D"/>
    <w:rsid w:val="0EAD2BF9"/>
    <w:rsid w:val="0FBD09A5"/>
    <w:rsid w:val="0FCF5AF0"/>
    <w:rsid w:val="114F0864"/>
    <w:rsid w:val="12463148"/>
    <w:rsid w:val="125D0E4E"/>
    <w:rsid w:val="14031C9A"/>
    <w:rsid w:val="14DE001E"/>
    <w:rsid w:val="163D4361"/>
    <w:rsid w:val="183766D4"/>
    <w:rsid w:val="186C2244"/>
    <w:rsid w:val="18B3705E"/>
    <w:rsid w:val="18F41CCE"/>
    <w:rsid w:val="19EF1DB2"/>
    <w:rsid w:val="1AE24E9D"/>
    <w:rsid w:val="1B8420E6"/>
    <w:rsid w:val="1D3A33F6"/>
    <w:rsid w:val="1ECE699F"/>
    <w:rsid w:val="1F5F077D"/>
    <w:rsid w:val="20F82601"/>
    <w:rsid w:val="231D6147"/>
    <w:rsid w:val="233E0645"/>
    <w:rsid w:val="23863CED"/>
    <w:rsid w:val="23AE3417"/>
    <w:rsid w:val="2418246B"/>
    <w:rsid w:val="259D3570"/>
    <w:rsid w:val="26564D22"/>
    <w:rsid w:val="26E44A9A"/>
    <w:rsid w:val="272226F5"/>
    <w:rsid w:val="273A72C8"/>
    <w:rsid w:val="276205CD"/>
    <w:rsid w:val="278D7653"/>
    <w:rsid w:val="2A0E67EA"/>
    <w:rsid w:val="2B24643E"/>
    <w:rsid w:val="2B9D2756"/>
    <w:rsid w:val="2BFC30DB"/>
    <w:rsid w:val="2C881338"/>
    <w:rsid w:val="2D824AAA"/>
    <w:rsid w:val="2DA221D7"/>
    <w:rsid w:val="2DE75AD8"/>
    <w:rsid w:val="2E5973FF"/>
    <w:rsid w:val="2EB63314"/>
    <w:rsid w:val="2EB67D17"/>
    <w:rsid w:val="2FF75EE1"/>
    <w:rsid w:val="30585AFC"/>
    <w:rsid w:val="30A92DC8"/>
    <w:rsid w:val="30D36BB8"/>
    <w:rsid w:val="317C04DD"/>
    <w:rsid w:val="31AA272E"/>
    <w:rsid w:val="31C11014"/>
    <w:rsid w:val="31F25631"/>
    <w:rsid w:val="32017E81"/>
    <w:rsid w:val="32335040"/>
    <w:rsid w:val="32B75C71"/>
    <w:rsid w:val="32EA78E1"/>
    <w:rsid w:val="3307027A"/>
    <w:rsid w:val="33155E5B"/>
    <w:rsid w:val="33B73283"/>
    <w:rsid w:val="3507410E"/>
    <w:rsid w:val="35883F59"/>
    <w:rsid w:val="36E863FA"/>
    <w:rsid w:val="37C86B2B"/>
    <w:rsid w:val="380366D8"/>
    <w:rsid w:val="38201120"/>
    <w:rsid w:val="39826394"/>
    <w:rsid w:val="3AD133E4"/>
    <w:rsid w:val="3B5824C6"/>
    <w:rsid w:val="3CEB75EB"/>
    <w:rsid w:val="3D8F0A4E"/>
    <w:rsid w:val="3DEB4836"/>
    <w:rsid w:val="3DF0123C"/>
    <w:rsid w:val="3E8E1D71"/>
    <w:rsid w:val="3F942E96"/>
    <w:rsid w:val="40CE3228"/>
    <w:rsid w:val="41F74F61"/>
    <w:rsid w:val="425B7C9B"/>
    <w:rsid w:val="42646F23"/>
    <w:rsid w:val="43AC2EA4"/>
    <w:rsid w:val="44055ED1"/>
    <w:rsid w:val="45483A10"/>
    <w:rsid w:val="46582E6F"/>
    <w:rsid w:val="467F21AA"/>
    <w:rsid w:val="4743767B"/>
    <w:rsid w:val="48B70522"/>
    <w:rsid w:val="49276D5E"/>
    <w:rsid w:val="49D91BE2"/>
    <w:rsid w:val="49F571AA"/>
    <w:rsid w:val="4B017011"/>
    <w:rsid w:val="4B3E148B"/>
    <w:rsid w:val="4BC719C0"/>
    <w:rsid w:val="4BCD1BD4"/>
    <w:rsid w:val="4E487769"/>
    <w:rsid w:val="4FE13D10"/>
    <w:rsid w:val="503F29AA"/>
    <w:rsid w:val="50BE7D72"/>
    <w:rsid w:val="50C941E7"/>
    <w:rsid w:val="51281690"/>
    <w:rsid w:val="51497F84"/>
    <w:rsid w:val="514C074E"/>
    <w:rsid w:val="515466FF"/>
    <w:rsid w:val="51C413B8"/>
    <w:rsid w:val="521A3326"/>
    <w:rsid w:val="5314573E"/>
    <w:rsid w:val="53560736"/>
    <w:rsid w:val="544B4D0E"/>
    <w:rsid w:val="5483555B"/>
    <w:rsid w:val="56E45D3D"/>
    <w:rsid w:val="58EF7663"/>
    <w:rsid w:val="599905B4"/>
    <w:rsid w:val="59B27810"/>
    <w:rsid w:val="59B34E9F"/>
    <w:rsid w:val="59DD58DD"/>
    <w:rsid w:val="5A023326"/>
    <w:rsid w:val="5AE94CC7"/>
    <w:rsid w:val="5C080C07"/>
    <w:rsid w:val="5C7D5C91"/>
    <w:rsid w:val="5D504448"/>
    <w:rsid w:val="5ED510A9"/>
    <w:rsid w:val="607B21B4"/>
    <w:rsid w:val="61975BAB"/>
    <w:rsid w:val="61EE5FDE"/>
    <w:rsid w:val="62FB4E56"/>
    <w:rsid w:val="64984E1D"/>
    <w:rsid w:val="65C37EAD"/>
    <w:rsid w:val="67045669"/>
    <w:rsid w:val="671E3435"/>
    <w:rsid w:val="677D3ED9"/>
    <w:rsid w:val="6828773F"/>
    <w:rsid w:val="689451D1"/>
    <w:rsid w:val="69390486"/>
    <w:rsid w:val="695C13F2"/>
    <w:rsid w:val="6B2216A9"/>
    <w:rsid w:val="6B7632CC"/>
    <w:rsid w:val="6BE26BB3"/>
    <w:rsid w:val="6C5D2FCA"/>
    <w:rsid w:val="6CBE025B"/>
    <w:rsid w:val="6CFE7A1D"/>
    <w:rsid w:val="6D5F2231"/>
    <w:rsid w:val="6D835988"/>
    <w:rsid w:val="6DC347C2"/>
    <w:rsid w:val="6E4476B1"/>
    <w:rsid w:val="6F254112"/>
    <w:rsid w:val="6F424F17"/>
    <w:rsid w:val="70A504D5"/>
    <w:rsid w:val="70CD48A9"/>
    <w:rsid w:val="70D25EA0"/>
    <w:rsid w:val="7130798E"/>
    <w:rsid w:val="71562969"/>
    <w:rsid w:val="729B6D29"/>
    <w:rsid w:val="74A6219F"/>
    <w:rsid w:val="75181898"/>
    <w:rsid w:val="75410941"/>
    <w:rsid w:val="76791E82"/>
    <w:rsid w:val="777F5BFE"/>
    <w:rsid w:val="79AD6A52"/>
    <w:rsid w:val="7A1C6F90"/>
    <w:rsid w:val="7AAB2E9A"/>
    <w:rsid w:val="7AD81F49"/>
    <w:rsid w:val="7AF44E0D"/>
    <w:rsid w:val="7B6A6F16"/>
    <w:rsid w:val="7BEA7526"/>
    <w:rsid w:val="7CA852AF"/>
    <w:rsid w:val="7CC2661B"/>
    <w:rsid w:val="7D0E2B49"/>
    <w:rsid w:val="7D6E5432"/>
    <w:rsid w:val="7DA168CE"/>
    <w:rsid w:val="7DB10429"/>
    <w:rsid w:val="7DF433A9"/>
    <w:rsid w:val="7E2277DF"/>
    <w:rsid w:val="7FCE72E9"/>
    <w:rsid w:val="F3FEB2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61"/>
    <w:qFormat/>
    <w:uiPriority w:val="0"/>
    <w:rPr>
      <w:sz w:val="18"/>
      <w:szCs w:val="18"/>
    </w:rPr>
  </w:style>
  <w:style w:type="paragraph" w:styleId="4">
    <w:name w:val="footer"/>
    <w:basedOn w:val="1"/>
    <w:link w:val="10"/>
    <w:qFormat/>
    <w:uiPriority w:val="99"/>
    <w:pPr>
      <w:tabs>
        <w:tab w:val="center" w:pos="4153"/>
        <w:tab w:val="right" w:pos="8306"/>
      </w:tabs>
      <w:snapToGrid w:val="0"/>
      <w:ind w:right="210" w:rightChars="100"/>
      <w:jc w:val="righ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rPr>
      <w:rFonts w:ascii="Times New Roman" w:hAnsi="Times New Roman" w:eastAsia="宋体"/>
      <w:sz w:val="18"/>
    </w:rPr>
  </w:style>
  <w:style w:type="character" w:customStyle="1" w:styleId="10">
    <w:name w:val="页脚 Char"/>
    <w:basedOn w:val="7"/>
    <w:link w:val="4"/>
    <w:qFormat/>
    <w:uiPriority w:val="99"/>
    <w:rPr>
      <w:kern w:val="2"/>
      <w:sz w:val="18"/>
      <w:szCs w:val="18"/>
    </w:rPr>
  </w:style>
  <w:style w:type="character" w:customStyle="1" w:styleId="11">
    <w:name w:val="页眉 Char"/>
    <w:basedOn w:val="7"/>
    <w:link w:val="5"/>
    <w:qFormat/>
    <w:uiPriority w:val="0"/>
    <w:rPr>
      <w:kern w:val="2"/>
      <w:sz w:val="18"/>
      <w:szCs w:val="18"/>
    </w:rPr>
  </w:style>
  <w:style w:type="character" w:customStyle="1" w:styleId="12">
    <w:name w:val="apple-style-span"/>
    <w:basedOn w:val="7"/>
    <w:qFormat/>
    <w:uiPriority w:val="0"/>
  </w:style>
  <w:style w:type="character" w:customStyle="1" w:styleId="13">
    <w:name w:val="样式 一级条标题 + 宋体 Char1"/>
    <w:basedOn w:val="7"/>
    <w:link w:val="14"/>
    <w:qFormat/>
    <w:uiPriority w:val="0"/>
    <w:rPr>
      <w:rFonts w:ascii="宋体" w:hAnsi="宋体" w:eastAsia="黑体"/>
      <w:kern w:val="2"/>
      <w:sz w:val="21"/>
    </w:rPr>
  </w:style>
  <w:style w:type="paragraph" w:customStyle="1" w:styleId="14">
    <w:name w:val="样式 一级条标题 + 宋体"/>
    <w:basedOn w:val="1"/>
    <w:link w:val="13"/>
    <w:qFormat/>
    <w:uiPriority w:val="0"/>
    <w:pPr>
      <w:widowControl/>
      <w:ind w:left="315"/>
      <w:jc w:val="left"/>
      <w:outlineLvl w:val="2"/>
    </w:pPr>
    <w:rPr>
      <w:rFonts w:ascii="宋体" w:hAnsi="宋体" w:eastAsia="黑体"/>
    </w:rPr>
  </w:style>
  <w:style w:type="character" w:customStyle="1" w:styleId="15">
    <w:name w:val="段 Char"/>
    <w:basedOn w:val="7"/>
    <w:link w:val="16"/>
    <w:qFormat/>
    <w:uiPriority w:val="0"/>
    <w:rPr>
      <w:rFonts w:ascii="宋体"/>
      <w:sz w:val="21"/>
      <w:lang w:val="en-US" w:eastAsia="zh-CN" w:bidi="ar-SA"/>
    </w:rPr>
  </w:style>
  <w:style w:type="paragraph" w:customStyle="1" w:styleId="16">
    <w:name w:val="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章标题 Char"/>
    <w:basedOn w:val="7"/>
    <w:link w:val="18"/>
    <w:qFormat/>
    <w:uiPriority w:val="0"/>
    <w:rPr>
      <w:rFonts w:ascii="黑体" w:eastAsia="黑体"/>
      <w:sz w:val="21"/>
      <w:lang w:val="en-US" w:eastAsia="zh-CN" w:bidi="ar-SA"/>
    </w:rPr>
  </w:style>
  <w:style w:type="paragraph" w:customStyle="1" w:styleId="18">
    <w:name w:val="章标题"/>
    <w:next w:val="16"/>
    <w:link w:val="17"/>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character" w:customStyle="1" w:styleId="19">
    <w:name w:val="二级条标题 Char"/>
    <w:basedOn w:val="20"/>
    <w:link w:val="22"/>
    <w:qFormat/>
    <w:uiPriority w:val="0"/>
    <w:rPr>
      <w:rFonts w:eastAsia="黑体"/>
      <w:sz w:val="21"/>
      <w:lang w:val="en-US" w:eastAsia="zh-CN" w:bidi="ar-SA"/>
    </w:rPr>
  </w:style>
  <w:style w:type="character" w:customStyle="1" w:styleId="20">
    <w:name w:val="一级条标题 Char"/>
    <w:basedOn w:val="7"/>
    <w:link w:val="21"/>
    <w:qFormat/>
    <w:uiPriority w:val="0"/>
    <w:rPr>
      <w:rFonts w:eastAsia="黑体"/>
      <w:sz w:val="21"/>
      <w:lang w:val="en-US" w:eastAsia="zh-CN" w:bidi="ar-SA"/>
    </w:rPr>
  </w:style>
  <w:style w:type="paragraph" w:customStyle="1" w:styleId="21">
    <w:name w:val="一级条标题"/>
    <w:next w:val="16"/>
    <w:link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2">
    <w:name w:val="二级条标题"/>
    <w:basedOn w:val="21"/>
    <w:next w:val="16"/>
    <w:link w:val="19"/>
    <w:qFormat/>
    <w:uiPriority w:val="0"/>
    <w:pPr>
      <w:numPr>
        <w:ilvl w:val="3"/>
      </w:numPr>
      <w:tabs>
        <w:tab w:val="left" w:pos="360"/>
      </w:tabs>
      <w:outlineLvl w:val="3"/>
    </w:pPr>
  </w:style>
  <w:style w:type="character" w:customStyle="1" w:styleId="23">
    <w:name w:val="一级条标题 Char1"/>
    <w:basedOn w:val="7"/>
    <w:qFormat/>
    <w:uiPriority w:val="0"/>
    <w:rPr>
      <w:rFonts w:eastAsia="黑体"/>
      <w:sz w:val="21"/>
      <w:lang w:val="en-US" w:eastAsia="zh-CN" w:bidi="ar-SA"/>
    </w:rPr>
  </w:style>
  <w:style w:type="character" w:customStyle="1" w:styleId="24">
    <w:name w:val="发布"/>
    <w:basedOn w:val="7"/>
    <w:qFormat/>
    <w:uiPriority w:val="0"/>
    <w:rPr>
      <w:rFonts w:ascii="黑体" w:eastAsia="黑体"/>
      <w:spacing w:val="22"/>
      <w:w w:val="100"/>
      <w:position w:val="3"/>
      <w:sz w:val="28"/>
    </w:rPr>
  </w:style>
  <w:style w:type="paragraph" w:customStyle="1" w:styleId="25">
    <w:name w:val="图表脚注"/>
    <w:next w:val="1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6">
    <w:name w:val="封面标准英文名称"/>
    <w:basedOn w:val="27"/>
    <w:qFormat/>
    <w:uiPriority w:val="0"/>
    <w:pPr>
      <w:framePr w:wrap="around"/>
      <w:spacing w:before="370" w:line="400" w:lineRule="exact"/>
    </w:pPr>
    <w:rPr>
      <w:rFonts w:ascii="Times New Roman"/>
      <w:sz w:val="28"/>
      <w:szCs w:val="28"/>
    </w:rPr>
  </w:style>
  <w:style w:type="paragraph" w:customStyle="1" w:styleId="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8">
    <w:name w:val="四级无标题条"/>
    <w:basedOn w:val="1"/>
    <w:qFormat/>
    <w:uiPriority w:val="0"/>
    <w:pPr>
      <w:numPr>
        <w:ilvl w:val="5"/>
        <w:numId w:val="2"/>
      </w:numPr>
    </w:pPr>
    <w:rPr>
      <w:szCs w:val="24"/>
    </w:rPr>
  </w:style>
  <w:style w:type="paragraph" w:customStyle="1" w:styleId="29">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3">
    <w:name w:val="实施日期"/>
    <w:basedOn w:val="34"/>
    <w:qFormat/>
    <w:uiPriority w:val="0"/>
    <w:pPr>
      <w:jc w:val="right"/>
    </w:pPr>
  </w:style>
  <w:style w:type="paragraph" w:customStyle="1" w:styleId="34">
    <w:name w:val="发布日期"/>
    <w:qFormat/>
    <w:uiPriority w:val="0"/>
    <w:rPr>
      <w:rFonts w:ascii="Times New Roman" w:hAnsi="Times New Roman" w:eastAsia="黑体" w:cs="Times New Roman"/>
      <w:sz w:val="28"/>
      <w:lang w:val="en-US" w:eastAsia="zh-CN" w:bidi="ar-SA"/>
    </w:rPr>
  </w:style>
  <w:style w:type="paragraph" w:customStyle="1" w:styleId="35">
    <w:name w:val="正文表标题"/>
    <w:next w:val="16"/>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36">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37">
    <w:name w:val="四级条标题"/>
    <w:basedOn w:val="38"/>
    <w:next w:val="16"/>
    <w:qFormat/>
    <w:uiPriority w:val="0"/>
    <w:pPr>
      <w:numPr>
        <w:ilvl w:val="5"/>
      </w:numPr>
      <w:tabs>
        <w:tab w:val="left" w:pos="360"/>
      </w:tabs>
      <w:outlineLvl w:val="5"/>
    </w:pPr>
  </w:style>
  <w:style w:type="paragraph" w:customStyle="1" w:styleId="38">
    <w:name w:val="三级条标题"/>
    <w:basedOn w:val="22"/>
    <w:next w:val="16"/>
    <w:qFormat/>
    <w:uiPriority w:val="0"/>
    <w:pPr>
      <w:numPr>
        <w:ilvl w:val="4"/>
      </w:numPr>
      <w:outlineLvl w:val="4"/>
    </w:pPr>
  </w:style>
  <w:style w:type="paragraph" w:customStyle="1" w:styleId="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
    <w:name w:val="封面一致性程度标识"/>
    <w:basedOn w:val="26"/>
    <w:qFormat/>
    <w:uiPriority w:val="0"/>
    <w:pPr>
      <w:framePr w:wrap="around"/>
      <w:spacing w:before="440"/>
    </w:pPr>
    <w:rPr>
      <w:rFonts w:ascii="宋体"/>
    </w:rPr>
  </w:style>
  <w:style w:type="paragraph" w:customStyle="1" w:styleId="41">
    <w:name w:val="标准书眉_偶数页"/>
    <w:basedOn w:val="42"/>
    <w:next w:val="1"/>
    <w:qFormat/>
    <w:uiPriority w:val="0"/>
    <w:pPr>
      <w:tabs>
        <w:tab w:val="center" w:pos="4154"/>
        <w:tab w:val="right" w:pos="8306"/>
      </w:tabs>
      <w:jc w:val="left"/>
    </w:pPr>
  </w:style>
  <w:style w:type="paragraph" w:customStyle="1" w:styleId="4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3">
    <w:name w:val="其他发布部门"/>
    <w:basedOn w:val="44"/>
    <w:qFormat/>
    <w:uiPriority w:val="0"/>
    <w:pPr>
      <w:widowControl/>
      <w:spacing w:line="0" w:lineRule="atLeast"/>
      <w:jc w:val="center"/>
    </w:pPr>
    <w:rPr>
      <w:rFonts w:ascii="黑体" w:eastAsia="黑体"/>
      <w:spacing w:val="20"/>
      <w:w w:val="135"/>
      <w:kern w:val="0"/>
      <w:sz w:val="36"/>
    </w:rPr>
  </w:style>
  <w:style w:type="paragraph" w:customStyle="1" w:styleId="44">
    <w:name w:val="发布部门"/>
    <w:next w:val="1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46">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7">
    <w:name w:val="标准书眉一"/>
    <w:qFormat/>
    <w:uiPriority w:val="0"/>
    <w:pPr>
      <w:jc w:val="both"/>
    </w:pPr>
    <w:rPr>
      <w:rFonts w:ascii="Times New Roman" w:hAnsi="Times New Roman" w:eastAsia="宋体" w:cs="Times New Roman"/>
      <w:lang w:val="en-US" w:eastAsia="zh-CN" w:bidi="ar-SA"/>
    </w:rPr>
  </w:style>
  <w:style w:type="paragraph" w:customStyle="1" w:styleId="48">
    <w:name w:val="二级无标题条"/>
    <w:basedOn w:val="1"/>
    <w:qFormat/>
    <w:uiPriority w:val="0"/>
    <w:pPr>
      <w:numPr>
        <w:ilvl w:val="3"/>
        <w:numId w:val="2"/>
      </w:numPr>
    </w:pPr>
    <w:rPr>
      <w:szCs w:val="24"/>
    </w:rPr>
  </w:style>
  <w:style w:type="paragraph" w:customStyle="1" w:styleId="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
    <w:name w:val="附录标识"/>
    <w:basedOn w:val="52"/>
    <w:qFormat/>
    <w:uiPriority w:val="0"/>
    <w:pPr>
      <w:numPr>
        <w:ilvl w:val="0"/>
        <w:numId w:val="5"/>
      </w:numPr>
      <w:tabs>
        <w:tab w:val="left" w:pos="6405"/>
      </w:tabs>
      <w:spacing w:after="200"/>
    </w:pPr>
    <w:rPr>
      <w:sz w:val="21"/>
    </w:rPr>
  </w:style>
  <w:style w:type="paragraph" w:customStyle="1" w:styleId="5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五级条标题"/>
    <w:basedOn w:val="37"/>
    <w:next w:val="16"/>
    <w:qFormat/>
    <w:uiPriority w:val="0"/>
    <w:pPr>
      <w:numPr>
        <w:ilvl w:val="6"/>
      </w:numPr>
      <w:outlineLvl w:val="6"/>
    </w:pPr>
  </w:style>
  <w:style w:type="paragraph" w:customStyle="1" w:styleId="54">
    <w:name w:val="三级无标题条"/>
    <w:basedOn w:val="1"/>
    <w:qFormat/>
    <w:uiPriority w:val="0"/>
    <w:pPr>
      <w:numPr>
        <w:ilvl w:val="4"/>
        <w:numId w:val="2"/>
      </w:numPr>
    </w:pPr>
    <w:rPr>
      <w:szCs w:val="24"/>
    </w:rPr>
  </w:style>
  <w:style w:type="paragraph" w:customStyle="1" w:styleId="55">
    <w:name w:val="五级无标题条"/>
    <w:basedOn w:val="1"/>
    <w:qFormat/>
    <w:uiPriority w:val="0"/>
    <w:pPr>
      <w:numPr>
        <w:ilvl w:val="6"/>
        <w:numId w:val="2"/>
      </w:numPr>
    </w:pPr>
    <w:rPr>
      <w:szCs w:val="24"/>
    </w:rPr>
  </w:style>
  <w:style w:type="paragraph" w:customStyle="1" w:styleId="56">
    <w:name w:val="一级无标题条"/>
    <w:basedOn w:val="1"/>
    <w:qFormat/>
    <w:uiPriority w:val="0"/>
    <w:pPr>
      <w:numPr>
        <w:ilvl w:val="2"/>
        <w:numId w:val="2"/>
      </w:numPr>
    </w:pPr>
    <w:rPr>
      <w:szCs w:val="24"/>
    </w:rPr>
  </w:style>
  <w:style w:type="paragraph" w:customStyle="1" w:styleId="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8">
    <w:name w:val="列项——（一级）"/>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目次、标准名称标题"/>
    <w:basedOn w:val="52"/>
    <w:next w:val="16"/>
    <w:qFormat/>
    <w:uiPriority w:val="0"/>
    <w:pPr>
      <w:numPr>
        <w:numId w:val="0"/>
      </w:numPr>
      <w:spacing w:line="460" w:lineRule="exact"/>
    </w:pPr>
  </w:style>
  <w:style w:type="character" w:customStyle="1" w:styleId="61">
    <w:name w:val="批注框文本 Char"/>
    <w:basedOn w:val="7"/>
    <w:link w:val="3"/>
    <w:qFormat/>
    <w:uiPriority w:val="0"/>
    <w:rPr>
      <w:kern w:val="2"/>
      <w:sz w:val="18"/>
      <w:szCs w:val="18"/>
    </w:rPr>
  </w:style>
  <w:style w:type="paragraph" w:customStyle="1" w:styleId="62">
    <w:name w:val="一级无"/>
    <w:basedOn w:val="21"/>
    <w:qFormat/>
    <w:uiPriority w:val="0"/>
    <w:pPr>
      <w:spacing w:before="0" w:beforeLines="0" w:after="0" w:afterLines="0"/>
    </w:pPr>
    <w:rPr>
      <w:rFonts w:ascii="宋体" w:eastAsia="宋体"/>
    </w:rPr>
  </w:style>
  <w:style w:type="paragraph" w:customStyle="1" w:styleId="63">
    <w:name w:val="二级无"/>
    <w:basedOn w:val="22"/>
    <w:qFormat/>
    <w:uiPriority w:val="0"/>
    <w:pPr>
      <w:spacing w:beforeLines="0" w:afterLines="0"/>
      <w:ind w:left="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1819</Words>
  <Characters>2193</Characters>
  <Lines>23</Lines>
  <Paragraphs>6</Paragraphs>
  <TotalTime>1</TotalTime>
  <ScaleCrop>false</ScaleCrop>
  <LinksUpToDate>false</LinksUpToDate>
  <CharactersWithSpaces>2333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2013-05-31T10:21:00Z</dcterms:created>
  <dc:creator>王媛</dc:creator>
  <cp:lastModifiedBy>小幸运</cp:lastModifiedBy>
  <cp:lastPrinted>2023-10-12T01:58:00Z</cp:lastPrinted>
  <dcterms:modified xsi:type="dcterms:W3CDTF">2024-12-03T08:17:57Z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EB75638729F24971878EC3230734A105_13</vt:lpwstr>
  </property>
</Properties>
</file>