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rPr>
          <w:rFonts w:hint="eastAsia"/>
        </w:r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Borders>
            <w:top w:val="none" w:sz="0" w:space="0"/>
            <w:left w:val="none" w:sz="0" w:space="0"/>
            <w:bottom w:val="none" w:sz="0" w:space="0"/>
            <w:right w:val="none" w:sz="0" w:space="0"/>
          </w:pgBorders>
          <w:pgNumType w:start="1"/>
          <w:cols w:space="720" w:num="1"/>
          <w:titlePg/>
          <w:docGrid w:type="lines" w:linePitch="312" w:charSpace="0"/>
        </w:sectPr>
      </w:pPr>
      <w:bookmarkStart w:id="0" w:name="SectionMark0"/>
      <w:r>
        <mc:AlternateContent>
          <mc:Choice Requires="wps">
            <w:drawing>
              <wp:anchor distT="0" distB="0" distL="114300" distR="114300" simplePos="0" relativeHeight="251669504" behindDoc="0" locked="1" layoutInCell="1" allowOverlap="1">
                <wp:simplePos x="0" y="0"/>
                <wp:positionH relativeFrom="margin">
                  <wp:posOffset>152400</wp:posOffset>
                </wp:positionH>
                <wp:positionV relativeFrom="margin">
                  <wp:posOffset>1572895</wp:posOffset>
                </wp:positionV>
                <wp:extent cx="5802630" cy="676910"/>
                <wp:effectExtent l="0" t="0" r="1270" b="8890"/>
                <wp:wrapNone/>
                <wp:docPr id="11" name="fmFrame3"/>
                <wp:cNvGraphicFramePr/>
                <a:graphic xmlns:a="http://schemas.openxmlformats.org/drawingml/2006/main">
                  <a:graphicData uri="http://schemas.microsoft.com/office/word/2010/wordprocessingShape">
                    <wps:wsp>
                      <wps:cNvSpPr txBox="1"/>
                      <wps:spPr>
                        <a:xfrm>
                          <a:off x="0" y="0"/>
                          <a:ext cx="5802630" cy="676910"/>
                        </a:xfrm>
                        <a:prstGeom prst="rect">
                          <a:avLst/>
                        </a:prstGeom>
                        <a:solidFill>
                          <a:srgbClr val="FFFFFF"/>
                        </a:solidFill>
                        <a:ln>
                          <a:noFill/>
                        </a:ln>
                      </wps:spPr>
                      <wps:txbx>
                        <w:txbxContent>
                          <w:p>
                            <w:pPr>
                              <w:pStyle w:val="30"/>
                              <w:wordWrap w:val="0"/>
                              <w:spacing w:before="0"/>
                              <w:rPr>
                                <w:rFonts w:ascii="黑体" w:hAnsi="宋体" w:eastAsia="黑体"/>
                                <w:szCs w:val="28"/>
                              </w:rPr>
                            </w:pPr>
                            <w:r>
                              <w:rPr>
                                <w:rFonts w:hint="eastAsia" w:ascii="黑体" w:hAnsi="宋体" w:eastAsia="黑体"/>
                                <w:szCs w:val="28"/>
                              </w:rPr>
                              <w:t>GB/T 15072.3—XXXX</w:t>
                            </w:r>
                          </w:p>
                          <w:p>
                            <w:pPr>
                              <w:pStyle w:val="3"/>
                              <w:spacing w:line="222" w:lineRule="auto"/>
                              <w:ind w:left="6783"/>
                              <w:jc w:val="right"/>
                              <w:rPr>
                                <w:rFonts w:ascii="黑体" w:hAnsi="黑体" w:eastAsia="黑体" w:cs="Times New Roman"/>
                                <w:lang w:eastAsia="zh-CN"/>
                              </w:rPr>
                            </w:pPr>
                            <w:r>
                              <w:rPr>
                                <w:rFonts w:ascii="黑体" w:hAnsi="黑体" w:eastAsia="黑体" w:cs="Times New Roman"/>
                                <w:lang w:eastAsia="zh-CN"/>
                              </w:rPr>
                              <w:t xml:space="preserve">代替GB/T </w:t>
                            </w:r>
                            <w:r>
                              <w:rPr>
                                <w:rFonts w:hint="eastAsia" w:ascii="黑体" w:hAnsi="黑体" w:eastAsia="黑体" w:cs="Times New Roman"/>
                                <w:lang w:eastAsia="zh-CN"/>
                              </w:rPr>
                              <w:t>15072.3</w:t>
                            </w:r>
                            <w:r>
                              <w:rPr>
                                <w:rFonts w:ascii="黑体" w:hAnsi="黑体" w:eastAsia="黑体" w:cs="Times New Roman"/>
                                <w:lang w:eastAsia="zh-CN"/>
                              </w:rPr>
                              <w:t>-2008</w:t>
                            </w:r>
                          </w:p>
                          <w:p>
                            <w:pPr>
                              <w:pStyle w:val="3"/>
                              <w:spacing w:line="265" w:lineRule="auto"/>
                            </w:pPr>
                            <w:r>
                              <w:drawing>
                                <wp:inline distT="0" distB="0" distL="114300" distR="114300">
                                  <wp:extent cx="5937250" cy="12700"/>
                                  <wp:effectExtent l="0" t="0" r="6350" b="0"/>
                                  <wp:docPr id="13" name="IM 4"/>
                                  <wp:cNvGraphicFramePr/>
                                  <a:graphic xmlns:a="http://schemas.openxmlformats.org/drawingml/2006/main">
                                    <a:graphicData uri="http://schemas.openxmlformats.org/drawingml/2006/picture">
                                      <pic:pic xmlns:pic="http://schemas.openxmlformats.org/drawingml/2006/picture">
                                        <pic:nvPicPr>
                                          <pic:cNvPr id="13" name="IM 4"/>
                                          <pic:cNvPicPr/>
                                        </pic:nvPicPr>
                                        <pic:blipFill>
                                          <a:blip r:embed="rId17"/>
                                          <a:stretch>
                                            <a:fillRect/>
                                          </a:stretch>
                                        </pic:blipFill>
                                        <pic:spPr>
                                          <a:xfrm>
                                            <a:off x="0" y="0"/>
                                            <a:ext cx="5937250" cy="12700"/>
                                          </a:xfrm>
                                          <a:prstGeom prst="rect">
                                            <a:avLst/>
                                          </a:prstGeom>
                                          <a:noFill/>
                                          <a:ln>
                                            <a:noFill/>
                                          </a:ln>
                                        </pic:spPr>
                                      </pic:pic>
                                    </a:graphicData>
                                  </a:graphic>
                                </wp:inline>
                              </w:drawing>
                            </w:r>
                          </w:p>
                          <w:p>
                            <w:pPr>
                              <w:pStyle w:val="30"/>
                              <w:spacing w:before="0"/>
                              <w:jc w:val="both"/>
                              <w:rPr>
                                <w:rFonts w:hint="eastAsia" w:ascii="黑体" w:hAnsi="黑体" w:eastAsia="黑体"/>
                                <w:szCs w:val="28"/>
                              </w:rPr>
                            </w:pPr>
                            <w:r>
                              <w:rPr>
                                <w:rFonts w:ascii="黑体" w:hAnsi="黑体" w:eastAsia="黑体"/>
                                <w:szCs w:val="28"/>
                              </w:rPr>
                              <w:t xml:space="preserve">   </w:t>
                            </w:r>
                          </w:p>
                        </w:txbxContent>
                      </wps:txbx>
                      <wps:bodyPr wrap="square" lIns="0" tIns="0" rIns="0" bIns="0" upright="1"/>
                    </wps:wsp>
                  </a:graphicData>
                </a:graphic>
              </wp:anchor>
            </w:drawing>
          </mc:Choice>
          <mc:Fallback>
            <w:pict>
              <v:shape id="fmFrame3" o:spid="_x0000_s1026" o:spt="202" type="#_x0000_t202" style="position:absolute;left:0pt;margin-left:12pt;margin-top:123.85pt;height:53.3pt;width:456.9pt;mso-position-horizontal-relative:margin;mso-position-vertical-relative:margin;z-index:251669504;mso-width-relative:page;mso-height-relative:page;" fillcolor="#FFFFFF" filled="t" stroked="f" coordsize="21600,21600" o:gfxdata="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7XTONoAAAAKAQAADwAAAAAAAAABACAAAAAiAAAAZHJz&#10;L2Rvd25yZXYueG1sUEsBAhQAFAAAAAgAh07iQOuEop/JAQAApwMAAA4AAAAAAAAAAQAgAAAAKQEA&#10;AGRycy9lMm9Eb2MueG1sUEsFBgAAAAAGAAYAWQEAAGQFAAAAAA==&#10;">
                <v:fill on="t" focussize="0,0"/>
                <v:stroke on="f"/>
                <v:imagedata o:title=""/>
                <o:lock v:ext="edit" aspectratio="f"/>
                <v:textbox inset="0mm,0mm,0mm,0mm">
                  <w:txbxContent>
                    <w:p>
                      <w:pPr>
                        <w:pStyle w:val="30"/>
                        <w:wordWrap w:val="0"/>
                        <w:spacing w:before="0"/>
                        <w:rPr>
                          <w:rFonts w:ascii="黑体" w:hAnsi="宋体" w:eastAsia="黑体"/>
                          <w:szCs w:val="28"/>
                        </w:rPr>
                      </w:pPr>
                      <w:r>
                        <w:rPr>
                          <w:rFonts w:hint="eastAsia" w:ascii="黑体" w:hAnsi="宋体" w:eastAsia="黑体"/>
                          <w:szCs w:val="28"/>
                        </w:rPr>
                        <w:t>GB/T 15072.3—XXXX</w:t>
                      </w:r>
                    </w:p>
                    <w:p>
                      <w:pPr>
                        <w:pStyle w:val="3"/>
                        <w:spacing w:line="222" w:lineRule="auto"/>
                        <w:ind w:left="6783"/>
                        <w:jc w:val="right"/>
                        <w:rPr>
                          <w:rFonts w:ascii="黑体" w:hAnsi="黑体" w:eastAsia="黑体" w:cs="Times New Roman"/>
                          <w:lang w:eastAsia="zh-CN"/>
                        </w:rPr>
                      </w:pPr>
                      <w:r>
                        <w:rPr>
                          <w:rFonts w:ascii="黑体" w:hAnsi="黑体" w:eastAsia="黑体" w:cs="Times New Roman"/>
                          <w:lang w:eastAsia="zh-CN"/>
                        </w:rPr>
                        <w:t xml:space="preserve">代替GB/T </w:t>
                      </w:r>
                      <w:r>
                        <w:rPr>
                          <w:rFonts w:hint="eastAsia" w:ascii="黑体" w:hAnsi="黑体" w:eastAsia="黑体" w:cs="Times New Roman"/>
                          <w:lang w:eastAsia="zh-CN"/>
                        </w:rPr>
                        <w:t>15072.3</w:t>
                      </w:r>
                      <w:r>
                        <w:rPr>
                          <w:rFonts w:ascii="黑体" w:hAnsi="黑体" w:eastAsia="黑体" w:cs="Times New Roman"/>
                          <w:lang w:eastAsia="zh-CN"/>
                        </w:rPr>
                        <w:t>-2008</w:t>
                      </w:r>
                    </w:p>
                    <w:p>
                      <w:pPr>
                        <w:pStyle w:val="3"/>
                        <w:spacing w:line="265" w:lineRule="auto"/>
                      </w:pPr>
                      <w:r>
                        <w:drawing>
                          <wp:inline distT="0" distB="0" distL="114300" distR="114300">
                            <wp:extent cx="5937250" cy="12700"/>
                            <wp:effectExtent l="0" t="0" r="6350" b="0"/>
                            <wp:docPr id="13" name="IM 4"/>
                            <wp:cNvGraphicFramePr/>
                            <a:graphic xmlns:a="http://schemas.openxmlformats.org/drawingml/2006/main">
                              <a:graphicData uri="http://schemas.openxmlformats.org/drawingml/2006/picture">
                                <pic:pic xmlns:pic="http://schemas.openxmlformats.org/drawingml/2006/picture">
                                  <pic:nvPicPr>
                                    <pic:cNvPr id="13" name="IM 4"/>
                                    <pic:cNvPicPr/>
                                  </pic:nvPicPr>
                                  <pic:blipFill>
                                    <a:blip r:embed="rId17"/>
                                    <a:stretch>
                                      <a:fillRect/>
                                    </a:stretch>
                                  </pic:blipFill>
                                  <pic:spPr>
                                    <a:xfrm>
                                      <a:off x="0" y="0"/>
                                      <a:ext cx="5937250" cy="12700"/>
                                    </a:xfrm>
                                    <a:prstGeom prst="rect">
                                      <a:avLst/>
                                    </a:prstGeom>
                                    <a:noFill/>
                                    <a:ln>
                                      <a:noFill/>
                                    </a:ln>
                                  </pic:spPr>
                                </pic:pic>
                              </a:graphicData>
                            </a:graphic>
                          </wp:inline>
                        </w:drawing>
                      </w:r>
                    </w:p>
                    <w:p>
                      <w:pPr>
                        <w:pStyle w:val="30"/>
                        <w:spacing w:before="0"/>
                        <w:jc w:val="both"/>
                        <w:rPr>
                          <w:rFonts w:hint="eastAsia" w:ascii="黑体" w:hAnsi="黑体" w:eastAsia="黑体"/>
                          <w:szCs w:val="28"/>
                        </w:rPr>
                      </w:pPr>
                      <w:r>
                        <w:rPr>
                          <w:rFonts w:ascii="黑体" w:hAnsi="黑体" w:eastAsia="黑体"/>
                          <w:szCs w:val="28"/>
                        </w:rPr>
                        <w:t xml:space="preserve">   </w:t>
                      </w:r>
                    </w:p>
                  </w:txbxContent>
                </v:textbox>
                <w10:anchorlock/>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5334000</wp:posOffset>
                </wp:positionH>
                <wp:positionV relativeFrom="paragraph">
                  <wp:posOffset>9014460</wp:posOffset>
                </wp:positionV>
                <wp:extent cx="800100" cy="495300"/>
                <wp:effectExtent l="0" t="0" r="0" b="0"/>
                <wp:wrapNone/>
                <wp:docPr id="10" name="文本框 12"/>
                <wp:cNvGraphicFramePr/>
                <a:graphic xmlns:a="http://schemas.openxmlformats.org/drawingml/2006/main">
                  <a:graphicData uri="http://schemas.microsoft.com/office/word/2010/wordprocessingShape">
                    <wps:wsp>
                      <wps:cNvSpPr txBox="1"/>
                      <wps:spPr>
                        <a:xfrm>
                          <a:off x="0" y="0"/>
                          <a:ext cx="800100" cy="495300"/>
                        </a:xfrm>
                        <a:prstGeom prst="rect">
                          <a:avLst/>
                        </a:prstGeom>
                        <a:solidFill>
                          <a:srgbClr val="FFFFFF"/>
                        </a:solidFill>
                        <a:ln>
                          <a:noFill/>
                        </a:ln>
                      </wps:spPr>
                      <wps:txbx>
                        <w:txbxContent>
                          <w:p>
                            <w:pPr>
                              <w:pStyle w:val="51"/>
                              <w:jc w:val="both"/>
                            </w:pPr>
                            <w:r>
                              <w:rPr>
                                <w:rStyle w:val="18"/>
                                <w:rFonts w:hint="eastAsia"/>
                              </w:rPr>
                              <w:t xml:space="preserve"> 发布</w:t>
                            </w:r>
                          </w:p>
                        </w:txbxContent>
                      </wps:txbx>
                      <wps:bodyPr wrap="square" upright="1"/>
                    </wps:wsp>
                  </a:graphicData>
                </a:graphic>
              </wp:anchor>
            </w:drawing>
          </mc:Choice>
          <mc:Fallback>
            <w:pict>
              <v:shape id="文本框 12" o:spid="_x0000_s1026" o:spt="202" type="#_x0000_t202" style="position:absolute;left:0pt;margin-left:420pt;margin-top:709.8pt;height:39pt;width:63pt;z-index:251668480;mso-width-relative:page;mso-height-relative:page;" fillcolor="#FFFFFF" filled="t" stroked="f" coordsize="21600,21600" o:gfxdata="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3W7NgAAAANAQAADwAAAAAAAAABACAAAAAiAAAAZHJzL2Rv&#10;d25yZXYueG1sUEsBAhQAFAAAAAgAh07iQPrEhvbIAQAAhgMAAA4AAAAAAAAAAQAgAAAAJwEAAGRy&#10;cy9lMm9Eb2MueG1sUEsFBgAAAAAGAAYAWQEAAGEFAAAAAA==&#10;">
                <v:fill on="t" focussize="0,0"/>
                <v:stroke on="f"/>
                <v:imagedata o:title=""/>
                <o:lock v:ext="edit" aspectratio="f"/>
                <v:textbox>
                  <w:txbxContent>
                    <w:p>
                      <w:pPr>
                        <w:pStyle w:val="51"/>
                        <w:jc w:val="both"/>
                      </w:pPr>
                      <w:r>
                        <w:rPr>
                          <w:rStyle w:val="18"/>
                          <w:rFonts w:hint="eastAsia"/>
                        </w:rPr>
                        <w:t xml:space="preserve"> 发布</w:t>
                      </w:r>
                    </w:p>
                  </w:txbxContent>
                </v:textbox>
              </v:shape>
            </w:pict>
          </mc:Fallback>
        </mc:AlternateContent>
      </w:r>
      <w:r>
        <mc:AlternateContent>
          <mc:Choice Requires="wps">
            <w:drawing>
              <wp:anchor distT="0" distB="0" distL="114300" distR="114300" simplePos="0" relativeHeight="251667456" behindDoc="0" locked="1" layoutInCell="1" allowOverlap="1">
                <wp:simplePos x="0" y="0"/>
                <wp:positionH relativeFrom="margin">
                  <wp:posOffset>-133350</wp:posOffset>
                </wp:positionH>
                <wp:positionV relativeFrom="margin">
                  <wp:posOffset>9005570</wp:posOffset>
                </wp:positionV>
                <wp:extent cx="5467350" cy="747395"/>
                <wp:effectExtent l="0" t="0" r="6350" b="1905"/>
                <wp:wrapNone/>
                <wp:docPr id="9" name="fmFrame7"/>
                <wp:cNvGraphicFramePr/>
                <a:graphic xmlns:a="http://schemas.openxmlformats.org/drawingml/2006/main">
                  <a:graphicData uri="http://schemas.microsoft.com/office/word/2010/wordprocessingShape">
                    <wps:wsp>
                      <wps:cNvSpPr txBox="1"/>
                      <wps:spPr>
                        <a:xfrm>
                          <a:off x="0" y="0"/>
                          <a:ext cx="5467350" cy="747395"/>
                        </a:xfrm>
                        <a:prstGeom prst="rect">
                          <a:avLst/>
                        </a:prstGeom>
                        <a:solidFill>
                          <a:srgbClr val="FFFFFF"/>
                        </a:solidFill>
                        <a:ln>
                          <a:noFill/>
                        </a:ln>
                      </wps:spPr>
                      <wps:txbx>
                        <w:txbxContent>
                          <w:p>
                            <w:pPr>
                              <w:pStyle w:val="51"/>
                              <w:framePr w:w="0" w:hRule="auto" w:hSpace="0" w:vSpace="0" w:wrap="auto" w:vAnchor="margin" w:hAnchor="text" w:xAlign="left" w:yAlign="inline"/>
                              <w:spacing w:line="0" w:lineRule="atLeast"/>
                              <w:ind w:firstLine="210" w:firstLineChars="49"/>
                              <w:rPr>
                                <w:rFonts w:hint="eastAsia" w:ascii="仿宋_GB2312"/>
                                <w:spacing w:val="-20"/>
                                <w:w w:val="130"/>
                                <w:szCs w:val="36"/>
                              </w:rPr>
                            </w:pPr>
                            <w:r>
                              <w:rPr>
                                <w:rFonts w:hint="eastAsia" w:ascii="仿宋_GB2312"/>
                                <w:spacing w:val="-20"/>
                                <w:w w:val="130"/>
                                <w:szCs w:val="36"/>
                              </w:rPr>
                              <w:t>国 家 市 场 监 督 管 理 总 局</w:t>
                            </w:r>
                          </w:p>
                          <w:p>
                            <w:pPr>
                              <w:pStyle w:val="51"/>
                              <w:framePr w:w="0" w:hRule="auto" w:hSpace="0" w:vSpace="0" w:wrap="auto" w:vAnchor="margin" w:hAnchor="text" w:xAlign="left" w:yAlign="inline"/>
                              <w:ind w:firstLine="210" w:firstLineChars="49"/>
                              <w:rPr>
                                <w:rFonts w:hint="eastAsia" w:ascii="仿宋_GB2312"/>
                                <w:spacing w:val="-20"/>
                                <w:w w:val="140"/>
                                <w:szCs w:val="36"/>
                              </w:rPr>
                            </w:pPr>
                            <w:r>
                              <w:rPr>
                                <w:rFonts w:hint="eastAsia" w:ascii="仿宋_GB2312"/>
                                <w:spacing w:val="-20"/>
                                <w:w w:val="130"/>
                                <w:szCs w:val="36"/>
                              </w:rPr>
                              <w:t>国 家 标 准 化 管 理 委 员 会</w:t>
                            </w:r>
                          </w:p>
                        </w:txbxContent>
                      </wps:txbx>
                      <wps:bodyPr wrap="square" lIns="0" tIns="0" rIns="0" bIns="0" upright="1"/>
                    </wps:wsp>
                  </a:graphicData>
                </a:graphic>
              </wp:anchor>
            </w:drawing>
          </mc:Choice>
          <mc:Fallback>
            <w:pict>
              <v:shape id="fmFrame7" o:spid="_x0000_s1026" o:spt="202" type="#_x0000_t202" style="position:absolute;left:0pt;margin-left:-10.5pt;margin-top:709.1pt;height:58.85pt;width:430.5pt;mso-position-horizontal-relative:margin;mso-position-vertical-relative:margin;z-index:251667456;mso-width-relative:page;mso-height-relative:page;" fillcolor="#FFFFFF" filled="t" stroked="f" coordsize="21600,21600" o:gfxdata="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KZkEdsAAAANAQAADwAAAAAAAAABACAAAAAiAAAAZHJz&#10;L2Rvd25yZXYueG1sUEsBAhQAFAAAAAgAh07iQGAwD/DIAQAApgMAAA4AAAAAAAAAAQAgAAAAKgEA&#10;AGRycy9lMm9Eb2MueG1sUEsFBgAAAAAGAAYAWQEAAGQFAAAAAA==&#10;">
                <v:fill on="t" focussize="0,0"/>
                <v:stroke on="f"/>
                <v:imagedata o:title=""/>
                <o:lock v:ext="edit" aspectratio="f"/>
                <v:textbox inset="0mm,0mm,0mm,0mm">
                  <w:txbxContent>
                    <w:p>
                      <w:pPr>
                        <w:pStyle w:val="51"/>
                        <w:framePr w:w="0" w:hRule="auto" w:hSpace="0" w:vSpace="0" w:wrap="auto" w:vAnchor="margin" w:hAnchor="text" w:xAlign="left" w:yAlign="inline"/>
                        <w:spacing w:line="0" w:lineRule="atLeast"/>
                        <w:ind w:firstLine="210" w:firstLineChars="49"/>
                        <w:rPr>
                          <w:rFonts w:hint="eastAsia" w:ascii="仿宋_GB2312"/>
                          <w:spacing w:val="-20"/>
                          <w:w w:val="130"/>
                          <w:szCs w:val="36"/>
                        </w:rPr>
                      </w:pPr>
                      <w:r>
                        <w:rPr>
                          <w:rFonts w:hint="eastAsia" w:ascii="仿宋_GB2312"/>
                          <w:spacing w:val="-20"/>
                          <w:w w:val="130"/>
                          <w:szCs w:val="36"/>
                        </w:rPr>
                        <w:t>国 家 市 场 监 督 管 理 总 局</w:t>
                      </w:r>
                    </w:p>
                    <w:p>
                      <w:pPr>
                        <w:pStyle w:val="51"/>
                        <w:framePr w:w="0" w:hRule="auto" w:hSpace="0" w:vSpace="0" w:wrap="auto" w:vAnchor="margin" w:hAnchor="text" w:xAlign="left" w:yAlign="inline"/>
                        <w:ind w:firstLine="210" w:firstLineChars="49"/>
                        <w:rPr>
                          <w:rFonts w:hint="eastAsia" w:ascii="仿宋_GB2312"/>
                          <w:spacing w:val="-20"/>
                          <w:w w:val="140"/>
                          <w:szCs w:val="36"/>
                        </w:rPr>
                      </w:pPr>
                      <w:r>
                        <w:rPr>
                          <w:rFonts w:hint="eastAsia" w:ascii="仿宋_GB2312"/>
                          <w:spacing w:val="-20"/>
                          <w:w w:val="130"/>
                          <w:szCs w:val="36"/>
                        </w:rPr>
                        <w:t>国 家 标 准 化 管 理 委 员 会</w:t>
                      </w:r>
                    </w:p>
                  </w:txbxContent>
                </v:textbox>
                <w10:anchorlock/>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8890000</wp:posOffset>
                </wp:positionV>
                <wp:extent cx="6121400" cy="0"/>
                <wp:effectExtent l="0" t="6350" r="0" b="6350"/>
                <wp:wrapNone/>
                <wp:docPr id="8"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700pt;height:0pt;width:482pt;z-index:251666432;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LEvlY0gAAAAoB&#10;AAAPAAAAAAAAAAEAIAAAACIAAABkcnMvZG93bnJldi54bWxQSwECFAAUAAAACACHTuJAEH1K8ugB&#10;AADdAwAADgAAAAAAAAABACAAAAAhAQAAZHJzL2Uyb0RvYy54bWxQSwUGAAAAAAYABgBZAQAAewUA&#10;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21400" cy="0"/>
                <wp:effectExtent l="0" t="6350" r="0" b="6350"/>
                <wp:wrapNone/>
                <wp:docPr id="7" name="直线 9"/>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9" o:spid="_x0000_s1026" o:spt="20" style="position:absolute;left:0pt;margin-left:0pt;margin-top:179pt;height:0pt;width:482pt;z-index:251665408;mso-width-relative:page;mso-height-relative:page;" filled="f" stroked="t" coordsize="21600,21600" o:gfxdata="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xKK+1AAA&#10;AAgBAAAPAAAAAAAAAAEAIAAAACIAAABkcnMvZG93bnJldi54bWxQSwECFAAUAAAACACHTuJAjJ+2&#10;M+kBAADcAwAADgAAAAAAAAABACAAAAAjAQAAZHJzL2Uyb0RvYy54bWxQSwUGAAAAAAYABgBZAQAA&#10;fgU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4100830</wp:posOffset>
                </wp:positionH>
                <wp:positionV relativeFrom="margin">
                  <wp:posOffset>8563610</wp:posOffset>
                </wp:positionV>
                <wp:extent cx="2019300" cy="312420"/>
                <wp:effectExtent l="0" t="0" r="0" b="5080"/>
                <wp:wrapNone/>
                <wp:docPr id="6"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32"/>
                            </w:pPr>
                            <w:r>
                              <w:rPr>
                                <w:rFonts w:hint="eastAsia"/>
                              </w:rPr>
                              <w:t>20XX-XX-XX实施</w:t>
                            </w:r>
                          </w:p>
                        </w:txbxContent>
                      </wps:txbx>
                      <wps:bodyPr wrap="square"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C/arX2gAAAA0BAAAPAAAAAAAAAAEAIAAAACIAAABkcnMv&#10;ZG93bnJldi54bWxQSwECFAAUAAAACACHTuJACYQ8eMgBAACmAwAADgAAAAAAAAABACAAAAApAQAA&#10;ZHJzL2Uyb0RvYy54bWxQSwUGAAAAAAYABgBZAQAAYwUAAAAA&#10;">
                <v:fill on="t" focussize="0,0"/>
                <v:stroke on="f"/>
                <v:imagedata o:title=""/>
                <o:lock v:ext="edit" aspectratio="f"/>
                <v:textbox inset="0mm,0mm,0mm,0mm">
                  <w:txbxContent>
                    <w:p>
                      <w:pPr>
                        <w:pStyle w:val="32"/>
                      </w:pPr>
                      <w:r>
                        <w:rPr>
                          <w:rFonts w:hint="eastAsia"/>
                        </w:rPr>
                        <w:t>20XX-XX-XX实施</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8563610</wp:posOffset>
                </wp:positionV>
                <wp:extent cx="2019300" cy="312420"/>
                <wp:effectExtent l="0" t="0" r="0" b="508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33"/>
                            </w:pPr>
                            <w:r>
                              <w:rPr>
                                <w:rFonts w:hint="eastAsia"/>
                              </w:rPr>
                              <w:t>20XX-XX-XX发布</w:t>
                            </w:r>
                          </w:p>
                        </w:txbxContent>
                      </wps:txbx>
                      <wps:bodyPr wrap="square"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2yojYAAAACgEAAA8AAAAAAAAAAQAgAAAAIgAAAGRycy9k&#10;b3ducmV2LnhtbFBLAQIUABQAAAAIAIdO4kBOr5ImyQEAAKYDAAAOAAAAAAAAAAEAIAAAACcBAABk&#10;cnMvZTJvRG9jLnhtbFBLBQYAAAAABgAGAFkBAABiBQAAAAA=&#10;">
                <v:fill on="t" focussize="0,0"/>
                <v:stroke on="f"/>
                <v:imagedata o:title=""/>
                <o:lock v:ext="edit" aspectratio="f"/>
                <v:textbox inset="0mm,0mm,0mm,0mm">
                  <w:txbxContent>
                    <w:p>
                      <w:pPr>
                        <w:pStyle w:val="33"/>
                      </w:pPr>
                      <w:r>
                        <w:rPr>
                          <w:rFonts w:hint="eastAsia"/>
                        </w:rPr>
                        <w:t>20XX-XX-XX发布</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2773680</wp:posOffset>
                </wp:positionV>
                <wp:extent cx="5969000" cy="5542915"/>
                <wp:effectExtent l="0" t="0" r="0" b="6985"/>
                <wp:wrapNone/>
                <wp:docPr id="4" name="fmFrame4"/>
                <wp:cNvGraphicFramePr/>
                <a:graphic xmlns:a="http://schemas.openxmlformats.org/drawingml/2006/main">
                  <a:graphicData uri="http://schemas.microsoft.com/office/word/2010/wordprocessingShape">
                    <wps:wsp>
                      <wps:cNvSpPr txBox="1"/>
                      <wps:spPr>
                        <a:xfrm>
                          <a:off x="0" y="0"/>
                          <a:ext cx="5969000" cy="5542915"/>
                        </a:xfrm>
                        <a:prstGeom prst="rect">
                          <a:avLst/>
                        </a:prstGeom>
                        <a:solidFill>
                          <a:srgbClr val="FFFFFF"/>
                        </a:solidFill>
                        <a:ln>
                          <a:noFill/>
                        </a:ln>
                      </wps:spPr>
                      <wps:txbx>
                        <w:txbxContent>
                          <w:p>
                            <w:pPr>
                              <w:spacing w:line="720" w:lineRule="auto"/>
                              <w:jc w:val="center"/>
                              <w:rPr>
                                <w:rFonts w:ascii="黑体" w:hAnsi="宋体" w:eastAsia="黑体"/>
                                <w:sz w:val="52"/>
                                <w:szCs w:val="52"/>
                              </w:rPr>
                            </w:pPr>
                            <w:r>
                              <w:rPr>
                                <w:rFonts w:hint="eastAsia" w:ascii="黑体" w:hAnsi="宋体" w:eastAsia="黑体"/>
                                <w:sz w:val="52"/>
                                <w:szCs w:val="52"/>
                              </w:rPr>
                              <w:t>贵金属合金化学分析方法</w:t>
                            </w:r>
                          </w:p>
                          <w:p>
                            <w:pPr>
                              <w:spacing w:line="720" w:lineRule="auto"/>
                              <w:jc w:val="center"/>
                              <w:rPr>
                                <w:rFonts w:hint="eastAsia" w:ascii="黑体" w:eastAsia="黑体"/>
                                <w:sz w:val="52"/>
                                <w:szCs w:val="52"/>
                              </w:rPr>
                            </w:pPr>
                            <w:r>
                              <w:rPr>
                                <w:rFonts w:hint="eastAsia" w:ascii="黑体" w:eastAsia="黑体"/>
                                <w:sz w:val="52"/>
                                <w:szCs w:val="52"/>
                              </w:rPr>
                              <w:t>第3部分：铂含量的测定</w:t>
                            </w:r>
                          </w:p>
                          <w:p>
                            <w:pPr>
                              <w:spacing w:line="720" w:lineRule="auto"/>
                              <w:jc w:val="center"/>
                              <w:rPr>
                                <w:rFonts w:hint="eastAsia" w:ascii="黑体" w:eastAsia="黑体"/>
                                <w:sz w:val="52"/>
                                <w:szCs w:val="52"/>
                              </w:rPr>
                            </w:pPr>
                          </w:p>
                          <w:p>
                            <w:pPr>
                              <w:spacing w:line="720" w:lineRule="auto"/>
                              <w:jc w:val="center"/>
                              <w:rPr>
                                <w:rFonts w:hint="eastAsia" w:ascii="黑体" w:eastAsia="黑体"/>
                                <w:sz w:val="52"/>
                                <w:szCs w:val="52"/>
                              </w:rPr>
                            </w:pPr>
                          </w:p>
                          <w:p>
                            <w:pPr>
                              <w:jc w:val="center"/>
                              <w:rPr>
                                <w:rFonts w:ascii="黑体" w:hAnsi="黑体" w:eastAsia="黑体"/>
                                <w:bCs/>
                                <w:kern w:val="0"/>
                                <w:sz w:val="28"/>
                                <w:szCs w:val="28"/>
                              </w:rPr>
                            </w:pPr>
                            <w:r>
                              <w:rPr>
                                <w:rFonts w:ascii="黑体" w:hAnsi="黑体" w:eastAsia="黑体"/>
                                <w:bCs/>
                                <w:kern w:val="0"/>
                                <w:sz w:val="28"/>
                                <w:szCs w:val="28"/>
                              </w:rPr>
                              <w:t>Methods for chemical analysis of precious metal alloys</w:t>
                            </w:r>
                          </w:p>
                          <w:p>
                            <w:pPr>
                              <w:jc w:val="center"/>
                              <w:rPr>
                                <w:rFonts w:hint="eastAsia" w:ascii="黑体" w:hAnsi="黑体" w:eastAsia="黑体"/>
                                <w:bCs/>
                                <w:kern w:val="0"/>
                                <w:sz w:val="28"/>
                                <w:szCs w:val="28"/>
                              </w:rPr>
                            </w:pPr>
                            <w:r>
                              <w:rPr>
                                <w:rFonts w:hint="eastAsia" w:ascii="黑体" w:hAnsi="黑体" w:eastAsia="黑体"/>
                                <w:bCs/>
                                <w:kern w:val="0"/>
                                <w:sz w:val="28"/>
                                <w:szCs w:val="28"/>
                              </w:rPr>
                              <w:t>Part 3：Determination of platinum contents</w:t>
                            </w:r>
                          </w:p>
                          <w:p>
                            <w:pPr>
                              <w:jc w:val="center"/>
                              <w:rPr>
                                <w:rFonts w:ascii="宋体"/>
                                <w:sz w:val="28"/>
                                <w:szCs w:val="28"/>
                              </w:rPr>
                            </w:pPr>
                          </w:p>
                          <w:p>
                            <w:pPr>
                              <w:jc w:val="center"/>
                              <w:rPr>
                                <w:rFonts w:ascii="宋体"/>
                                <w:sz w:val="28"/>
                                <w:szCs w:val="28"/>
                              </w:rPr>
                            </w:pPr>
                            <w:r>
                              <w:rPr>
                                <w:rFonts w:ascii="宋体"/>
                                <w:sz w:val="28"/>
                                <w:szCs w:val="28"/>
                              </w:rPr>
                              <w:t>(</w:t>
                            </w:r>
                            <w:r>
                              <w:rPr>
                                <w:rFonts w:hint="eastAsia" w:ascii="宋体"/>
                                <w:sz w:val="28"/>
                                <w:szCs w:val="28"/>
                              </w:rPr>
                              <w:t>讨论稿</w:t>
                            </w:r>
                            <w:r>
                              <w:rPr>
                                <w:rFonts w:ascii="宋体"/>
                                <w:sz w:val="28"/>
                                <w:szCs w:val="28"/>
                              </w:rPr>
                              <w:t>)</w:t>
                            </w:r>
                            <w:r>
                              <w:rPr>
                                <w:rFonts w:ascii="Arial" w:hAnsi="Arial" w:cs="Arial"/>
                                <w:color w:val="000000"/>
                                <w:sz w:val="18"/>
                                <w:szCs w:val="18"/>
                                <w:shd w:val="clear" w:color="auto" w:fill="F8F8F8"/>
                              </w:rPr>
                              <w:t xml:space="preserve"> </w:t>
                            </w:r>
                          </w:p>
                        </w:txbxContent>
                      </wps:txbx>
                      <wps:bodyPr wrap="square" lIns="0" tIns="0" rIns="0" bIns="0" upright="1"/>
                    </wps:wsp>
                  </a:graphicData>
                </a:graphic>
              </wp:anchor>
            </w:drawing>
          </mc:Choice>
          <mc:Fallback>
            <w:pict>
              <v:shape id="fmFrame4" o:spid="_x0000_s1026" o:spt="202" type="#_x0000_t202" style="position:absolute;left:0pt;margin-left:0pt;margin-top:218.4pt;height:436.45pt;width:470pt;mso-position-horizontal-relative:margin;mso-position-vertical-relative:margin;z-index:251662336;mso-width-relative:page;mso-height-relative:page;" fillcolor="#FFFFFF" filled="t" stroked="f" coordsize="21600,21600" o:gfxdata="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wVgXJ2AAAAAkBAAAPAAAAAAAAAAEAIAAAACIAAABkcnMvZG93&#10;bnJldi54bWxQSwECFAAUAAAACACHTuJAslkKEMcBAACnAwAADgAAAAAAAAABACAAAAAnAQAAZHJz&#10;L2Uyb0RvYy54bWxQSwUGAAAAAAYABgBZAQAAYAUAAAAA&#10;">
                <v:fill on="t" focussize="0,0"/>
                <v:stroke on="f"/>
                <v:imagedata o:title=""/>
                <o:lock v:ext="edit" aspectratio="f"/>
                <v:textbox inset="0mm,0mm,0mm,0mm">
                  <w:txbxContent>
                    <w:p>
                      <w:pPr>
                        <w:spacing w:line="720" w:lineRule="auto"/>
                        <w:jc w:val="center"/>
                        <w:rPr>
                          <w:rFonts w:ascii="黑体" w:hAnsi="宋体" w:eastAsia="黑体"/>
                          <w:sz w:val="52"/>
                          <w:szCs w:val="52"/>
                        </w:rPr>
                      </w:pPr>
                      <w:r>
                        <w:rPr>
                          <w:rFonts w:hint="eastAsia" w:ascii="黑体" w:hAnsi="宋体" w:eastAsia="黑体"/>
                          <w:sz w:val="52"/>
                          <w:szCs w:val="52"/>
                        </w:rPr>
                        <w:t>贵金属合金化学分析方法</w:t>
                      </w:r>
                    </w:p>
                    <w:p>
                      <w:pPr>
                        <w:spacing w:line="720" w:lineRule="auto"/>
                        <w:jc w:val="center"/>
                        <w:rPr>
                          <w:rFonts w:hint="eastAsia" w:ascii="黑体" w:eastAsia="黑体"/>
                          <w:sz w:val="52"/>
                          <w:szCs w:val="52"/>
                        </w:rPr>
                      </w:pPr>
                      <w:r>
                        <w:rPr>
                          <w:rFonts w:hint="eastAsia" w:ascii="黑体" w:eastAsia="黑体"/>
                          <w:sz w:val="52"/>
                          <w:szCs w:val="52"/>
                        </w:rPr>
                        <w:t>第3部分：铂含量的测定</w:t>
                      </w:r>
                    </w:p>
                    <w:p>
                      <w:pPr>
                        <w:spacing w:line="720" w:lineRule="auto"/>
                        <w:jc w:val="center"/>
                        <w:rPr>
                          <w:rFonts w:hint="eastAsia" w:ascii="黑体" w:eastAsia="黑体"/>
                          <w:sz w:val="52"/>
                          <w:szCs w:val="52"/>
                        </w:rPr>
                      </w:pPr>
                    </w:p>
                    <w:p>
                      <w:pPr>
                        <w:spacing w:line="720" w:lineRule="auto"/>
                        <w:jc w:val="center"/>
                        <w:rPr>
                          <w:rFonts w:hint="eastAsia" w:ascii="黑体" w:eastAsia="黑体"/>
                          <w:sz w:val="52"/>
                          <w:szCs w:val="52"/>
                        </w:rPr>
                      </w:pPr>
                    </w:p>
                    <w:p>
                      <w:pPr>
                        <w:jc w:val="center"/>
                        <w:rPr>
                          <w:rFonts w:ascii="黑体" w:hAnsi="黑体" w:eastAsia="黑体"/>
                          <w:bCs/>
                          <w:kern w:val="0"/>
                          <w:sz w:val="28"/>
                          <w:szCs w:val="28"/>
                        </w:rPr>
                      </w:pPr>
                      <w:r>
                        <w:rPr>
                          <w:rFonts w:ascii="黑体" w:hAnsi="黑体" w:eastAsia="黑体"/>
                          <w:bCs/>
                          <w:kern w:val="0"/>
                          <w:sz w:val="28"/>
                          <w:szCs w:val="28"/>
                        </w:rPr>
                        <w:t>Methods for chemical analysis of precious metal alloys</w:t>
                      </w:r>
                    </w:p>
                    <w:p>
                      <w:pPr>
                        <w:jc w:val="center"/>
                        <w:rPr>
                          <w:rFonts w:hint="eastAsia" w:ascii="黑体" w:hAnsi="黑体" w:eastAsia="黑体"/>
                          <w:bCs/>
                          <w:kern w:val="0"/>
                          <w:sz w:val="28"/>
                          <w:szCs w:val="28"/>
                        </w:rPr>
                      </w:pPr>
                      <w:r>
                        <w:rPr>
                          <w:rFonts w:hint="eastAsia" w:ascii="黑体" w:hAnsi="黑体" w:eastAsia="黑体"/>
                          <w:bCs/>
                          <w:kern w:val="0"/>
                          <w:sz w:val="28"/>
                          <w:szCs w:val="28"/>
                        </w:rPr>
                        <w:t>Part 3：Determination of platinum contents</w:t>
                      </w:r>
                    </w:p>
                    <w:p>
                      <w:pPr>
                        <w:jc w:val="center"/>
                        <w:rPr>
                          <w:rFonts w:ascii="宋体"/>
                          <w:sz w:val="28"/>
                          <w:szCs w:val="28"/>
                        </w:rPr>
                      </w:pPr>
                    </w:p>
                    <w:p>
                      <w:pPr>
                        <w:jc w:val="center"/>
                        <w:rPr>
                          <w:rFonts w:ascii="宋体"/>
                          <w:sz w:val="28"/>
                          <w:szCs w:val="28"/>
                        </w:rPr>
                      </w:pPr>
                      <w:r>
                        <w:rPr>
                          <w:rFonts w:ascii="宋体"/>
                          <w:sz w:val="28"/>
                          <w:szCs w:val="28"/>
                        </w:rPr>
                        <w:t>(</w:t>
                      </w:r>
                      <w:r>
                        <w:rPr>
                          <w:rFonts w:hint="eastAsia" w:ascii="宋体"/>
                          <w:sz w:val="28"/>
                          <w:szCs w:val="28"/>
                        </w:rPr>
                        <w:t>讨论稿</w:t>
                      </w:r>
                      <w:r>
                        <w:rPr>
                          <w:rFonts w:ascii="宋体"/>
                          <w:sz w:val="28"/>
                          <w:szCs w:val="28"/>
                        </w:rPr>
                        <w:t>)</w:t>
                      </w:r>
                      <w:r>
                        <w:rPr>
                          <w:rFonts w:ascii="Arial" w:hAnsi="Arial" w:cs="Arial"/>
                          <w:color w:val="000000"/>
                          <w:sz w:val="18"/>
                          <w:szCs w:val="18"/>
                          <w:shd w:val="clear" w:color="auto" w:fill="F8F8F8"/>
                        </w:rPr>
                        <w:t xml:space="preserve"> </w:t>
                      </w:r>
                    </w:p>
                  </w:txbxContent>
                </v:textbox>
                <w10:anchorlock/>
              </v:shape>
            </w:pict>
          </mc:Fallback>
        </mc:AlternateContent>
      </w:r>
      <w:r>
        <w:drawing>
          <wp:anchor distT="0" distB="0" distL="114300" distR="114300" simplePos="0" relativeHeight="251661312" behindDoc="0" locked="1" layoutInCell="1" allowOverlap="1">
            <wp:simplePos x="0" y="0"/>
            <wp:positionH relativeFrom="margin">
              <wp:posOffset>4284345</wp:posOffset>
            </wp:positionH>
            <wp:positionV relativeFrom="margin">
              <wp:posOffset>107315</wp:posOffset>
            </wp:positionV>
            <wp:extent cx="1403350" cy="720090"/>
            <wp:effectExtent l="0" t="0" r="6350" b="3810"/>
            <wp:wrapNone/>
            <wp:docPr id="3" name="HBPicture" descr="GB"/>
            <wp:cNvGraphicFramePr/>
            <a:graphic xmlns:a="http://schemas.openxmlformats.org/drawingml/2006/main">
              <a:graphicData uri="http://schemas.openxmlformats.org/drawingml/2006/picture">
                <pic:pic xmlns:pic="http://schemas.openxmlformats.org/drawingml/2006/picture">
                  <pic:nvPicPr>
                    <pic:cNvPr id="3" name="HBPicture" descr="GB"/>
                    <pic:cNvPicPr/>
                  </pic:nvPicPr>
                  <pic:blipFill>
                    <a:blip r:embed="rId18"/>
                    <a:stretch>
                      <a:fillRect/>
                    </a:stretch>
                  </pic:blipFill>
                  <pic:spPr>
                    <a:xfrm>
                      <a:off x="0" y="0"/>
                      <a:ext cx="1403350" cy="720090"/>
                    </a:xfrm>
                    <a:prstGeom prst="rect">
                      <a:avLst/>
                    </a:prstGeom>
                    <a:noFill/>
                    <a:ln>
                      <a:noFill/>
                    </a:ln>
                  </pic:spPr>
                </pic:pic>
              </a:graphicData>
            </a:graphic>
          </wp:anchor>
        </w:drawing>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1270" b="2540"/>
                <wp:wrapNone/>
                <wp:docPr id="2"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26"/>
                            </w:pPr>
                            <w:r>
                              <w:rPr>
                                <w:rFonts w:hint="eastAsia"/>
                              </w:rPr>
                              <w:t>中华人民共和国国家标准</w:t>
                            </w:r>
                          </w:p>
                        </w:txbxContent>
                      </wps:txbx>
                      <wps:bodyPr wrap="square" lIns="0" tIns="0" rIns="0" bIns="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GDkcF1wAAAAgBAAAPAAAAAAAAAAEAIAAAACIAAABkcnMvZG93&#10;bnJldi54bWxQSwECFAAUAAAACACHTuJA7DsoP8gBAACmAwAADgAAAAAAAAABACAAAAAmAQAAZHJz&#10;L2Uyb0RvYy54bWxQSwUGAAAAAAYABgBZAQAAYAUAAAAA&#10;">
                <v:fill on="t" focussize="0,0"/>
                <v:stroke on="f"/>
                <v:imagedata o:title=""/>
                <o:lock v:ext="edit" aspectratio="f"/>
                <v:textbox inset="0mm,0mm,0mm,0mm">
                  <w:txbxContent>
                    <w:p>
                      <w:pPr>
                        <w:pStyle w:val="26"/>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254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3"/>
                              <w:spacing w:before="37" w:line="338" w:lineRule="auto"/>
                              <w:ind w:left="69" w:right="641"/>
                              <w:rPr>
                                <w:spacing w:val="-2"/>
                                <w:sz w:val="19"/>
                                <w:szCs w:val="19"/>
                              </w:rPr>
                            </w:pPr>
                            <w:r>
                              <w:t>I</w:t>
                            </w:r>
                            <w:r>
                              <w:rPr>
                                <w:rFonts w:hint="eastAsia" w:eastAsia="宋体"/>
                                <w:lang w:eastAsia="zh-CN"/>
                              </w:rPr>
                              <w:t>CS</w:t>
                            </w:r>
                            <w:r>
                              <w:rPr>
                                <w:b/>
                                <w:bCs/>
                                <w:spacing w:val="17"/>
                                <w:w w:val="101"/>
                                <w:sz w:val="19"/>
                                <w:szCs w:val="19"/>
                              </w:rPr>
                              <w:t xml:space="preserve"> </w:t>
                            </w:r>
                            <w:r>
                              <w:rPr>
                                <w:spacing w:val="-2"/>
                                <w:sz w:val="19"/>
                                <w:szCs w:val="19"/>
                              </w:rPr>
                              <w:t>77.120.99</w:t>
                            </w:r>
                          </w:p>
                          <w:p>
                            <w:pPr>
                              <w:pStyle w:val="3"/>
                              <w:spacing w:before="37" w:line="338" w:lineRule="auto"/>
                              <w:ind w:left="69" w:right="641"/>
                              <w:rPr>
                                <w:rFonts w:eastAsia="宋体"/>
                                <w:spacing w:val="-2"/>
                                <w:sz w:val="19"/>
                                <w:szCs w:val="19"/>
                                <w:lang w:eastAsia="zh-CN"/>
                              </w:rPr>
                            </w:pPr>
                            <w:r>
                              <w:rPr>
                                <w:rFonts w:hint="eastAsia" w:eastAsia="宋体"/>
                                <w:spacing w:val="-2"/>
                                <w:sz w:val="19"/>
                                <w:szCs w:val="19"/>
                                <w:lang w:eastAsia="zh-CN"/>
                              </w:rPr>
                              <w:t>CCS H 1</w:t>
                            </w:r>
                            <w:r>
                              <w:rPr>
                                <w:rFonts w:eastAsia="宋体"/>
                                <w:spacing w:val="-2"/>
                                <w:sz w:val="19"/>
                                <w:szCs w:val="19"/>
                                <w:lang w:eastAsia="zh-CN"/>
                              </w:rPr>
                              <w:t>5</w:t>
                            </w:r>
                          </w:p>
                          <w:p>
                            <w:pPr>
                              <w:pStyle w:val="3"/>
                              <w:spacing w:before="37" w:line="338" w:lineRule="auto"/>
                              <w:ind w:left="69" w:right="641"/>
                              <w:rPr>
                                <w:b/>
                                <w:bCs/>
                                <w:spacing w:val="-3"/>
                                <w:sz w:val="15"/>
                                <w:szCs w:val="15"/>
                              </w:rPr>
                            </w:pPr>
                            <w:r>
                              <w:rPr>
                                <w:b/>
                                <w:bCs/>
                                <w:sz w:val="19"/>
                                <w:szCs w:val="19"/>
                              </w:rPr>
                              <w:t xml:space="preserve"> </w:t>
                            </w:r>
                            <w:r>
                              <w:rPr>
                                <w:b/>
                                <w:bCs/>
                                <w:spacing w:val="-3"/>
                                <w:sz w:val="15"/>
                                <w:szCs w:val="15"/>
                              </w:rPr>
                              <w:t xml:space="preserve">CCS </w:t>
                            </w:r>
                          </w:p>
                          <w:p>
                            <w:pPr>
                              <w:pStyle w:val="3"/>
                              <w:spacing w:before="37" w:line="338" w:lineRule="auto"/>
                              <w:ind w:left="69" w:right="641"/>
                              <w:rPr>
                                <w:sz w:val="15"/>
                                <w:szCs w:val="15"/>
                              </w:rPr>
                            </w:pPr>
                            <w:r>
                              <w:rPr>
                                <w:b/>
                                <w:bCs/>
                                <w:spacing w:val="-3"/>
                                <w:sz w:val="15"/>
                                <w:szCs w:val="15"/>
                              </w:rPr>
                              <w:t xml:space="preserve">  H   14</w:t>
                            </w:r>
                          </w:p>
                          <w:p>
                            <w:pPr>
                              <w:pStyle w:val="3"/>
                              <w:spacing w:line="14" w:lineRule="auto"/>
                              <w:rPr>
                                <w:sz w:val="2"/>
                              </w:rPr>
                            </w:pPr>
                            <w:r>
                              <w:rPr>
                                <w:sz w:val="2"/>
                                <w:szCs w:val="2"/>
                              </w:rPr>
                              <w:br w:type="column"/>
                            </w:r>
                          </w:p>
                          <w:p>
                            <w:pPr>
                              <w:pStyle w:val="3"/>
                              <w:spacing w:before="86" w:line="198" w:lineRule="auto"/>
                              <w:rPr>
                                <w:sz w:val="15"/>
                                <w:szCs w:val="15"/>
                              </w:rPr>
                            </w:pPr>
                            <w:r>
                              <w:rPr>
                                <w:spacing w:val="-2"/>
                                <w:sz w:val="15"/>
                                <w:szCs w:val="15"/>
                              </w:rPr>
                              <w:t>ICS</w:t>
                            </w:r>
                            <w:r>
                              <w:rPr>
                                <w:sz w:val="15"/>
                                <w:szCs w:val="15"/>
                              </w:rPr>
                              <w:t xml:space="preserve">          </w:t>
                            </w:r>
                            <w:r>
                              <w:rPr>
                                <w:spacing w:val="-2"/>
                                <w:sz w:val="15"/>
                                <w:szCs w:val="15"/>
                              </w:rPr>
                              <w:t>77.120.99</w:t>
                            </w:r>
                          </w:p>
                          <w:p>
                            <w:pPr>
                              <w:pStyle w:val="3"/>
                              <w:spacing w:before="177" w:line="198" w:lineRule="auto"/>
                              <w:rPr>
                                <w:sz w:val="15"/>
                                <w:szCs w:val="15"/>
                              </w:rPr>
                            </w:pPr>
                            <w:r>
                              <w:rPr>
                                <w:b/>
                                <w:bCs/>
                                <w:spacing w:val="-5"/>
                                <w:sz w:val="15"/>
                                <w:szCs w:val="15"/>
                              </w:rPr>
                              <w:t>CCS</w:t>
                            </w:r>
                            <w:r>
                              <w:rPr>
                                <w:b/>
                                <w:bCs/>
                                <w:spacing w:val="5"/>
                                <w:sz w:val="15"/>
                                <w:szCs w:val="15"/>
                              </w:rPr>
                              <w:t xml:space="preserve">   </w:t>
                            </w:r>
                            <w:r>
                              <w:rPr>
                                <w:b/>
                                <w:bCs/>
                                <w:spacing w:val="-5"/>
                                <w:sz w:val="15"/>
                                <w:szCs w:val="15"/>
                              </w:rPr>
                              <w:t>H</w:t>
                            </w:r>
                            <w:r>
                              <w:rPr>
                                <w:b/>
                                <w:bCs/>
                                <w:spacing w:val="4"/>
                                <w:sz w:val="15"/>
                                <w:szCs w:val="15"/>
                              </w:rPr>
                              <w:t xml:space="preserve">   </w:t>
                            </w:r>
                            <w:r>
                              <w:rPr>
                                <w:b/>
                                <w:bCs/>
                                <w:spacing w:val="-5"/>
                                <w:sz w:val="15"/>
                                <w:szCs w:val="15"/>
                              </w:rPr>
                              <w:t>15</w:t>
                            </w:r>
                          </w:p>
                          <w:p>
                            <w:pPr>
                              <w:spacing w:before="307" w:line="222" w:lineRule="auto"/>
                              <w:ind w:left="3"/>
                              <w:rPr>
                                <w:rFonts w:ascii="黑体" w:hAnsi="黑体" w:eastAsia="黑体" w:cs="黑体"/>
                                <w:sz w:val="28"/>
                                <w:szCs w:val="28"/>
                              </w:rPr>
                            </w:pPr>
                            <w:r>
                              <w:rPr>
                                <w:rFonts w:ascii="黑体" w:hAnsi="黑体" w:eastAsia="黑体" w:cs="黑体"/>
                                <w:b/>
                                <w:bCs/>
                                <w:color w:val="A50010"/>
                                <w:spacing w:val="-21"/>
                                <w:w w:val="95"/>
                                <w:sz w:val="28"/>
                                <w:szCs w:val="28"/>
                              </w:rPr>
                              <w:t>贵金属合金</w:t>
                            </w:r>
                          </w:p>
                          <w:p>
                            <w:pPr>
                              <w:pStyle w:val="25"/>
                              <w:rPr>
                                <w:rFonts w:hint="eastAsia"/>
                              </w:rPr>
                            </w:pPr>
                          </w:p>
                          <w:p>
                            <w:pPr>
                              <w:pStyle w:val="25"/>
                            </w:pPr>
                          </w:p>
                        </w:txbxContent>
                      </wps:txbx>
                      <wps:bodyPr wrap="square"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sy+DTAAAABQEAAA8AAAAAAAAAAQAgAAAAIgAAAGRycy9kb3ducmV2&#10;LnhtbFBLAQIUABQAAAAIAIdO4kDZwOAJyAEAAKYDAAAOAAAAAAAAAAEAIAAAACIBAABkcnMvZTJv&#10;RG9jLnhtbFBLBQYAAAAABgAGAFkBAABcBQAAAAA=&#10;">
                <v:fill on="t" focussize="0,0"/>
                <v:stroke on="f"/>
                <v:imagedata o:title=""/>
                <o:lock v:ext="edit" aspectratio="f"/>
                <v:textbox inset="0mm,0mm,0mm,0mm">
                  <w:txbxContent>
                    <w:p>
                      <w:pPr>
                        <w:pStyle w:val="3"/>
                        <w:spacing w:before="37" w:line="338" w:lineRule="auto"/>
                        <w:ind w:left="69" w:right="641"/>
                        <w:rPr>
                          <w:spacing w:val="-2"/>
                          <w:sz w:val="19"/>
                          <w:szCs w:val="19"/>
                        </w:rPr>
                      </w:pPr>
                      <w:r>
                        <w:t>I</w:t>
                      </w:r>
                      <w:r>
                        <w:rPr>
                          <w:rFonts w:hint="eastAsia" w:eastAsia="宋体"/>
                          <w:lang w:eastAsia="zh-CN"/>
                        </w:rPr>
                        <w:t>CS</w:t>
                      </w:r>
                      <w:r>
                        <w:rPr>
                          <w:b/>
                          <w:bCs/>
                          <w:spacing w:val="17"/>
                          <w:w w:val="101"/>
                          <w:sz w:val="19"/>
                          <w:szCs w:val="19"/>
                        </w:rPr>
                        <w:t xml:space="preserve"> </w:t>
                      </w:r>
                      <w:r>
                        <w:rPr>
                          <w:spacing w:val="-2"/>
                          <w:sz w:val="19"/>
                          <w:szCs w:val="19"/>
                        </w:rPr>
                        <w:t>77.120.99</w:t>
                      </w:r>
                    </w:p>
                    <w:p>
                      <w:pPr>
                        <w:pStyle w:val="3"/>
                        <w:spacing w:before="37" w:line="338" w:lineRule="auto"/>
                        <w:ind w:left="69" w:right="641"/>
                        <w:rPr>
                          <w:rFonts w:eastAsia="宋体"/>
                          <w:spacing w:val="-2"/>
                          <w:sz w:val="19"/>
                          <w:szCs w:val="19"/>
                          <w:lang w:eastAsia="zh-CN"/>
                        </w:rPr>
                      </w:pPr>
                      <w:r>
                        <w:rPr>
                          <w:rFonts w:hint="eastAsia" w:eastAsia="宋体"/>
                          <w:spacing w:val="-2"/>
                          <w:sz w:val="19"/>
                          <w:szCs w:val="19"/>
                          <w:lang w:eastAsia="zh-CN"/>
                        </w:rPr>
                        <w:t>CCS H 1</w:t>
                      </w:r>
                      <w:r>
                        <w:rPr>
                          <w:rFonts w:eastAsia="宋体"/>
                          <w:spacing w:val="-2"/>
                          <w:sz w:val="19"/>
                          <w:szCs w:val="19"/>
                          <w:lang w:eastAsia="zh-CN"/>
                        </w:rPr>
                        <w:t>5</w:t>
                      </w:r>
                    </w:p>
                    <w:p>
                      <w:pPr>
                        <w:pStyle w:val="3"/>
                        <w:spacing w:before="37" w:line="338" w:lineRule="auto"/>
                        <w:ind w:left="69" w:right="641"/>
                        <w:rPr>
                          <w:b/>
                          <w:bCs/>
                          <w:spacing w:val="-3"/>
                          <w:sz w:val="15"/>
                          <w:szCs w:val="15"/>
                        </w:rPr>
                      </w:pPr>
                      <w:r>
                        <w:rPr>
                          <w:b/>
                          <w:bCs/>
                          <w:sz w:val="19"/>
                          <w:szCs w:val="19"/>
                        </w:rPr>
                        <w:t xml:space="preserve"> </w:t>
                      </w:r>
                      <w:r>
                        <w:rPr>
                          <w:b/>
                          <w:bCs/>
                          <w:spacing w:val="-3"/>
                          <w:sz w:val="15"/>
                          <w:szCs w:val="15"/>
                        </w:rPr>
                        <w:t xml:space="preserve">CCS </w:t>
                      </w:r>
                    </w:p>
                    <w:p>
                      <w:pPr>
                        <w:pStyle w:val="3"/>
                        <w:spacing w:before="37" w:line="338" w:lineRule="auto"/>
                        <w:ind w:left="69" w:right="641"/>
                        <w:rPr>
                          <w:sz w:val="15"/>
                          <w:szCs w:val="15"/>
                        </w:rPr>
                      </w:pPr>
                      <w:r>
                        <w:rPr>
                          <w:b/>
                          <w:bCs/>
                          <w:spacing w:val="-3"/>
                          <w:sz w:val="15"/>
                          <w:szCs w:val="15"/>
                        </w:rPr>
                        <w:t xml:space="preserve">  H   14</w:t>
                      </w:r>
                    </w:p>
                    <w:p>
                      <w:pPr>
                        <w:pStyle w:val="3"/>
                        <w:spacing w:line="14" w:lineRule="auto"/>
                        <w:rPr>
                          <w:sz w:val="2"/>
                        </w:rPr>
                      </w:pPr>
                      <w:r>
                        <w:rPr>
                          <w:sz w:val="2"/>
                          <w:szCs w:val="2"/>
                        </w:rPr>
                        <w:br w:type="column"/>
                      </w:r>
                    </w:p>
                    <w:p>
                      <w:pPr>
                        <w:pStyle w:val="3"/>
                        <w:spacing w:before="86" w:line="198" w:lineRule="auto"/>
                        <w:rPr>
                          <w:sz w:val="15"/>
                          <w:szCs w:val="15"/>
                        </w:rPr>
                      </w:pPr>
                      <w:r>
                        <w:rPr>
                          <w:spacing w:val="-2"/>
                          <w:sz w:val="15"/>
                          <w:szCs w:val="15"/>
                        </w:rPr>
                        <w:t>ICS</w:t>
                      </w:r>
                      <w:r>
                        <w:rPr>
                          <w:sz w:val="15"/>
                          <w:szCs w:val="15"/>
                        </w:rPr>
                        <w:t xml:space="preserve">          </w:t>
                      </w:r>
                      <w:r>
                        <w:rPr>
                          <w:spacing w:val="-2"/>
                          <w:sz w:val="15"/>
                          <w:szCs w:val="15"/>
                        </w:rPr>
                        <w:t>77.120.99</w:t>
                      </w:r>
                    </w:p>
                    <w:p>
                      <w:pPr>
                        <w:pStyle w:val="3"/>
                        <w:spacing w:before="177" w:line="198" w:lineRule="auto"/>
                        <w:rPr>
                          <w:sz w:val="15"/>
                          <w:szCs w:val="15"/>
                        </w:rPr>
                      </w:pPr>
                      <w:r>
                        <w:rPr>
                          <w:b/>
                          <w:bCs/>
                          <w:spacing w:val="-5"/>
                          <w:sz w:val="15"/>
                          <w:szCs w:val="15"/>
                        </w:rPr>
                        <w:t>CCS</w:t>
                      </w:r>
                      <w:r>
                        <w:rPr>
                          <w:b/>
                          <w:bCs/>
                          <w:spacing w:val="5"/>
                          <w:sz w:val="15"/>
                          <w:szCs w:val="15"/>
                        </w:rPr>
                        <w:t xml:space="preserve">   </w:t>
                      </w:r>
                      <w:r>
                        <w:rPr>
                          <w:b/>
                          <w:bCs/>
                          <w:spacing w:val="-5"/>
                          <w:sz w:val="15"/>
                          <w:szCs w:val="15"/>
                        </w:rPr>
                        <w:t>H</w:t>
                      </w:r>
                      <w:r>
                        <w:rPr>
                          <w:b/>
                          <w:bCs/>
                          <w:spacing w:val="4"/>
                          <w:sz w:val="15"/>
                          <w:szCs w:val="15"/>
                        </w:rPr>
                        <w:t xml:space="preserve">   </w:t>
                      </w:r>
                      <w:r>
                        <w:rPr>
                          <w:b/>
                          <w:bCs/>
                          <w:spacing w:val="-5"/>
                          <w:sz w:val="15"/>
                          <w:szCs w:val="15"/>
                        </w:rPr>
                        <w:t>15</w:t>
                      </w:r>
                    </w:p>
                    <w:p>
                      <w:pPr>
                        <w:spacing w:before="307" w:line="222" w:lineRule="auto"/>
                        <w:ind w:left="3"/>
                        <w:rPr>
                          <w:rFonts w:ascii="黑体" w:hAnsi="黑体" w:eastAsia="黑体" w:cs="黑体"/>
                          <w:sz w:val="28"/>
                          <w:szCs w:val="28"/>
                        </w:rPr>
                      </w:pPr>
                      <w:r>
                        <w:rPr>
                          <w:rFonts w:ascii="黑体" w:hAnsi="黑体" w:eastAsia="黑体" w:cs="黑体"/>
                          <w:b/>
                          <w:bCs/>
                          <w:color w:val="A50010"/>
                          <w:spacing w:val="-21"/>
                          <w:w w:val="95"/>
                          <w:sz w:val="28"/>
                          <w:szCs w:val="28"/>
                        </w:rPr>
                        <w:t>贵金属合金</w:t>
                      </w:r>
                    </w:p>
                    <w:p>
                      <w:pPr>
                        <w:pStyle w:val="25"/>
                        <w:rPr>
                          <w:rFonts w:hint="eastAsia"/>
                        </w:rPr>
                      </w:pPr>
                    </w:p>
                    <w:p>
                      <w:pPr>
                        <w:pStyle w:val="25"/>
                      </w:pPr>
                    </w:p>
                  </w:txbxContent>
                </v:textbox>
                <w10:anchorlock/>
              </v:shape>
            </w:pict>
          </mc:Fallback>
        </mc:AlternateContent>
      </w:r>
    </w:p>
    <w:bookmarkEnd w:id="0"/>
    <w:p>
      <w:pPr>
        <w:snapToGrid w:val="0"/>
        <w:spacing w:before="156" w:beforeLines="50" w:after="156" w:afterLines="50" w:line="360" w:lineRule="atLeast"/>
        <w:jc w:val="center"/>
        <w:rPr>
          <w:rFonts w:ascii="黑体" w:hAnsi="黑体" w:eastAsia="黑体" w:cs="黑体"/>
          <w:b/>
          <w:sz w:val="32"/>
          <w:szCs w:val="32"/>
        </w:rPr>
      </w:pPr>
      <w:bookmarkStart w:id="1" w:name="OLE_LINK5"/>
      <w:bookmarkStart w:id="2" w:name="SectionMark2"/>
      <w:r>
        <w:rPr>
          <w:rFonts w:eastAsia="黑体"/>
          <w:b/>
          <w:sz w:val="32"/>
          <w:szCs w:val="32"/>
        </w:rPr>
        <w:t xml:space="preserve"> </w:t>
      </w:r>
      <w:r>
        <w:rPr>
          <w:rFonts w:hint="eastAsia" w:ascii="黑体" w:hAnsi="黑体" w:eastAsia="黑体" w:cs="黑体"/>
          <w:b/>
          <w:sz w:val="32"/>
          <w:szCs w:val="32"/>
        </w:rPr>
        <w:t>前  言</w:t>
      </w:r>
    </w:p>
    <w:bookmarkEnd w:id="1"/>
    <w:p>
      <w:pPr>
        <w:snapToGrid w:val="0"/>
        <w:spacing w:before="156" w:beforeLines="50"/>
        <w:ind w:firstLine="420" w:firstLineChars="200"/>
        <w:rPr>
          <w:rFonts w:ascii="宋体" w:hAnsi="宋体" w:cs="黑体"/>
          <w:szCs w:val="21"/>
        </w:rPr>
      </w:pPr>
      <w:r>
        <w:rPr>
          <w:rFonts w:hint="eastAsia" w:ascii="宋体" w:hAnsi="宋体" w:cs="黑体"/>
          <w:szCs w:val="21"/>
        </w:rPr>
        <w:t xml:space="preserve">本文件按照GB/T 1.1-2020 《标准化工作导则 第1部分：标准化文件的结构和起草规则》的规定起草。 </w:t>
      </w:r>
    </w:p>
    <w:p>
      <w:pPr>
        <w:ind w:left="420" w:leftChars="200"/>
        <w:rPr>
          <w:rFonts w:hint="eastAsia" w:ascii="宋体" w:hAnsi="宋体"/>
          <w:highlight w:val="yellow"/>
        </w:rPr>
      </w:pPr>
      <w:r>
        <w:rPr>
          <w:rFonts w:hint="eastAsia" w:ascii="宋体" w:hAnsi="宋体" w:cs="黑体"/>
          <w:szCs w:val="21"/>
        </w:rPr>
        <w:t>本文件是GB/T 15072《贵金属合金化学分析方法》第1部分，GB/T 15072已经发布了以下部分：</w:t>
      </w:r>
      <w:bookmarkStart w:id="3" w:name="OLE_LINK1"/>
      <w:bookmarkStart w:id="4" w:name="OLE_LINK2"/>
      <w:r>
        <w:rPr>
          <w:rFonts w:hint="eastAsia" w:ascii="等线" w:hAnsi="等线" w:eastAsia="等线"/>
          <w:highlight w:val="yellow"/>
        </w:rPr>
        <w:t>——</w:t>
      </w:r>
      <w:bookmarkEnd w:id="3"/>
      <w:r>
        <w:rPr>
          <w:rFonts w:hint="eastAsia" w:ascii="宋体" w:hAnsi="宋体"/>
          <w:highlight w:val="yellow"/>
        </w:rPr>
        <w:t>GB/T</w:t>
      </w:r>
      <w:bookmarkEnd w:id="4"/>
      <w:r>
        <w:rPr>
          <w:rFonts w:hint="eastAsia" w:ascii="宋体" w:hAnsi="宋体"/>
          <w:highlight w:val="yellow"/>
        </w:rPr>
        <w:t xml:space="preserve"> 15072.1-2008</w:t>
      </w:r>
      <w:bookmarkStart w:id="5" w:name="OLE_LINK3"/>
      <w:r>
        <w:rPr>
          <w:rFonts w:hint="eastAsia" w:ascii="宋体" w:hAnsi="宋体"/>
          <w:highlight w:val="yellow"/>
        </w:rPr>
        <w:t xml:space="preserve"> 贵金属合金化学分析方法</w:t>
      </w:r>
      <w:bookmarkEnd w:id="5"/>
      <w:r>
        <w:rPr>
          <w:rFonts w:hint="eastAsia" w:ascii="宋体" w:hAnsi="宋体"/>
          <w:highlight w:val="yellow"/>
        </w:rPr>
        <w:t xml:space="preserve"> 金、铂、钯合金中金量的测定 硫酸亚铁电位滴定法；</w:t>
      </w:r>
    </w:p>
    <w:p>
      <w:pPr>
        <w:ind w:left="420" w:leftChars="200"/>
        <w:rPr>
          <w:rFonts w:hint="eastAsia" w:ascii="宋体" w:hAnsi="宋体"/>
          <w:highlight w:val="yellow"/>
        </w:rPr>
      </w:pPr>
      <w:bookmarkStart w:id="6" w:name="OLE_LINK4"/>
      <w:r>
        <w:rPr>
          <w:rFonts w:hint="eastAsia" w:ascii="等线" w:hAnsi="等线" w:eastAsia="等线"/>
          <w:highlight w:val="yellow"/>
        </w:rPr>
        <w:t>——</w:t>
      </w:r>
      <w:bookmarkEnd w:id="6"/>
      <w:r>
        <w:rPr>
          <w:rFonts w:hint="eastAsia" w:ascii="宋体" w:hAnsi="宋体"/>
          <w:highlight w:val="yellow"/>
        </w:rPr>
        <w:t>GB/T 15072.2-2008 贵金属合金化学分析方法 银合金中银量的测定 氯化钠电位滴定法；</w:t>
      </w:r>
    </w:p>
    <w:p>
      <w:pPr>
        <w:ind w:left="420" w:leftChars="200"/>
        <w:rPr>
          <w:rFonts w:hint="eastAsia" w:ascii="宋体" w:hAnsi="宋体"/>
          <w:highlight w:val="yellow"/>
        </w:rPr>
      </w:pPr>
      <w:r>
        <w:rPr>
          <w:rFonts w:hint="eastAsia" w:ascii="等线" w:hAnsi="等线" w:eastAsia="等线"/>
          <w:highlight w:val="yellow"/>
        </w:rPr>
        <w:t>——</w:t>
      </w:r>
      <w:r>
        <w:rPr>
          <w:rFonts w:hint="eastAsia" w:ascii="宋体" w:hAnsi="宋体"/>
          <w:highlight w:val="yellow"/>
        </w:rPr>
        <w:t>GB/T 15072.3-2008 贵金属合金化学分析方法 金、铂、钯合金中铂量的测定 高锰酸钾电流滴定法；</w:t>
      </w:r>
    </w:p>
    <w:p>
      <w:pPr>
        <w:ind w:left="420" w:leftChars="200"/>
        <w:rPr>
          <w:rFonts w:hint="eastAsia" w:ascii="宋体" w:hAnsi="宋体"/>
          <w:highlight w:val="yellow"/>
        </w:rPr>
      </w:pPr>
      <w:r>
        <w:rPr>
          <w:rFonts w:hint="eastAsia" w:ascii="等线" w:hAnsi="等线" w:eastAsia="等线"/>
          <w:highlight w:val="yellow"/>
        </w:rPr>
        <w:t>——</w:t>
      </w:r>
      <w:r>
        <w:rPr>
          <w:rFonts w:hint="eastAsia" w:ascii="宋体" w:hAnsi="宋体"/>
          <w:highlight w:val="yellow"/>
        </w:rPr>
        <w:t>GB/T 15072.4-2008 贵金属合金化学分析方法 钯、银合金中钯量的测定 二甲基乙二醛肟重量法；</w:t>
      </w:r>
    </w:p>
    <w:p>
      <w:pPr>
        <w:ind w:left="420" w:leftChars="200"/>
        <w:rPr>
          <w:rFonts w:hint="eastAsia" w:ascii="宋体" w:hAnsi="宋体"/>
          <w:highlight w:val="yellow"/>
        </w:rPr>
      </w:pPr>
      <w:r>
        <w:rPr>
          <w:rFonts w:hint="eastAsia" w:ascii="等线" w:hAnsi="等线" w:eastAsia="等线"/>
          <w:highlight w:val="yellow"/>
        </w:rPr>
        <w:t>——</w:t>
      </w:r>
      <w:r>
        <w:rPr>
          <w:rFonts w:hint="eastAsia" w:ascii="宋体" w:hAnsi="宋体"/>
          <w:highlight w:val="yellow"/>
        </w:rPr>
        <w:t>GB/T 15072.5—2008 贵金属合金化学分析方法 金、钯合金中银量的测定 碘化钾电位滴定法；</w:t>
      </w:r>
    </w:p>
    <w:p>
      <w:pPr>
        <w:ind w:left="420" w:leftChars="200"/>
        <w:rPr>
          <w:rFonts w:hint="eastAsia" w:ascii="宋体" w:hAnsi="宋体"/>
          <w:highlight w:val="yellow"/>
        </w:rPr>
      </w:pPr>
      <w:r>
        <w:rPr>
          <w:rFonts w:hint="eastAsia" w:ascii="等线" w:hAnsi="等线" w:eastAsia="等线"/>
          <w:highlight w:val="yellow"/>
        </w:rPr>
        <w:t>——</w:t>
      </w:r>
      <w:r>
        <w:rPr>
          <w:rFonts w:hint="eastAsia" w:ascii="宋体" w:hAnsi="宋体"/>
          <w:highlight w:val="yellow"/>
        </w:rPr>
        <w:t>GB/T 15072.6-2008 贵金属合金化学分析方法 铂、钯合金中铱量的测定 硫酸亚铁电流滴定法；</w:t>
      </w:r>
    </w:p>
    <w:p>
      <w:pPr>
        <w:ind w:left="420" w:leftChars="200"/>
        <w:rPr>
          <w:rFonts w:hint="eastAsia" w:ascii="宋体" w:hAnsi="宋体"/>
          <w:highlight w:val="yellow"/>
        </w:rPr>
      </w:pPr>
      <w:r>
        <w:rPr>
          <w:rFonts w:hint="eastAsia" w:ascii="等线" w:hAnsi="等线" w:eastAsia="等线"/>
          <w:highlight w:val="yellow"/>
        </w:rPr>
        <w:t>——</w:t>
      </w:r>
      <w:r>
        <w:rPr>
          <w:rFonts w:hint="eastAsia" w:ascii="宋体" w:hAnsi="宋体"/>
          <w:highlight w:val="yellow"/>
        </w:rPr>
        <w:t>GB/T 15072.7-2008 贵金属合金化学分析方法 金合金中铬和铁量的测定 电感耦合等离子体原子发射光谱法；</w:t>
      </w:r>
    </w:p>
    <w:p>
      <w:pPr>
        <w:ind w:left="420" w:leftChars="200"/>
        <w:rPr>
          <w:rFonts w:hint="eastAsia" w:ascii="宋体" w:hAnsi="宋体"/>
          <w:highlight w:val="yellow"/>
        </w:rPr>
      </w:pPr>
      <w:r>
        <w:rPr>
          <w:rFonts w:hint="eastAsia" w:ascii="等线" w:hAnsi="等线" w:eastAsia="等线"/>
          <w:highlight w:val="yellow"/>
        </w:rPr>
        <w:t>——</w:t>
      </w:r>
      <w:r>
        <w:rPr>
          <w:rFonts w:hint="eastAsia" w:ascii="宋体" w:hAnsi="宋体"/>
          <w:highlight w:val="yellow"/>
        </w:rPr>
        <w:t>GB/T 15072.8-2008 贵金属合金化学分析方法 金、钯、银合金中铜量的测定 硫脉析出EDTA 络合返滴定法；</w:t>
      </w:r>
    </w:p>
    <w:p>
      <w:pPr>
        <w:ind w:left="420" w:leftChars="200"/>
        <w:rPr>
          <w:rFonts w:hint="eastAsia" w:ascii="宋体" w:hAnsi="宋体"/>
          <w:highlight w:val="yellow"/>
        </w:rPr>
      </w:pPr>
      <w:r>
        <w:rPr>
          <w:rFonts w:hint="eastAsia" w:ascii="等线" w:hAnsi="等线" w:eastAsia="等线"/>
          <w:highlight w:val="yellow"/>
        </w:rPr>
        <w:t>——</w:t>
      </w:r>
      <w:r>
        <w:rPr>
          <w:rFonts w:hint="eastAsia" w:ascii="宋体" w:hAnsi="宋体"/>
          <w:highlight w:val="yellow"/>
        </w:rPr>
        <w:t>GB/T 15072.9-2008 贵金属合金化学分析方法 金合金中铟量的测定 EDTA络合返滴定法；</w:t>
      </w:r>
    </w:p>
    <w:p>
      <w:pPr>
        <w:ind w:left="420" w:leftChars="200"/>
        <w:rPr>
          <w:rFonts w:hint="eastAsia" w:ascii="宋体" w:hAnsi="宋体"/>
          <w:highlight w:val="yellow"/>
        </w:rPr>
      </w:pPr>
      <w:r>
        <w:rPr>
          <w:rFonts w:hint="eastAsia" w:ascii="等线" w:hAnsi="等线" w:eastAsia="等线"/>
          <w:highlight w:val="yellow"/>
        </w:rPr>
        <w:t>——</w:t>
      </w:r>
      <w:r>
        <w:rPr>
          <w:rFonts w:hint="eastAsia" w:ascii="宋体" w:hAnsi="宋体"/>
          <w:highlight w:val="yellow"/>
        </w:rPr>
        <w:t>GB/T 15072.10-2008  贵金属合金化学分析方法 金合金中镍量的测定 EDTA络合返滴定法；</w:t>
      </w:r>
    </w:p>
    <w:p>
      <w:pPr>
        <w:ind w:left="420" w:leftChars="200"/>
        <w:rPr>
          <w:rFonts w:hint="eastAsia" w:ascii="宋体" w:hAnsi="宋体"/>
          <w:highlight w:val="yellow"/>
        </w:rPr>
      </w:pPr>
      <w:r>
        <w:rPr>
          <w:rFonts w:hint="eastAsia" w:ascii="等线" w:hAnsi="等线" w:eastAsia="等线"/>
          <w:highlight w:val="yellow"/>
        </w:rPr>
        <w:t>——</w:t>
      </w:r>
      <w:r>
        <w:rPr>
          <w:rFonts w:hint="eastAsia" w:ascii="宋体" w:hAnsi="宋体"/>
          <w:highlight w:val="yellow"/>
        </w:rPr>
        <w:t>GB/T 15072.11-2008 贵金属合金化学分析方法 金合金中钆和铍量的测定 电感耦合等离子体原子发射光谱法；</w:t>
      </w:r>
    </w:p>
    <w:p>
      <w:pPr>
        <w:ind w:left="420" w:leftChars="200"/>
        <w:rPr>
          <w:rFonts w:hint="eastAsia" w:ascii="宋体" w:hAnsi="宋体"/>
          <w:highlight w:val="yellow"/>
        </w:rPr>
      </w:pPr>
      <w:r>
        <w:rPr>
          <w:rFonts w:hint="eastAsia" w:ascii="等线" w:hAnsi="等线" w:eastAsia="等线"/>
          <w:highlight w:val="yellow"/>
        </w:rPr>
        <w:t>——</w:t>
      </w:r>
      <w:r>
        <w:rPr>
          <w:rFonts w:hint="eastAsia" w:ascii="宋体" w:hAnsi="宋体"/>
          <w:highlight w:val="yellow"/>
        </w:rPr>
        <w:t>GB/T 15072.12-2008 贵金属合金化学分析方法 银合金中钒量的测定 过氧化氢分光光度法；</w:t>
      </w:r>
    </w:p>
    <w:p>
      <w:pPr>
        <w:ind w:left="420" w:leftChars="200"/>
        <w:rPr>
          <w:rFonts w:hint="eastAsia" w:ascii="宋体" w:hAnsi="宋体"/>
          <w:highlight w:val="yellow"/>
        </w:rPr>
      </w:pPr>
      <w:r>
        <w:rPr>
          <w:rFonts w:hint="eastAsia" w:ascii="等线" w:hAnsi="等线" w:eastAsia="等线"/>
          <w:highlight w:val="yellow"/>
        </w:rPr>
        <w:t>——</w:t>
      </w:r>
      <w:r>
        <w:rPr>
          <w:rFonts w:hint="eastAsia" w:ascii="宋体" w:hAnsi="宋体"/>
          <w:highlight w:val="yellow"/>
        </w:rPr>
        <w:t>GB/T 15072.13-2008 贵金属合金化学分析方法 银合金中锡、铈和镧量的测定 电感耦合等离子体原子发射光谱法；</w:t>
      </w:r>
    </w:p>
    <w:p>
      <w:pPr>
        <w:ind w:left="420" w:leftChars="200"/>
        <w:rPr>
          <w:rFonts w:hint="eastAsia" w:ascii="宋体" w:hAnsi="宋体"/>
          <w:highlight w:val="yellow"/>
        </w:rPr>
      </w:pPr>
      <w:r>
        <w:rPr>
          <w:rFonts w:hint="eastAsia" w:ascii="等线" w:hAnsi="等线" w:eastAsia="等线"/>
          <w:highlight w:val="yellow"/>
        </w:rPr>
        <w:t>——</w:t>
      </w:r>
      <w:r>
        <w:rPr>
          <w:rFonts w:hint="eastAsia" w:ascii="宋体" w:hAnsi="宋体"/>
          <w:highlight w:val="yellow"/>
        </w:rPr>
        <w:t>GB/T 15072.14-2008 贵金属合金化学分析方法 银合金中铝和镍量的测定 电感耦合等离子体原子发射光谱法；</w:t>
      </w:r>
    </w:p>
    <w:p>
      <w:pPr>
        <w:ind w:left="420" w:leftChars="200"/>
        <w:rPr>
          <w:rFonts w:hint="eastAsia" w:ascii="宋体" w:hAnsi="宋体"/>
          <w:highlight w:val="yellow"/>
        </w:rPr>
      </w:pPr>
      <w:r>
        <w:rPr>
          <w:rFonts w:hint="eastAsia" w:ascii="等线" w:hAnsi="等线" w:eastAsia="等线"/>
          <w:highlight w:val="yellow"/>
        </w:rPr>
        <w:t>——</w:t>
      </w:r>
      <w:r>
        <w:rPr>
          <w:rFonts w:hint="eastAsia" w:ascii="宋体" w:hAnsi="宋体"/>
          <w:highlight w:val="yellow"/>
        </w:rPr>
        <w:t>GB/T 15072.15-2008 贵金属合金化学分析方法 金、银、钯合金中镍、锌和锰量的测定电感耦合等离子体原子发射光谱法；</w:t>
      </w:r>
    </w:p>
    <w:p>
      <w:pPr>
        <w:ind w:left="420" w:leftChars="200"/>
        <w:rPr>
          <w:rFonts w:hint="eastAsia" w:ascii="宋体" w:hAnsi="宋体"/>
          <w:highlight w:val="yellow"/>
        </w:rPr>
      </w:pPr>
      <w:r>
        <w:rPr>
          <w:rFonts w:hint="eastAsia" w:ascii="等线" w:hAnsi="等线" w:eastAsia="等线"/>
          <w:highlight w:val="yellow"/>
        </w:rPr>
        <w:t>——</w:t>
      </w:r>
      <w:r>
        <w:rPr>
          <w:rFonts w:hint="eastAsia" w:ascii="宋体" w:hAnsi="宋体"/>
          <w:highlight w:val="yellow"/>
        </w:rPr>
        <w:t>GB/T 15072.16-2008 贵金属合金化学分析方法 金合金中铜和锰量的测定 电感耦合等离子体原子发射光谱法；</w:t>
      </w:r>
    </w:p>
    <w:p>
      <w:pPr>
        <w:ind w:left="420" w:leftChars="200"/>
        <w:rPr>
          <w:rFonts w:hint="eastAsia" w:ascii="宋体" w:hAnsi="宋体"/>
          <w:highlight w:val="yellow"/>
        </w:rPr>
      </w:pPr>
      <w:r>
        <w:rPr>
          <w:rFonts w:hint="eastAsia" w:ascii="等线" w:hAnsi="等线" w:eastAsia="等线"/>
          <w:highlight w:val="yellow"/>
        </w:rPr>
        <w:t>——</w:t>
      </w:r>
      <w:r>
        <w:rPr>
          <w:rFonts w:hint="eastAsia" w:ascii="宋体" w:hAnsi="宋体"/>
          <w:highlight w:val="yellow"/>
        </w:rPr>
        <w:t>GB/T 15072.17-2008 贵金属合金化学分析方法 铂合金中钨量的测定 三氧化钨重量法；</w:t>
      </w:r>
    </w:p>
    <w:p>
      <w:pPr>
        <w:ind w:left="420" w:leftChars="200"/>
        <w:rPr>
          <w:rFonts w:hint="eastAsia" w:ascii="宋体" w:hAnsi="宋体"/>
          <w:highlight w:val="yellow"/>
        </w:rPr>
      </w:pPr>
      <w:r>
        <w:rPr>
          <w:rFonts w:hint="eastAsia" w:ascii="等线" w:hAnsi="等线" w:eastAsia="等线"/>
          <w:highlight w:val="yellow"/>
        </w:rPr>
        <w:t>——</w:t>
      </w:r>
      <w:r>
        <w:rPr>
          <w:rFonts w:hint="eastAsia" w:ascii="宋体" w:hAnsi="宋体"/>
          <w:highlight w:val="yellow"/>
        </w:rPr>
        <w:t>GB/T 15072.18-2008 贵金属合金化学分析方法 金合金中锆和镓量的测定 电感耦合等离子体原子发射光谱法；</w:t>
      </w:r>
    </w:p>
    <w:p>
      <w:pPr>
        <w:ind w:left="420" w:leftChars="200"/>
        <w:rPr>
          <w:rFonts w:hint="eastAsia" w:ascii="宋体" w:hAnsi="宋体"/>
          <w:highlight w:val="yellow"/>
        </w:rPr>
      </w:pPr>
      <w:r>
        <w:rPr>
          <w:rFonts w:hint="eastAsia" w:ascii="等线" w:hAnsi="等线" w:eastAsia="等线"/>
          <w:highlight w:val="yellow"/>
        </w:rPr>
        <w:t>——</w:t>
      </w:r>
      <w:r>
        <w:rPr>
          <w:rFonts w:hint="eastAsia" w:ascii="宋体" w:hAnsi="宋体"/>
          <w:highlight w:val="yellow"/>
        </w:rPr>
        <w:t>GB/T 15072.19-2008 贵金属合金化学分析方法 银合金中钒和镁量的测定 电感耦合等离子体原子发射光谱法。</w:t>
      </w:r>
    </w:p>
    <w:p>
      <w:pPr>
        <w:snapToGrid w:val="0"/>
        <w:ind w:firstLine="420" w:firstLineChars="200"/>
        <w:rPr>
          <w:rFonts w:hint="eastAsia" w:ascii="宋体" w:hAnsi="宋体"/>
        </w:rPr>
      </w:pPr>
      <w:r>
        <w:rPr>
          <w:rFonts w:hint="eastAsia" w:ascii="宋体" w:hAnsi="宋体"/>
        </w:rPr>
        <w:t>本文件代替《</w:t>
      </w:r>
      <w:r>
        <w:rPr>
          <w:rFonts w:ascii="宋体" w:hAnsi="宋体"/>
        </w:rPr>
        <w:t>贵金属合金化学分析方法 金、铂、钯合金中铂量的测定 高锰酸钾电流滴定法</w:t>
      </w:r>
      <w:r>
        <w:rPr>
          <w:rFonts w:hint="eastAsia" w:ascii="宋体" w:hAnsi="宋体"/>
        </w:rPr>
        <w:t>》，与GB/T15072.3-2008相比，除结构调整和编辑性改动：</w:t>
      </w:r>
    </w:p>
    <w:p>
      <w:pPr>
        <w:numPr>
          <w:ilvl w:val="0"/>
          <w:numId w:val="4"/>
        </w:numPr>
        <w:snapToGrid w:val="0"/>
        <w:rPr>
          <w:rFonts w:hint="eastAsia" w:ascii="宋体" w:hAnsi="宋体"/>
        </w:rPr>
      </w:pPr>
      <w:r>
        <w:rPr>
          <w:rFonts w:hint="eastAsia" w:ascii="宋体" w:hAnsi="宋体" w:cs="黑体"/>
          <w:szCs w:val="21"/>
        </w:rPr>
        <w:t>标准名称由</w:t>
      </w:r>
      <w:r>
        <w:rPr>
          <w:rFonts w:hint="eastAsia" w:ascii="宋体" w:hAnsi="宋体"/>
        </w:rPr>
        <w:t>G</w:t>
      </w:r>
      <w:r>
        <w:rPr>
          <w:rFonts w:ascii="宋体" w:hAnsi="宋体"/>
        </w:rPr>
        <w:t>B/T</w:t>
      </w:r>
      <w:r>
        <w:rPr>
          <w:rFonts w:hint="eastAsia" w:ascii="宋体" w:hAnsi="宋体"/>
        </w:rPr>
        <w:t xml:space="preserve"> 15072</w:t>
      </w:r>
      <w:r>
        <w:rPr>
          <w:rFonts w:ascii="宋体" w:hAnsi="宋体"/>
        </w:rPr>
        <w:t>.</w:t>
      </w:r>
      <w:r>
        <w:rPr>
          <w:rFonts w:hint="eastAsia" w:ascii="宋体" w:hAnsi="宋体"/>
        </w:rPr>
        <w:t>3</w:t>
      </w:r>
      <w:r>
        <w:rPr>
          <w:rFonts w:ascii="宋体" w:hAnsi="宋体"/>
        </w:rPr>
        <w:t>-2008</w:t>
      </w:r>
      <w:r>
        <w:rPr>
          <w:rFonts w:hint="eastAsia" w:ascii="宋体" w:hAnsi="宋体"/>
        </w:rPr>
        <w:t>《贵金属合金化学分析方法 金、铂、钯合金中铂量的测定 高锰酸钾电流滴定法》变更为</w:t>
      </w:r>
      <w:r>
        <w:rPr>
          <w:rFonts w:hint="eastAsia" w:ascii="宋体" w:hAnsi="宋体" w:cs="宋体"/>
        </w:rPr>
        <w:t>《</w:t>
      </w:r>
      <w:r>
        <w:rPr>
          <w:rFonts w:hint="eastAsia" w:ascii="宋体" w:hAnsi="宋体"/>
        </w:rPr>
        <w:t>贵金属合金化学分析方法 第3部分：铂含量的测定</w:t>
      </w:r>
      <w:r>
        <w:rPr>
          <w:rFonts w:hint="eastAsia" w:ascii="宋体" w:hAnsi="宋体" w:cs="宋体"/>
        </w:rPr>
        <w:t>》</w:t>
      </w:r>
    </w:p>
    <w:p>
      <w:pPr>
        <w:numPr>
          <w:ilvl w:val="0"/>
          <w:numId w:val="4"/>
        </w:numPr>
        <w:snapToGrid w:val="0"/>
        <w:rPr>
          <w:rFonts w:hint="eastAsia" w:ascii="宋体" w:hAnsi="宋体" w:cs="黑体"/>
          <w:szCs w:val="21"/>
        </w:rPr>
      </w:pPr>
      <w:r>
        <w:rPr>
          <w:rFonts w:hint="eastAsia" w:ascii="宋体" w:hAnsi="宋体" w:cs="黑体"/>
          <w:szCs w:val="21"/>
        </w:rPr>
        <w:t>增加了标准使用安全警示；</w:t>
      </w:r>
    </w:p>
    <w:p>
      <w:pPr>
        <w:numPr>
          <w:ilvl w:val="0"/>
          <w:numId w:val="4"/>
        </w:numPr>
        <w:snapToGrid w:val="0"/>
        <w:rPr>
          <w:rFonts w:hint="eastAsia" w:ascii="宋体" w:hAnsi="宋体" w:cs="黑体"/>
          <w:szCs w:val="21"/>
        </w:rPr>
      </w:pPr>
      <w:r>
        <w:rPr>
          <w:rFonts w:hint="eastAsia" w:ascii="宋体" w:hAnsi="宋体" w:cs="黑体"/>
          <w:szCs w:val="21"/>
        </w:rPr>
        <w:t>增加了“规范性引用文件”（见第2章）；</w:t>
      </w:r>
    </w:p>
    <w:p>
      <w:pPr>
        <w:numPr>
          <w:ilvl w:val="0"/>
          <w:numId w:val="4"/>
        </w:numPr>
        <w:snapToGrid w:val="0"/>
        <w:rPr>
          <w:rFonts w:hint="eastAsia" w:ascii="宋体" w:hAnsi="宋体" w:cs="黑体"/>
          <w:szCs w:val="21"/>
        </w:rPr>
      </w:pPr>
      <w:r>
        <w:rPr>
          <w:rFonts w:hint="eastAsia" w:ascii="宋体" w:hAnsi="宋体" w:cs="黑体"/>
          <w:szCs w:val="21"/>
        </w:rPr>
        <w:t>增加了“术语和定义”（见第3章）；</w:t>
      </w:r>
    </w:p>
    <w:p>
      <w:pPr>
        <w:numPr>
          <w:ilvl w:val="0"/>
          <w:numId w:val="4"/>
        </w:numPr>
        <w:snapToGrid w:val="0"/>
        <w:rPr>
          <w:rFonts w:hint="eastAsia" w:ascii="宋体" w:hAnsi="宋体" w:cs="黑体"/>
          <w:szCs w:val="21"/>
        </w:rPr>
      </w:pPr>
      <w:r>
        <w:rPr>
          <w:rFonts w:hint="eastAsia" w:ascii="宋体" w:hAnsi="宋体" w:cs="黑体"/>
          <w:szCs w:val="21"/>
        </w:rPr>
        <w:t>更改了检测设备，将“电流滴定装置-极谱仪”更改为“自动电位滴定仪”（见6.2，见2008年版的5.1））；</w:t>
      </w:r>
    </w:p>
    <w:p>
      <w:pPr>
        <w:numPr>
          <w:ilvl w:val="0"/>
          <w:numId w:val="4"/>
        </w:numPr>
        <w:snapToGrid w:val="0"/>
        <w:rPr>
          <w:rFonts w:hint="eastAsia" w:ascii="宋体" w:hAnsi="宋体" w:cs="黑体"/>
          <w:szCs w:val="21"/>
        </w:rPr>
      </w:pPr>
      <w:r>
        <w:rPr>
          <w:rFonts w:hint="eastAsia" w:ascii="宋体" w:hAnsi="宋体" w:cs="黑体"/>
          <w:szCs w:val="21"/>
        </w:rPr>
        <w:t>删除了硫酸的使用（见2008年版的4.12.2,7.3.2）；</w:t>
      </w:r>
    </w:p>
    <w:p>
      <w:pPr>
        <w:numPr>
          <w:ilvl w:val="0"/>
          <w:numId w:val="4"/>
        </w:numPr>
        <w:snapToGrid w:val="0"/>
        <w:rPr>
          <w:rFonts w:hint="eastAsia" w:ascii="宋体" w:hAnsi="宋体" w:cs="黑体"/>
          <w:szCs w:val="21"/>
        </w:rPr>
      </w:pPr>
      <w:r>
        <w:rPr>
          <w:rFonts w:hint="eastAsia" w:ascii="宋体" w:hAnsi="宋体" w:cs="黑体"/>
          <w:szCs w:val="21"/>
        </w:rPr>
        <w:t>更改了试样预处理方式（见8.4,2008的年版）；</w:t>
      </w:r>
    </w:p>
    <w:p>
      <w:pPr>
        <w:numPr>
          <w:ilvl w:val="0"/>
          <w:numId w:val="4"/>
        </w:numPr>
        <w:snapToGrid w:val="0"/>
        <w:rPr>
          <w:rFonts w:hint="eastAsia" w:ascii="宋体" w:hAnsi="宋体" w:cs="黑体"/>
          <w:szCs w:val="21"/>
        </w:rPr>
      </w:pPr>
      <w:r>
        <w:rPr>
          <w:rFonts w:hint="eastAsia" w:ascii="宋体" w:hAnsi="宋体" w:cs="黑体"/>
          <w:szCs w:val="21"/>
        </w:rPr>
        <w:t>更改了试液的处理吹气等条件（见5.5和8.4，见2008年版的3.7.2,6.3.2）；</w:t>
      </w:r>
    </w:p>
    <w:p>
      <w:pPr>
        <w:numPr>
          <w:ilvl w:val="0"/>
          <w:numId w:val="4"/>
        </w:numPr>
        <w:snapToGrid w:val="0"/>
        <w:rPr>
          <w:rFonts w:hint="eastAsia" w:ascii="宋体" w:hAnsi="宋体" w:cs="黑体"/>
          <w:szCs w:val="21"/>
        </w:rPr>
      </w:pPr>
      <w:r>
        <w:rPr>
          <w:rFonts w:hint="eastAsia" w:ascii="宋体" w:hAnsi="宋体" w:cs="黑体"/>
          <w:szCs w:val="21"/>
        </w:rPr>
        <w:t>增加了“精密度“要求（见第10章）；</w:t>
      </w:r>
    </w:p>
    <w:p>
      <w:pPr>
        <w:numPr>
          <w:ilvl w:val="0"/>
          <w:numId w:val="4"/>
        </w:numPr>
        <w:snapToGrid w:val="0"/>
        <w:rPr>
          <w:rFonts w:hint="eastAsia" w:ascii="宋体" w:hAnsi="宋体" w:cs="黑体"/>
          <w:szCs w:val="21"/>
        </w:rPr>
      </w:pPr>
      <w:r>
        <w:rPr>
          <w:rFonts w:hint="eastAsia" w:ascii="宋体" w:hAnsi="宋体" w:cs="黑体"/>
          <w:szCs w:val="21"/>
        </w:rPr>
        <w:t>删除了“允许差”要求（见2008年版的9.2）；</w:t>
      </w:r>
    </w:p>
    <w:p>
      <w:pPr>
        <w:numPr>
          <w:ilvl w:val="0"/>
          <w:numId w:val="4"/>
        </w:numPr>
        <w:snapToGrid w:val="0"/>
        <w:rPr>
          <w:rFonts w:hint="eastAsia" w:ascii="宋体" w:hAnsi="宋体" w:cs="黑体"/>
          <w:szCs w:val="21"/>
        </w:rPr>
      </w:pPr>
      <w:r>
        <w:rPr>
          <w:rFonts w:hint="eastAsia" w:ascii="宋体" w:hAnsi="宋体" w:cs="黑体"/>
          <w:szCs w:val="21"/>
        </w:rPr>
        <w:t>增加了“实验报告”要求（见第11章）。</w:t>
      </w:r>
    </w:p>
    <w:p>
      <w:pPr>
        <w:snapToGrid w:val="0"/>
        <w:ind w:firstLine="420" w:firstLineChars="200"/>
        <w:rPr>
          <w:rFonts w:ascii="宋体" w:hAnsi="宋体"/>
        </w:rPr>
      </w:pPr>
      <w:r>
        <w:rPr>
          <w:rFonts w:ascii="宋体" w:hAnsi="宋体"/>
        </w:rPr>
        <w:t>请注意本文件的某些内容可能涉及专利。本文件的发布机构不承担识别专利的责任。</w:t>
      </w:r>
    </w:p>
    <w:p>
      <w:pPr>
        <w:snapToGrid w:val="0"/>
        <w:ind w:firstLine="420" w:firstLineChars="200"/>
        <w:rPr>
          <w:rFonts w:ascii="宋体" w:hAnsi="宋体"/>
        </w:rPr>
      </w:pPr>
      <w:r>
        <w:rPr>
          <w:rFonts w:hint="eastAsia" w:ascii="宋体" w:hAnsi="宋体"/>
        </w:rPr>
        <w:t>本文件由中国有色金属工业协会提出。</w:t>
      </w:r>
    </w:p>
    <w:p>
      <w:pPr>
        <w:snapToGrid w:val="0"/>
        <w:ind w:firstLine="420" w:firstLineChars="200"/>
        <w:rPr>
          <w:rFonts w:hint="eastAsia" w:ascii="宋体" w:hAnsi="宋体"/>
        </w:rPr>
      </w:pPr>
      <w:r>
        <w:rPr>
          <w:rFonts w:hint="eastAsia" w:ascii="宋体" w:hAnsi="宋体"/>
        </w:rPr>
        <w:t>本文件由全国有色金属标准化技术委员会（SAC/TC 243）归口。</w:t>
      </w:r>
    </w:p>
    <w:p>
      <w:pPr>
        <w:snapToGrid w:val="0"/>
        <w:ind w:firstLine="420" w:firstLineChars="200"/>
        <w:rPr>
          <w:rFonts w:hint="eastAsia" w:ascii="宋体" w:hAnsi="宋体"/>
        </w:rPr>
      </w:pPr>
      <w:r>
        <w:rPr>
          <w:rFonts w:hint="eastAsia" w:ascii="宋体" w:hAnsi="宋体"/>
        </w:rPr>
        <w:t>本文件起草单位：</w:t>
      </w:r>
      <w:r>
        <w:rPr>
          <w:szCs w:val="21"/>
        </w:rPr>
        <w:t>贵研检测科技（云南）有限公司</w:t>
      </w:r>
      <w:r>
        <w:rPr>
          <w:rFonts w:hint="eastAsia"/>
          <w:szCs w:val="21"/>
        </w:rPr>
        <w:t>、云南省贵金属新材料控股集团股份有限公司、有色金属技术经济研究院有限责任公司、贵研资源（易门）有限公司、北矿检测技术股份有限公司、励福（江门）环保科技股份有限公司、江西省君鑫贵金属科技材料有限公司、深圳市中金岭南有色金属股份有限公司、广东省科学院工业分析检测中心、国标（北京）检验认证有限公司、金川集团、成都光明派特贵金属有限公司、中宝正信金银珠宝首饰检测有限公司、云南黄金集团贵金属检测公司。</w:t>
      </w:r>
    </w:p>
    <w:p>
      <w:pPr>
        <w:snapToGrid w:val="0"/>
        <w:ind w:firstLine="420" w:firstLineChars="200"/>
        <w:rPr>
          <w:rFonts w:hint="eastAsia" w:ascii="宋体" w:hAnsi="宋体"/>
        </w:rPr>
      </w:pPr>
      <w:r>
        <w:rPr>
          <w:rFonts w:hint="eastAsia" w:ascii="宋体" w:hAnsi="宋体"/>
        </w:rPr>
        <w:t>本文件主要起草人：</w:t>
      </w:r>
    </w:p>
    <w:p>
      <w:pPr>
        <w:snapToGrid w:val="0"/>
        <w:ind w:firstLine="420" w:firstLineChars="200"/>
      </w:pPr>
      <w:r>
        <w:t>本文件及其所替代文件发布情况：</w:t>
      </w:r>
    </w:p>
    <w:p>
      <w:pPr>
        <w:ind w:firstLine="420" w:firstLineChars="200"/>
        <w:rPr>
          <w:rFonts w:hint="eastAsia" w:ascii="宋体" w:hAnsi="宋体"/>
        </w:rPr>
      </w:pPr>
      <w:bookmarkStart w:id="7" w:name="_Hlk78120675"/>
      <w:r>
        <w:rPr>
          <w:rFonts w:hint="eastAsia"/>
        </w:rPr>
        <w:t>本文件1978年首次发布，1994年</w:t>
      </w:r>
      <w:bookmarkEnd w:id="7"/>
      <w:r>
        <w:t>第一次修订，</w:t>
      </w:r>
      <w:bookmarkStart w:id="8" w:name="_Hlk78120340"/>
      <w:r>
        <w:t>2008年第</w:t>
      </w:r>
      <w:r>
        <w:rPr>
          <w:rFonts w:hint="eastAsia"/>
        </w:rPr>
        <w:t>二</w:t>
      </w:r>
      <w:r>
        <w:t>次修订</w:t>
      </w:r>
      <w:r>
        <w:rPr>
          <w:rFonts w:hint="eastAsia"/>
        </w:rPr>
        <w:t>，本次为第三次修订</w:t>
      </w:r>
      <w:bookmarkEnd w:id="8"/>
      <w:r>
        <w:rPr>
          <w:rFonts w:hint="eastAsia"/>
        </w:rPr>
        <w:t>。</w:t>
      </w:r>
    </w:p>
    <w:p>
      <w:pPr>
        <w:pStyle w:val="46"/>
        <w:tabs>
          <w:tab w:val="left" w:pos="3958"/>
          <w:tab w:val="center" w:pos="4737"/>
        </w:tabs>
        <w:rPr>
          <w:rFonts w:hint="eastAsia"/>
        </w:rPr>
      </w:pPr>
    </w:p>
    <w:p>
      <w:pPr>
        <w:pStyle w:val="46"/>
        <w:tabs>
          <w:tab w:val="left" w:pos="3958"/>
          <w:tab w:val="center" w:pos="4737"/>
        </w:tabs>
        <w:rPr>
          <w:rFonts w:hint="eastAsia"/>
        </w:rPr>
      </w:pPr>
    </w:p>
    <w:p>
      <w:pPr>
        <w:pStyle w:val="46"/>
        <w:tabs>
          <w:tab w:val="left" w:pos="3958"/>
          <w:tab w:val="center" w:pos="4737"/>
        </w:tabs>
        <w:rPr>
          <w:rFonts w:hint="eastAsia"/>
        </w:rPr>
      </w:pPr>
    </w:p>
    <w:p>
      <w:pPr>
        <w:pStyle w:val="46"/>
        <w:tabs>
          <w:tab w:val="left" w:pos="3958"/>
          <w:tab w:val="center" w:pos="4737"/>
        </w:tabs>
        <w:rPr>
          <w:rFonts w:hint="eastAsia"/>
        </w:rPr>
      </w:pPr>
    </w:p>
    <w:p>
      <w:pPr>
        <w:pStyle w:val="46"/>
        <w:tabs>
          <w:tab w:val="left" w:pos="3958"/>
          <w:tab w:val="center" w:pos="4737"/>
        </w:tabs>
        <w:rPr>
          <w:rFonts w:hint="eastAsia"/>
        </w:rPr>
      </w:pPr>
    </w:p>
    <w:p>
      <w:pPr>
        <w:pStyle w:val="46"/>
        <w:tabs>
          <w:tab w:val="left" w:pos="3958"/>
          <w:tab w:val="center" w:pos="4737"/>
        </w:tabs>
        <w:rPr>
          <w:rFonts w:hint="eastAsia"/>
        </w:rPr>
      </w:pPr>
    </w:p>
    <w:p>
      <w:pPr>
        <w:pStyle w:val="46"/>
        <w:tabs>
          <w:tab w:val="left" w:pos="3958"/>
          <w:tab w:val="center" w:pos="4737"/>
        </w:tabs>
        <w:rPr>
          <w:rFonts w:hint="eastAsia"/>
        </w:rPr>
      </w:pPr>
    </w:p>
    <w:p>
      <w:pPr>
        <w:snapToGrid w:val="0"/>
        <w:spacing w:before="156" w:beforeLines="50" w:after="156" w:afterLines="50" w:line="360" w:lineRule="atLeast"/>
        <w:jc w:val="center"/>
        <w:rPr>
          <w:rFonts w:ascii="黑体" w:hAnsi="黑体" w:eastAsia="黑体" w:cs="黑体"/>
          <w:b/>
          <w:sz w:val="32"/>
          <w:szCs w:val="32"/>
        </w:rPr>
      </w:pPr>
      <w:r>
        <w:rPr>
          <w:rFonts w:hint="eastAsia" w:eastAsia="黑体"/>
          <w:b/>
          <w:sz w:val="32"/>
          <w:szCs w:val="32"/>
        </w:rPr>
        <w:t>引</w:t>
      </w:r>
      <w:r>
        <w:rPr>
          <w:rFonts w:hint="eastAsia" w:ascii="黑体" w:hAnsi="黑体" w:eastAsia="黑体" w:cs="黑体"/>
          <w:b/>
          <w:sz w:val="32"/>
          <w:szCs w:val="32"/>
        </w:rPr>
        <w:t xml:space="preserve">  言</w:t>
      </w:r>
    </w:p>
    <w:p>
      <w:pPr>
        <w:snapToGrid w:val="0"/>
        <w:ind w:firstLine="420" w:firstLineChars="200"/>
        <w:jc w:val="left"/>
        <w:rPr>
          <w:rFonts w:hint="eastAsia" w:ascii="宋体" w:hAnsi="宋体"/>
          <w:szCs w:val="22"/>
        </w:rPr>
      </w:pPr>
      <w:bookmarkStart w:id="9" w:name="OLE_LINK6"/>
      <w:bookmarkStart w:id="10" w:name="OLE_LINK7"/>
      <w:r>
        <w:rPr>
          <w:rFonts w:hint="eastAsia" w:ascii="宋体" w:hAnsi="宋体"/>
          <w:szCs w:val="22"/>
        </w:rPr>
        <w:t>贵金属合金是由一种或多种贵金属（如金、银、铂、钯等）与其他金属或非金属元素组成的合金材料。这些合金不仅能够保持贵金属的优良属性，如耐腐蚀性、导电性、延展性等，还能通过添加其他金属来改变或增强合金的某些物理、化学或机械性能。这使得贵金属合金在提高材料实用性和降低成本方面具有重要意义</w:t>
      </w:r>
      <w:bookmarkEnd w:id="9"/>
      <w:r>
        <w:rPr>
          <w:rFonts w:hint="eastAsia" w:ascii="宋体" w:hAnsi="宋体"/>
          <w:szCs w:val="22"/>
        </w:rPr>
        <w:t>，广泛应用于汽车工业、电子通讯、新能源、石油化工、兵器工业、航空航天等领域。G</w:t>
      </w:r>
      <w:bookmarkEnd w:id="10"/>
      <w:r>
        <w:rPr>
          <w:rFonts w:hint="eastAsia" w:ascii="宋体" w:hAnsi="宋体"/>
          <w:szCs w:val="22"/>
        </w:rPr>
        <w:t>B/T 15072旨在建立一套化学成分分析的方法标准，以满足贵金属合金产品生产和贸易的需求。</w:t>
      </w:r>
    </w:p>
    <w:p>
      <w:pPr>
        <w:snapToGrid w:val="0"/>
        <w:ind w:firstLine="420" w:firstLineChars="200"/>
        <w:jc w:val="left"/>
        <w:rPr>
          <w:rFonts w:ascii="宋体" w:hAnsi="宋体"/>
          <w:szCs w:val="22"/>
          <w:highlight w:val="yellow"/>
        </w:rPr>
      </w:pPr>
      <w:r>
        <w:rPr>
          <w:rFonts w:hint="eastAsia" w:ascii="宋体" w:hAnsi="宋体"/>
          <w:szCs w:val="22"/>
          <w:highlight w:val="yellow"/>
        </w:rPr>
        <w:t>GB/T 15072拟由17个部分构成。</w:t>
      </w:r>
    </w:p>
    <w:p>
      <w:pPr>
        <w:ind w:firstLine="420" w:firstLineChars="200"/>
        <w:rPr>
          <w:rFonts w:hint="eastAsia" w:ascii="宋体" w:hAnsi="宋体"/>
          <w:szCs w:val="22"/>
          <w:highlight w:val="yellow"/>
        </w:rPr>
      </w:pPr>
      <w:bookmarkStart w:id="11" w:name="OLE_LINK8"/>
      <w:r>
        <w:rPr>
          <w:rFonts w:hint="eastAsia" w:ascii="宋体" w:hAnsi="宋体"/>
          <w:highlight w:val="yellow"/>
        </w:rPr>
        <w:t>——</w:t>
      </w:r>
      <w:bookmarkEnd w:id="11"/>
      <w:r>
        <w:rPr>
          <w:rFonts w:hint="eastAsia" w:ascii="宋体" w:hAnsi="宋体"/>
          <w:highlight w:val="yellow"/>
        </w:rPr>
        <w:t>第1部分：金含量的测定。</w:t>
      </w:r>
      <w:r>
        <w:rPr>
          <w:rFonts w:hint="eastAsia" w:ascii="宋体" w:hAnsi="宋体"/>
          <w:szCs w:val="22"/>
          <w:highlight w:val="yellow"/>
        </w:rPr>
        <w:t>目的在于建立电位滴定法和火试金重量法测定贵金属合金中金含量的方法。</w:t>
      </w:r>
    </w:p>
    <w:p>
      <w:pPr>
        <w:ind w:firstLine="420" w:firstLineChars="200"/>
        <w:rPr>
          <w:rFonts w:hint="eastAsia" w:ascii="宋体" w:hAnsi="宋体"/>
          <w:highlight w:val="yellow"/>
        </w:rPr>
      </w:pPr>
      <w:r>
        <w:rPr>
          <w:rFonts w:hint="eastAsia" w:ascii="宋体" w:hAnsi="宋体"/>
          <w:highlight w:val="yellow"/>
        </w:rPr>
        <w:t>——第2部分：银含量的测定。</w:t>
      </w:r>
      <w:r>
        <w:rPr>
          <w:rFonts w:hint="eastAsia" w:ascii="宋体" w:hAnsi="宋体"/>
          <w:szCs w:val="22"/>
          <w:highlight w:val="yellow"/>
        </w:rPr>
        <w:t>目的在于建立电位滴定法和火试金重量法测定贵金属合金中银含量的方法。</w:t>
      </w:r>
    </w:p>
    <w:p>
      <w:pPr>
        <w:ind w:firstLine="420" w:firstLineChars="200"/>
        <w:rPr>
          <w:rFonts w:hint="eastAsia" w:ascii="宋体" w:hAnsi="宋体"/>
          <w:highlight w:val="yellow"/>
        </w:rPr>
      </w:pPr>
      <w:r>
        <w:rPr>
          <w:rFonts w:hint="eastAsia" w:ascii="宋体" w:hAnsi="宋体"/>
          <w:highlight w:val="yellow"/>
        </w:rPr>
        <w:t>——第3部分：铂含量的测定。</w:t>
      </w:r>
      <w:r>
        <w:rPr>
          <w:rFonts w:hint="eastAsia" w:ascii="宋体" w:hAnsi="宋体"/>
          <w:szCs w:val="22"/>
          <w:highlight w:val="yellow"/>
        </w:rPr>
        <w:t>目的在于建立电位滴定法测定贵金属合金中铂含量的方法。</w:t>
      </w:r>
    </w:p>
    <w:p>
      <w:pPr>
        <w:ind w:firstLine="420" w:firstLineChars="200"/>
        <w:rPr>
          <w:rFonts w:hint="eastAsia" w:ascii="宋体" w:hAnsi="宋体"/>
          <w:color w:val="0000FF"/>
          <w:highlight w:val="yellow"/>
        </w:rPr>
      </w:pPr>
      <w:r>
        <w:rPr>
          <w:rFonts w:hint="eastAsia" w:ascii="宋体" w:hAnsi="宋体"/>
          <w:highlight w:val="yellow"/>
        </w:rPr>
        <w:t>——第4部分：钯含量的测定。</w:t>
      </w:r>
      <w:r>
        <w:rPr>
          <w:rFonts w:hint="eastAsia" w:ascii="宋体" w:hAnsi="宋体"/>
          <w:szCs w:val="22"/>
          <w:highlight w:val="yellow"/>
        </w:rPr>
        <w:t>目的在于建立重量法和滴定法测定贵金属合金中钯含量的方法。</w:t>
      </w:r>
    </w:p>
    <w:p>
      <w:pPr>
        <w:ind w:firstLine="420" w:firstLineChars="200"/>
        <w:rPr>
          <w:rFonts w:hint="eastAsia" w:ascii="宋体" w:hAnsi="宋体"/>
          <w:color w:val="0000FF"/>
          <w:highlight w:val="yellow"/>
        </w:rPr>
      </w:pPr>
      <w:r>
        <w:rPr>
          <w:rFonts w:hint="eastAsia" w:ascii="宋体" w:hAnsi="宋体"/>
          <w:highlight w:val="yellow"/>
        </w:rPr>
        <w:t>——第6部分：铱含量的测定。</w:t>
      </w:r>
      <w:r>
        <w:rPr>
          <w:rFonts w:hint="eastAsia" w:ascii="宋体" w:hAnsi="宋体"/>
          <w:szCs w:val="22"/>
          <w:highlight w:val="yellow"/>
        </w:rPr>
        <w:t>目的在于建立电位滴定法测定贵金属合金中铱含量的方法。</w:t>
      </w:r>
    </w:p>
    <w:p>
      <w:pPr>
        <w:snapToGrid w:val="0"/>
        <w:ind w:firstLine="420" w:firstLineChars="200"/>
        <w:jc w:val="left"/>
        <w:rPr>
          <w:rFonts w:hint="eastAsia" w:ascii="宋体" w:hAnsi="宋体"/>
          <w:szCs w:val="22"/>
          <w:highlight w:val="yellow"/>
        </w:rPr>
      </w:pPr>
      <w:r>
        <w:rPr>
          <w:rFonts w:hint="eastAsia" w:ascii="宋体" w:hAnsi="宋体"/>
          <w:highlight w:val="yellow"/>
        </w:rPr>
        <w:t>——第7部分：多元素</w:t>
      </w:r>
      <w:r>
        <w:rPr>
          <w:rFonts w:ascii="宋体" w:hAnsi="宋体"/>
          <w:highlight w:val="yellow"/>
        </w:rPr>
        <w:t>含量的测定</w:t>
      </w:r>
      <w:r>
        <w:rPr>
          <w:rFonts w:hint="eastAsia" w:ascii="宋体" w:hAnsi="宋体"/>
          <w:highlight w:val="yellow"/>
        </w:rPr>
        <w:t>。</w:t>
      </w:r>
      <w:r>
        <w:rPr>
          <w:rFonts w:hint="eastAsia" w:ascii="宋体" w:hAnsi="宋体"/>
          <w:szCs w:val="22"/>
          <w:highlight w:val="yellow"/>
        </w:rPr>
        <w:t>电感耦合等离子体原子发射光谱法测定贵金属合金中多元素含量的测定方法。</w:t>
      </w:r>
    </w:p>
    <w:p>
      <w:pPr>
        <w:ind w:firstLine="420" w:firstLineChars="200"/>
        <w:rPr>
          <w:rFonts w:hint="eastAsia" w:ascii="宋体" w:hAnsi="宋体"/>
          <w:color w:val="0000FF"/>
          <w:highlight w:val="yellow"/>
        </w:rPr>
      </w:pPr>
      <w:r>
        <w:rPr>
          <w:rFonts w:hint="eastAsia" w:ascii="宋体" w:hAnsi="宋体"/>
          <w:highlight w:val="yellow"/>
        </w:rPr>
        <w:t>——第</w:t>
      </w:r>
      <w:r>
        <w:rPr>
          <w:rFonts w:ascii="宋体" w:hAnsi="宋体"/>
          <w:highlight w:val="yellow"/>
        </w:rPr>
        <w:t>8</w:t>
      </w:r>
      <w:r>
        <w:rPr>
          <w:rFonts w:hint="eastAsia" w:ascii="宋体" w:hAnsi="宋体"/>
          <w:highlight w:val="yellow"/>
        </w:rPr>
        <w:t>部分：铜含量的测定。</w:t>
      </w:r>
      <w:r>
        <w:rPr>
          <w:rFonts w:hint="eastAsia" w:ascii="宋体" w:hAnsi="宋体"/>
          <w:szCs w:val="22"/>
          <w:highlight w:val="yellow"/>
        </w:rPr>
        <w:t>目的在于建立滴定法测定贵金属合金中铜含量的方法。</w:t>
      </w:r>
    </w:p>
    <w:p>
      <w:pPr>
        <w:ind w:firstLine="420" w:firstLineChars="200"/>
        <w:rPr>
          <w:rFonts w:hint="eastAsia" w:ascii="宋体" w:hAnsi="宋体"/>
          <w:color w:val="0000FF"/>
          <w:highlight w:val="yellow"/>
        </w:rPr>
      </w:pPr>
      <w:r>
        <w:rPr>
          <w:rFonts w:hint="eastAsia" w:ascii="宋体" w:hAnsi="宋体"/>
          <w:highlight w:val="yellow"/>
        </w:rPr>
        <w:t>——第</w:t>
      </w:r>
      <w:r>
        <w:rPr>
          <w:rFonts w:ascii="宋体" w:hAnsi="宋体"/>
          <w:highlight w:val="yellow"/>
        </w:rPr>
        <w:t>9</w:t>
      </w:r>
      <w:r>
        <w:rPr>
          <w:rFonts w:hint="eastAsia" w:ascii="宋体" w:hAnsi="宋体"/>
          <w:highlight w:val="yellow"/>
        </w:rPr>
        <w:t>部分：铟、锆含量的测定。</w:t>
      </w:r>
      <w:r>
        <w:rPr>
          <w:rFonts w:hint="eastAsia" w:ascii="宋体" w:hAnsi="宋体"/>
          <w:szCs w:val="22"/>
          <w:highlight w:val="yellow"/>
        </w:rPr>
        <w:t>目的在于建立滴定法测定贵金属合金中铟、锆含量的方法。</w:t>
      </w:r>
    </w:p>
    <w:p>
      <w:pPr>
        <w:ind w:firstLine="420" w:firstLineChars="200"/>
        <w:rPr>
          <w:rFonts w:hint="eastAsia" w:ascii="宋体" w:hAnsi="宋体"/>
          <w:color w:val="0000FF"/>
          <w:highlight w:val="yellow"/>
        </w:rPr>
      </w:pPr>
      <w:r>
        <w:rPr>
          <w:rFonts w:hint="eastAsia" w:ascii="宋体" w:hAnsi="宋体"/>
          <w:highlight w:val="yellow"/>
        </w:rPr>
        <w:t>——第1</w:t>
      </w:r>
      <w:r>
        <w:rPr>
          <w:rFonts w:ascii="宋体" w:hAnsi="宋体"/>
          <w:highlight w:val="yellow"/>
        </w:rPr>
        <w:t>0</w:t>
      </w:r>
      <w:r>
        <w:rPr>
          <w:rFonts w:hint="eastAsia" w:ascii="宋体" w:hAnsi="宋体"/>
          <w:highlight w:val="yellow"/>
        </w:rPr>
        <w:t>部分：镍含量的测定。</w:t>
      </w:r>
      <w:r>
        <w:rPr>
          <w:rFonts w:hint="eastAsia" w:ascii="宋体" w:hAnsi="宋体"/>
          <w:szCs w:val="22"/>
          <w:highlight w:val="yellow"/>
        </w:rPr>
        <w:t>目的在于建立滴定法和重量法测定贵金属合金中铟、锆含量的方法。</w:t>
      </w:r>
    </w:p>
    <w:p>
      <w:pPr>
        <w:ind w:firstLine="420" w:firstLineChars="200"/>
        <w:rPr>
          <w:rFonts w:hint="eastAsia" w:ascii="宋体" w:hAnsi="宋体"/>
          <w:color w:val="0000FF"/>
          <w:highlight w:val="yellow"/>
        </w:rPr>
      </w:pPr>
      <w:r>
        <w:rPr>
          <w:rFonts w:hint="eastAsia" w:ascii="宋体" w:hAnsi="宋体"/>
          <w:highlight w:val="yellow"/>
        </w:rPr>
        <w:t>——第12部分：钒、铼、钆、钇含量的测定。</w:t>
      </w:r>
      <w:r>
        <w:rPr>
          <w:rFonts w:hint="eastAsia" w:ascii="宋体" w:hAnsi="宋体"/>
          <w:szCs w:val="22"/>
          <w:highlight w:val="yellow"/>
        </w:rPr>
        <w:t>目的在于建立分光光度法测定贵金属合金中</w:t>
      </w:r>
      <w:r>
        <w:rPr>
          <w:rFonts w:hint="eastAsia" w:ascii="宋体" w:hAnsi="宋体"/>
          <w:highlight w:val="yellow"/>
        </w:rPr>
        <w:t>钒、铼、钆、钇</w:t>
      </w:r>
      <w:r>
        <w:rPr>
          <w:rFonts w:hint="eastAsia" w:ascii="宋体" w:hAnsi="宋体"/>
          <w:szCs w:val="22"/>
          <w:highlight w:val="yellow"/>
        </w:rPr>
        <w:t>含量的方法。</w:t>
      </w:r>
    </w:p>
    <w:p>
      <w:pPr>
        <w:ind w:firstLine="420" w:firstLineChars="200"/>
        <w:rPr>
          <w:rFonts w:hint="eastAsia" w:ascii="宋体" w:hAnsi="宋体"/>
          <w:highlight w:val="yellow"/>
        </w:rPr>
      </w:pPr>
      <w:r>
        <w:rPr>
          <w:rFonts w:hint="eastAsia" w:ascii="宋体" w:hAnsi="宋体"/>
          <w:highlight w:val="yellow"/>
        </w:rPr>
        <w:t>——第17部分：钨含量的测定。</w:t>
      </w:r>
      <w:r>
        <w:rPr>
          <w:rFonts w:hint="eastAsia" w:ascii="宋体" w:hAnsi="宋体"/>
          <w:szCs w:val="22"/>
          <w:highlight w:val="yellow"/>
        </w:rPr>
        <w:t>目的在于建立重量法测定贵金属合金中钨含量的方法。</w:t>
      </w:r>
    </w:p>
    <w:p>
      <w:pPr>
        <w:ind w:firstLine="420" w:firstLineChars="200"/>
        <w:rPr>
          <w:rFonts w:hint="eastAsia" w:ascii="宋体" w:hAnsi="宋体"/>
          <w:color w:val="0000FF"/>
          <w:highlight w:val="yellow"/>
        </w:rPr>
      </w:pPr>
      <w:r>
        <w:rPr>
          <w:rFonts w:hint="eastAsia" w:ascii="宋体" w:hAnsi="宋体"/>
          <w:highlight w:val="yellow"/>
        </w:rPr>
        <w:t>——第20部分：铑含量的测定。</w:t>
      </w:r>
      <w:r>
        <w:rPr>
          <w:rFonts w:hint="eastAsia" w:ascii="宋体" w:hAnsi="宋体"/>
          <w:szCs w:val="22"/>
          <w:highlight w:val="yellow"/>
        </w:rPr>
        <w:t>目的在于建立分光光度法和重量法测定贵金属合金中铑含量的方法。</w:t>
      </w:r>
    </w:p>
    <w:p>
      <w:pPr>
        <w:snapToGrid w:val="0"/>
        <w:ind w:firstLine="420" w:firstLineChars="200"/>
        <w:jc w:val="left"/>
        <w:rPr>
          <w:rFonts w:ascii="宋体" w:hAnsi="宋体"/>
          <w:szCs w:val="22"/>
          <w:highlight w:val="yellow"/>
        </w:rPr>
      </w:pPr>
      <w:r>
        <w:rPr>
          <w:rFonts w:hint="eastAsia" w:ascii="宋体" w:hAnsi="宋体"/>
          <w:highlight w:val="yellow"/>
        </w:rPr>
        <w:t>——第21部分：钌含量的测定。</w:t>
      </w:r>
      <w:r>
        <w:rPr>
          <w:rFonts w:hint="eastAsia" w:ascii="宋体" w:hAnsi="宋体"/>
          <w:szCs w:val="22"/>
          <w:highlight w:val="yellow"/>
        </w:rPr>
        <w:t>目的在于建立分光光度法和电感耦合等离子体原子发射光谱法测定贵金属合金中铑含量的方法。</w:t>
      </w:r>
    </w:p>
    <w:p>
      <w:pPr>
        <w:ind w:firstLine="420" w:firstLineChars="200"/>
        <w:rPr>
          <w:rFonts w:hint="eastAsia" w:ascii="宋体" w:hAnsi="宋体"/>
          <w:color w:val="0000FF"/>
          <w:highlight w:val="yellow"/>
        </w:rPr>
      </w:pPr>
      <w:r>
        <w:rPr>
          <w:rFonts w:hint="eastAsia" w:ascii="宋体" w:hAnsi="宋体"/>
          <w:highlight w:val="yellow"/>
        </w:rPr>
        <w:t>——第22部分：锰含量的测定。</w:t>
      </w:r>
      <w:r>
        <w:rPr>
          <w:rFonts w:hint="eastAsia" w:ascii="宋体" w:hAnsi="宋体"/>
          <w:szCs w:val="22"/>
          <w:highlight w:val="yellow"/>
        </w:rPr>
        <w:t>目的在于建立滴定法测定贵金属合金中锰含量的方法。</w:t>
      </w:r>
    </w:p>
    <w:p>
      <w:pPr>
        <w:ind w:firstLine="420" w:firstLineChars="200"/>
        <w:rPr>
          <w:rFonts w:hint="eastAsia" w:ascii="宋体" w:hAnsi="宋体"/>
          <w:color w:val="0000FF"/>
          <w:highlight w:val="yellow"/>
        </w:rPr>
      </w:pPr>
      <w:r>
        <w:rPr>
          <w:rFonts w:hint="eastAsia" w:ascii="宋体" w:hAnsi="宋体"/>
          <w:highlight w:val="yellow"/>
        </w:rPr>
        <w:t>——第23部分：钴含量的测定。</w:t>
      </w:r>
      <w:r>
        <w:rPr>
          <w:rFonts w:hint="eastAsia" w:ascii="宋体" w:hAnsi="宋体"/>
          <w:szCs w:val="22"/>
          <w:highlight w:val="yellow"/>
        </w:rPr>
        <w:t>目的在于建立滴定法测定贵金属合金中钴含量的方法。</w:t>
      </w:r>
    </w:p>
    <w:p>
      <w:pPr>
        <w:ind w:firstLine="420" w:firstLineChars="200"/>
        <w:rPr>
          <w:rFonts w:hint="eastAsia" w:ascii="宋体" w:hAnsi="宋体"/>
          <w:color w:val="0000FF"/>
          <w:highlight w:val="yellow"/>
        </w:rPr>
      </w:pPr>
      <w:r>
        <w:rPr>
          <w:rFonts w:hint="eastAsia" w:ascii="宋体" w:hAnsi="宋体"/>
          <w:highlight w:val="yellow"/>
        </w:rPr>
        <w:t>——第24部分：锡含量的测定。</w:t>
      </w:r>
      <w:r>
        <w:rPr>
          <w:rFonts w:hint="eastAsia" w:ascii="宋体" w:hAnsi="宋体"/>
          <w:szCs w:val="22"/>
          <w:highlight w:val="yellow"/>
        </w:rPr>
        <w:t>目的在于建立滴定法测定贵金属合金中锡含量的方法。</w:t>
      </w:r>
    </w:p>
    <w:p>
      <w:pPr>
        <w:ind w:firstLine="420" w:firstLineChars="200"/>
        <w:rPr>
          <w:rFonts w:hint="eastAsia" w:ascii="宋体" w:hAnsi="宋体"/>
          <w:highlight w:val="yellow"/>
        </w:rPr>
      </w:pPr>
      <w:r>
        <w:rPr>
          <w:rFonts w:hint="eastAsia" w:ascii="宋体" w:hAnsi="宋体"/>
          <w:highlight w:val="yellow"/>
        </w:rPr>
        <w:t>——第25部分：铜、锰、锑、镍含量的测定。</w:t>
      </w:r>
      <w:r>
        <w:rPr>
          <w:rFonts w:hint="eastAsia" w:ascii="宋体" w:hAnsi="宋体"/>
          <w:szCs w:val="22"/>
          <w:highlight w:val="yellow"/>
        </w:rPr>
        <w:t>目的在于建立</w:t>
      </w:r>
      <w:r>
        <w:rPr>
          <w:rFonts w:hint="eastAsia" w:ascii="宋体" w:hAnsi="宋体"/>
          <w:highlight w:val="yellow"/>
        </w:rPr>
        <w:t>原</w:t>
      </w:r>
      <w:r>
        <w:rPr>
          <w:rFonts w:ascii="宋体" w:hAnsi="宋体"/>
          <w:highlight w:val="yellow"/>
        </w:rPr>
        <w:t>子吸收光谱法</w:t>
      </w:r>
      <w:r>
        <w:rPr>
          <w:rFonts w:hint="eastAsia" w:ascii="宋体" w:hAnsi="宋体"/>
          <w:szCs w:val="22"/>
          <w:highlight w:val="yellow"/>
        </w:rPr>
        <w:t>测定贵金属合金中</w:t>
      </w:r>
      <w:r>
        <w:rPr>
          <w:rFonts w:hint="eastAsia" w:ascii="宋体" w:hAnsi="宋体"/>
          <w:highlight w:val="yellow"/>
        </w:rPr>
        <w:t>铜、锰、锑、镍含量</w:t>
      </w:r>
      <w:r>
        <w:rPr>
          <w:rFonts w:hint="eastAsia" w:ascii="宋体" w:hAnsi="宋体"/>
          <w:szCs w:val="22"/>
          <w:highlight w:val="yellow"/>
        </w:rPr>
        <w:t>的方法。</w:t>
      </w:r>
    </w:p>
    <w:p>
      <w:pPr>
        <w:snapToGrid w:val="0"/>
        <w:ind w:firstLine="420" w:firstLineChars="200"/>
        <w:jc w:val="left"/>
        <w:rPr>
          <w:rFonts w:hint="eastAsia" w:ascii="宋体" w:hAnsi="宋体"/>
          <w:szCs w:val="22"/>
        </w:rPr>
      </w:pPr>
      <w:r>
        <w:rPr>
          <w:rFonts w:hint="eastAsia" w:ascii="宋体" w:hAnsi="宋体"/>
          <w:szCs w:val="22"/>
        </w:rPr>
        <w:t>自1978年以来，先后发布了2个版本的 GB/T 15072。 GB/T 15072.</w:t>
      </w:r>
      <w:r>
        <w:rPr>
          <w:rFonts w:ascii="宋体" w:hAnsi="宋体"/>
          <w:szCs w:val="22"/>
        </w:rPr>
        <w:t>3</w:t>
      </w:r>
      <w:r>
        <w:rPr>
          <w:rFonts w:hint="eastAsia" w:ascii="宋体" w:hAnsi="宋体"/>
          <w:szCs w:val="22"/>
        </w:rPr>
        <w:t>-2008发布实施已十余年，测定范围已不能完全覆盖产品标准要求。鉴于此，确有必要对 GB/T 15072.</w:t>
      </w:r>
      <w:r>
        <w:rPr>
          <w:rFonts w:ascii="宋体" w:hAnsi="宋体"/>
          <w:szCs w:val="22"/>
        </w:rPr>
        <w:t>3</w:t>
      </w:r>
      <w:r>
        <w:rPr>
          <w:rFonts w:hint="eastAsia" w:ascii="宋体" w:hAnsi="宋体"/>
          <w:szCs w:val="22"/>
        </w:rPr>
        <w:t>-2008进行修订，确保标准适应行业变化和市场需求。</w:t>
      </w:r>
    </w:p>
    <w:p>
      <w:pPr>
        <w:snapToGrid w:val="0"/>
        <w:ind w:firstLine="420" w:firstLineChars="200"/>
        <w:jc w:val="left"/>
        <w:rPr>
          <w:rFonts w:hint="eastAsia" w:ascii="宋体" w:hAnsi="宋体"/>
          <w:szCs w:val="22"/>
        </w:rPr>
      </w:pPr>
      <w:r>
        <w:rPr>
          <w:rFonts w:hint="eastAsia" w:ascii="宋体" w:hAnsi="宋体"/>
          <w:szCs w:val="22"/>
        </w:rPr>
        <w:t>本文件进一步提高了标准的适用性，测定范围完全覆盖产品标准要求，满足了市场需求。在提升贵金属合金产品质量，促进其生产、贸易及扩大应用需求方面具有重要意义。</w:t>
      </w:r>
    </w:p>
    <w:p>
      <w:pPr>
        <w:ind w:firstLine="420" w:firstLineChars="200"/>
        <w:rPr>
          <w:rFonts w:hint="eastAsia"/>
        </w:rPr>
      </w:pPr>
    </w:p>
    <w:p>
      <w:pPr>
        <w:pStyle w:val="23"/>
        <w:ind w:firstLine="420"/>
        <w:rPr>
          <w:rFonts w:hint="eastAsia" w:hAnsi="宋体"/>
          <w:sz w:val="24"/>
        </w:rPr>
        <w:sectPr>
          <w:headerReference r:id="rId8" w:type="default"/>
          <w:footerReference r:id="rId10" w:type="default"/>
          <w:headerReference r:id="rId9" w:type="even"/>
          <w:footerReference r:id="rId11" w:type="even"/>
          <w:pgSz w:w="11907" w:h="16839"/>
          <w:pgMar w:top="1418" w:right="1134" w:bottom="1134" w:left="1418" w:header="1418" w:footer="851" w:gutter="0"/>
          <w:pgBorders>
            <w:top w:val="none" w:sz="0" w:space="0"/>
            <w:left w:val="none" w:sz="0" w:space="0"/>
            <w:bottom w:val="none" w:sz="0" w:space="0"/>
            <w:right w:val="none" w:sz="0" w:space="0"/>
          </w:pgBorders>
          <w:pgNumType w:fmt="upperRoman" w:start="1"/>
          <w:cols w:space="720" w:num="1"/>
          <w:docGrid w:type="lines" w:linePitch="312" w:charSpace="0"/>
        </w:sectPr>
      </w:pPr>
      <w:r>
        <w:rPr>
          <w:rFonts w:hint="eastAsia"/>
        </w:rPr>
        <w:tab/>
      </w:r>
    </w:p>
    <w:p>
      <w:pPr>
        <w:snapToGrid w:val="0"/>
        <w:jc w:val="center"/>
        <w:rPr>
          <w:rFonts w:hint="eastAsia" w:ascii="黑体" w:eastAsia="黑体"/>
          <w:sz w:val="32"/>
        </w:rPr>
      </w:pPr>
      <w:r>
        <w:rPr>
          <w:rFonts w:hint="eastAsia" w:ascii="黑体" w:eastAsia="黑体"/>
          <w:sz w:val="32"/>
        </w:rPr>
        <w:t>贵金属合金化学分析方法</w:t>
      </w:r>
    </w:p>
    <w:p>
      <w:pPr>
        <w:snapToGrid w:val="0"/>
        <w:jc w:val="center"/>
        <w:rPr>
          <w:rFonts w:hint="eastAsia" w:ascii="黑体" w:eastAsia="黑体"/>
          <w:sz w:val="32"/>
        </w:rPr>
      </w:pPr>
      <w:r>
        <w:rPr>
          <w:rFonts w:hint="eastAsia" w:ascii="黑体" w:eastAsia="黑体"/>
          <w:sz w:val="32"/>
        </w:rPr>
        <w:t>第3部分：铂含量的测定</w:t>
      </w:r>
    </w:p>
    <w:p>
      <w:pPr>
        <w:snapToGrid w:val="0"/>
        <w:jc w:val="center"/>
        <w:rPr>
          <w:rFonts w:hint="eastAsia" w:ascii="黑体" w:eastAsia="黑体"/>
          <w:sz w:val="32"/>
        </w:rPr>
      </w:pPr>
    </w:p>
    <w:bookmarkEnd w:id="2"/>
    <w:p>
      <w:pPr>
        <w:snapToGrid w:val="0"/>
        <w:spacing w:line="360" w:lineRule="atLeast"/>
        <w:ind w:firstLine="420" w:firstLineChars="200"/>
        <w:rPr>
          <w:rFonts w:hint="eastAsia" w:ascii="黑体" w:eastAsia="黑体"/>
          <w:szCs w:val="21"/>
        </w:rPr>
      </w:pPr>
      <w:bookmarkStart w:id="12" w:name="SectionMark4"/>
      <w:r>
        <w:rPr>
          <w:rFonts w:hint="eastAsia" w:ascii="黑体" w:eastAsia="黑体"/>
          <w:szCs w:val="21"/>
        </w:rPr>
        <w:t>警示</w:t>
      </w:r>
      <w:r>
        <w:rPr>
          <w:rFonts w:eastAsia="黑体"/>
          <w:kern w:val="0"/>
          <w:szCs w:val="21"/>
        </w:rPr>
        <w:t>——</w:t>
      </w:r>
      <w:r>
        <w:rPr>
          <w:rFonts w:hint="eastAsia" w:ascii="黑体" w:eastAsia="黑体"/>
          <w:szCs w:val="21"/>
        </w:rPr>
        <w:t>使用本文件的人员应有正规实验室工作的实践经验。本部分并未指出所有可能的安全问题。使用者有责任采取适当的安全和健康措施，并保证符合国家有关法规规定的条件。</w:t>
      </w:r>
    </w:p>
    <w:p>
      <w:pPr>
        <w:snapToGrid w:val="0"/>
        <w:spacing w:before="312" w:beforeLines="100" w:after="312" w:afterLines="100"/>
        <w:rPr>
          <w:rFonts w:hint="eastAsia" w:ascii="黑体" w:eastAsia="黑体"/>
        </w:rPr>
      </w:pPr>
      <w:r>
        <w:rPr>
          <w:rFonts w:hint="eastAsia" w:ascii="黑体" w:eastAsia="黑体"/>
        </w:rPr>
        <w:t>1  范围</w:t>
      </w:r>
    </w:p>
    <w:p>
      <w:pPr>
        <w:pStyle w:val="23"/>
        <w:ind w:firstLine="420"/>
        <w:jc w:val="left"/>
        <w:rPr>
          <w:rFonts w:hint="eastAsia"/>
        </w:rPr>
      </w:pPr>
      <w:r>
        <w:rPr>
          <w:rFonts w:hint="eastAsia"/>
        </w:rPr>
        <w:t>本文件描述了通过高锰酸钾电位滴定法测定贵金属合金中铂含量的测定方法。</w:t>
      </w:r>
    </w:p>
    <w:p>
      <w:pPr>
        <w:pStyle w:val="23"/>
        <w:ind w:firstLine="420"/>
        <w:jc w:val="left"/>
        <w:rPr>
          <w:rFonts w:hint="eastAsia"/>
        </w:rPr>
      </w:pPr>
      <w:r>
        <w:rPr>
          <w:rFonts w:hint="eastAsia"/>
        </w:rPr>
        <w:t>本文件适用于贵金属合金中铂含量的测定。测定范围</w:t>
      </w:r>
      <w:r>
        <w:rPr>
          <w:rFonts w:hint="eastAsia" w:hAnsi="宋体" w:cs="宋体"/>
          <w:bCs/>
        </w:rPr>
        <w:t>（质量分数）</w:t>
      </w:r>
      <w:r>
        <w:rPr>
          <w:rFonts w:hint="eastAsia"/>
        </w:rPr>
        <w:t>：5.00%～95.00%。</w:t>
      </w:r>
    </w:p>
    <w:p>
      <w:pPr>
        <w:snapToGrid w:val="0"/>
        <w:spacing w:before="312" w:beforeLines="100" w:after="312" w:afterLines="100"/>
        <w:rPr>
          <w:rFonts w:eastAsia="黑体"/>
        </w:rPr>
      </w:pPr>
      <w:r>
        <w:rPr>
          <w:rFonts w:eastAsia="黑体"/>
        </w:rPr>
        <w:t>2  规范性引用文件</w:t>
      </w:r>
    </w:p>
    <w:p>
      <w:pPr>
        <w:ind w:firstLine="420" w:firstLineChars="200"/>
      </w:pPr>
      <w:r>
        <w:t>下列文件中的内容通过文中的规范性引用而构成本文件必不可少的条款。其中，注日期的引用文件，仅该日期对应的版本适用于本文件。不注日期的引用文件，其最新版本（包括所有的修改单）适用于本文件。</w:t>
      </w:r>
    </w:p>
    <w:p>
      <w:pPr>
        <w:snapToGrid w:val="0"/>
        <w:ind w:firstLine="420" w:firstLineChars="200"/>
        <w:rPr>
          <w:rFonts w:hint="eastAsia" w:ascii="宋体" w:hAnsi="宋体"/>
        </w:rPr>
      </w:pPr>
      <w:r>
        <w:rPr>
          <w:rFonts w:hint="eastAsia" w:ascii="宋体" w:hAnsi="宋体"/>
        </w:rPr>
        <w:t>G</w:t>
      </w:r>
      <w:r>
        <w:rPr>
          <w:rFonts w:ascii="宋体" w:hAnsi="宋体"/>
        </w:rPr>
        <w:t>B/T</w:t>
      </w:r>
      <w:r>
        <w:rPr>
          <w:rFonts w:hint="eastAsia" w:ascii="宋体" w:hAnsi="宋体"/>
        </w:rPr>
        <w:t xml:space="preserve"> </w:t>
      </w:r>
      <w:r>
        <w:rPr>
          <w:rFonts w:ascii="宋体" w:hAnsi="宋体"/>
        </w:rPr>
        <w:t>81</w:t>
      </w:r>
      <w:r>
        <w:rPr>
          <w:rFonts w:hint="eastAsia" w:ascii="宋体" w:hAnsi="宋体"/>
        </w:rPr>
        <w:t>7</w:t>
      </w:r>
      <w:r>
        <w:rPr>
          <w:rFonts w:ascii="宋体" w:hAnsi="宋体"/>
        </w:rPr>
        <w:t>0 数值修约规则与极限数值的表示和判定</w:t>
      </w:r>
      <w:r>
        <w:rPr>
          <w:rFonts w:hint="eastAsia" w:ascii="宋体" w:hAnsi="宋体"/>
        </w:rPr>
        <w:t>。</w:t>
      </w:r>
    </w:p>
    <w:p>
      <w:pPr>
        <w:snapToGrid w:val="0"/>
        <w:spacing w:before="312" w:beforeLines="100" w:after="312" w:afterLines="100"/>
        <w:rPr>
          <w:rFonts w:eastAsia="黑体"/>
        </w:rPr>
      </w:pPr>
      <w:r>
        <w:rPr>
          <w:rFonts w:eastAsia="黑体"/>
        </w:rPr>
        <w:t>3  术语和定义</w:t>
      </w:r>
    </w:p>
    <w:p>
      <w:r>
        <w:t xml:space="preserve">    </w:t>
      </w:r>
      <w:r>
        <w:rPr>
          <w:szCs w:val="21"/>
        </w:rPr>
        <w:t>本文件没有需要界定的术语和定义。</w:t>
      </w:r>
    </w:p>
    <w:p>
      <w:pPr>
        <w:snapToGrid w:val="0"/>
        <w:spacing w:before="312" w:beforeLines="100" w:after="312" w:afterLines="100"/>
        <w:rPr>
          <w:rFonts w:hint="eastAsia" w:ascii="黑体" w:eastAsia="黑体"/>
        </w:rPr>
      </w:pPr>
      <w:r>
        <w:rPr>
          <w:rFonts w:hint="eastAsia" w:ascii="黑体" w:eastAsia="黑体"/>
        </w:rPr>
        <w:t>4  原理</w:t>
      </w:r>
    </w:p>
    <w:p>
      <w:pPr>
        <w:pStyle w:val="23"/>
        <w:ind w:firstLine="420"/>
        <w:jc w:val="left"/>
        <w:rPr>
          <w:rFonts w:hint="eastAsia"/>
        </w:rPr>
      </w:pPr>
      <w:r>
        <w:t>试料置于聚四氟乙烯消化罐中</w:t>
      </w:r>
      <w:r>
        <w:rPr>
          <w:rFonts w:hint="eastAsia"/>
        </w:rPr>
        <w:t>，</w:t>
      </w:r>
      <w:r>
        <w:t>加盐酸与过氧化氢</w:t>
      </w:r>
      <w:r>
        <w:rPr>
          <w:rFonts w:hint="eastAsia"/>
        </w:rPr>
        <w:t>，</w:t>
      </w:r>
      <w:r>
        <w:t>于烘箱中加热溶解。在稀盐酸溶液中用氯化亚铜将铂(IV)还原至铂(II)</w:t>
      </w:r>
      <w:r>
        <w:rPr>
          <w:rFonts w:hint="eastAsia"/>
        </w:rPr>
        <w:t>，用高锰酸钾标准滴定溶液滴定，电位法指示终点以测定铂含量。</w:t>
      </w:r>
    </w:p>
    <w:p>
      <w:pPr>
        <w:snapToGrid w:val="0"/>
        <w:spacing w:before="312" w:beforeLines="100" w:after="312" w:afterLines="100"/>
        <w:rPr>
          <w:rFonts w:hint="eastAsia" w:ascii="黑体" w:eastAsia="黑体"/>
        </w:rPr>
      </w:pPr>
      <w:r>
        <w:rPr>
          <w:rFonts w:hint="eastAsia" w:ascii="黑体" w:eastAsia="黑体"/>
        </w:rPr>
        <w:t>5  试剂</w:t>
      </w:r>
      <w:r>
        <w:rPr>
          <w:rFonts w:hint="eastAsia" w:eastAsia="黑体"/>
        </w:rPr>
        <w:t>和</w:t>
      </w:r>
      <w:r>
        <w:rPr>
          <w:rFonts w:eastAsia="黑体"/>
        </w:rPr>
        <w:t>材料</w:t>
      </w:r>
    </w:p>
    <w:p>
      <w:pPr>
        <w:ind w:firstLine="420" w:firstLineChars="200"/>
        <w:rPr>
          <w:rFonts w:hint="eastAsia" w:ascii="宋体" w:hAnsi="宋体" w:cs="宋体"/>
          <w:color w:val="auto"/>
        </w:rPr>
      </w:pPr>
      <w:bookmarkStart w:id="13" w:name="OLE_LINK9"/>
      <w:r>
        <w:rPr>
          <w:color w:val="auto"/>
          <w:szCs w:val="21"/>
        </w:rPr>
        <w:t>除非另有说明，在分析中仅</w:t>
      </w:r>
      <w:r>
        <w:rPr>
          <w:rFonts w:hint="eastAsia"/>
          <w:color w:val="auto"/>
          <w:szCs w:val="21"/>
          <w:lang w:val="en-US" w:eastAsia="zh-CN"/>
        </w:rPr>
        <w:t>使</w:t>
      </w:r>
      <w:r>
        <w:rPr>
          <w:rFonts w:hint="eastAsia"/>
          <w:color w:val="auto"/>
          <w:szCs w:val="21"/>
        </w:rPr>
        <w:t>用确认为分析纯的试剂和蒸馏水或去离子水或相当纯度的水。</w:t>
      </w:r>
    </w:p>
    <w:bookmarkEnd w:id="13"/>
    <w:p>
      <w:pPr>
        <w:pStyle w:val="23"/>
        <w:ind w:firstLine="0" w:firstLineChars="0"/>
        <w:jc w:val="left"/>
        <w:rPr>
          <w:rFonts w:hint="eastAsia"/>
        </w:rPr>
      </w:pPr>
      <w:r>
        <w:rPr>
          <w:rFonts w:hint="eastAsia" w:ascii="黑体" w:hAnsi="黑体" w:eastAsia="黑体" w:cs="黑体"/>
        </w:rPr>
        <w:t>5.1</w:t>
      </w:r>
      <w:r>
        <w:t xml:space="preserve"> </w:t>
      </w:r>
      <w:r>
        <w:rPr>
          <w:rFonts w:hint="eastAsia"/>
        </w:rPr>
        <w:t xml:space="preserve"> </w:t>
      </w:r>
      <w:r>
        <w:t>盐酸（</w:t>
      </w:r>
      <w:r>
        <w:rPr>
          <w:i/>
        </w:rPr>
        <w:t>ρ</w:t>
      </w:r>
      <w:r>
        <w:t>=1.19</w:t>
      </w:r>
      <w:r>
        <w:rPr>
          <w:rFonts w:hint="eastAsia"/>
        </w:rPr>
        <w:t xml:space="preserve"> </w:t>
      </w:r>
      <w:r>
        <w:t>g/mL）。</w:t>
      </w:r>
    </w:p>
    <w:p>
      <w:pPr>
        <w:pStyle w:val="23"/>
        <w:ind w:firstLine="0" w:firstLineChars="0"/>
        <w:jc w:val="left"/>
      </w:pPr>
      <w:r>
        <w:rPr>
          <w:rFonts w:hint="eastAsia" w:ascii="黑体" w:hAnsi="黑体" w:eastAsia="黑体" w:cs="黑体"/>
        </w:rPr>
        <w:t>5.2</w:t>
      </w:r>
      <w:r>
        <w:rPr>
          <w:rFonts w:hint="eastAsia"/>
        </w:rPr>
        <w:t xml:space="preserve">  </w:t>
      </w:r>
      <w:r>
        <w:t>过氧化氢（</w:t>
      </w:r>
      <w:r>
        <w:rPr>
          <w:rFonts w:ascii="Times New Roman"/>
          <w:i/>
        </w:rPr>
        <w:t>ρ=</w:t>
      </w:r>
      <w:r>
        <w:rPr>
          <w:rFonts w:ascii="Times New Roman"/>
        </w:rPr>
        <w:t>1.10 g/mL</w:t>
      </w:r>
      <w:r>
        <w:t>）</w:t>
      </w:r>
    </w:p>
    <w:p>
      <w:pPr>
        <w:pStyle w:val="23"/>
        <w:ind w:firstLine="0" w:firstLineChars="0"/>
        <w:jc w:val="left"/>
        <w:rPr>
          <w:rFonts w:hint="eastAsia"/>
        </w:rPr>
      </w:pPr>
      <w:r>
        <w:rPr>
          <w:rFonts w:hint="eastAsia" w:ascii="黑体" w:hAnsi="黑体" w:eastAsia="黑体" w:cs="黑体"/>
        </w:rPr>
        <w:t>5.3</w:t>
      </w:r>
      <w:r>
        <w:t xml:space="preserve">  氯化钠饱和溶液。</w:t>
      </w:r>
    </w:p>
    <w:p>
      <w:pPr>
        <w:pStyle w:val="23"/>
        <w:ind w:firstLine="0" w:firstLineChars="0"/>
        <w:jc w:val="left"/>
        <w:rPr>
          <w:rFonts w:hint="eastAsia" w:hAnsi="宋体"/>
        </w:rPr>
      </w:pPr>
      <w:r>
        <w:rPr>
          <w:rFonts w:hint="eastAsia" w:ascii="黑体" w:hAnsi="黑体" w:eastAsia="黑体" w:cs="黑体"/>
        </w:rPr>
        <w:t>5.4</w:t>
      </w:r>
      <w:r>
        <w:rPr>
          <w:rFonts w:hint="eastAsia"/>
        </w:rPr>
        <w:t xml:space="preserve">  </w:t>
      </w:r>
      <w:r>
        <w:rPr>
          <w:rFonts w:hint="eastAsia" w:hAnsi="宋体"/>
        </w:rPr>
        <w:t>氯化亚铜溶液（40 g/L）：称取4.0 g氯化亚铜，置于100 mL容量瓶中，加40 mL盐酸（5.1）并用水稀释至刻度，混匀。用时现配。</w:t>
      </w:r>
    </w:p>
    <w:p>
      <w:pPr>
        <w:pStyle w:val="23"/>
        <w:ind w:firstLine="0" w:firstLineChars="0"/>
        <w:jc w:val="left"/>
        <w:rPr>
          <w:rFonts w:hAnsi="宋体"/>
        </w:rPr>
      </w:pPr>
      <w:r>
        <w:rPr>
          <w:rFonts w:hint="eastAsia" w:ascii="黑体" w:hAnsi="黑体" w:eastAsia="黑体" w:cs="黑体"/>
        </w:rPr>
        <w:t>5.5</w:t>
      </w:r>
      <w:r>
        <w:rPr>
          <w:rFonts w:hint="eastAsia" w:hAnsi="宋体"/>
        </w:rPr>
        <w:t xml:space="preserve">  高锰酸钾标准滴定溶液[</w:t>
      </w:r>
      <w:r>
        <w:rPr>
          <w:rFonts w:hint="eastAsia" w:hAnsi="宋体"/>
          <w:i/>
        </w:rPr>
        <w:t>c 1/5</w:t>
      </w:r>
      <w:r>
        <w:rPr>
          <w:rFonts w:hint="eastAsia" w:hAnsi="宋体"/>
        </w:rPr>
        <w:t>(KMnO</w:t>
      </w:r>
      <w:r>
        <w:rPr>
          <w:rFonts w:hint="eastAsia" w:hAnsi="宋体"/>
          <w:vertAlign w:val="subscript"/>
        </w:rPr>
        <w:t>4</w:t>
      </w:r>
      <w:r>
        <w:rPr>
          <w:rFonts w:hint="eastAsia" w:hAnsi="宋体"/>
        </w:rPr>
        <w:t>)=0.0044 mol/L]按以下步骤配制和标定：</w:t>
      </w:r>
    </w:p>
    <w:p>
      <w:pPr>
        <w:pStyle w:val="23"/>
        <w:ind w:firstLine="420"/>
        <w:jc w:val="left"/>
        <w:rPr>
          <w:rFonts w:hint="eastAsia" w:hAnsi="宋体"/>
        </w:rPr>
      </w:pPr>
      <w:r>
        <w:rPr>
          <w:rFonts w:hint="eastAsia"/>
        </w:rPr>
        <w:t>a）</w:t>
      </w:r>
      <w:r>
        <w:rPr>
          <w:rFonts w:hint="eastAsia" w:hAnsi="宋体"/>
        </w:rPr>
        <w:t>配制：称取0.7 g高锰酸钾，置于5 L烧杯中，加入4 L水，加热并煮沸1.5 h，静置过夜。用三号玻璃砂芯漏斗过滤，以水稀释至5 L，混匀，贮于棕色瓶中，暗处保存。</w:t>
      </w:r>
    </w:p>
    <w:p>
      <w:pPr>
        <w:pStyle w:val="23"/>
        <w:ind w:firstLine="420"/>
        <w:jc w:val="left"/>
        <w:rPr>
          <w:rFonts w:hAnsi="宋体"/>
        </w:rPr>
      </w:pPr>
      <w:r>
        <w:rPr>
          <w:rFonts w:hAnsi="宋体"/>
        </w:rPr>
        <w:t xml:space="preserve">b) </w:t>
      </w:r>
      <w:r>
        <w:rPr>
          <w:rFonts w:hint="eastAsia" w:hAnsi="宋体"/>
        </w:rPr>
        <w:t>标定：</w:t>
      </w:r>
      <w:r>
        <w:rPr>
          <w:rFonts w:hAnsi="宋体"/>
        </w:rPr>
        <w:t>标定与试料的测定平行进行。</w:t>
      </w:r>
    </w:p>
    <w:p>
      <w:pPr>
        <w:pStyle w:val="23"/>
        <w:ind w:firstLine="420"/>
        <w:jc w:val="left"/>
        <w:rPr>
          <w:rFonts w:hint="eastAsia" w:hAnsi="宋体"/>
        </w:rPr>
      </w:pPr>
      <w:r>
        <w:rPr>
          <w:rFonts w:hint="eastAsia" w:hAnsi="宋体"/>
        </w:rPr>
        <w:t>移取10.00 mL铂标准溶液于150 mL烧杯中，加0.5 mL</w:t>
      </w:r>
      <w:r>
        <w:t>氯化钠饱和溶液（</w:t>
      </w:r>
      <w:r>
        <w:rPr>
          <w:rFonts w:hint="eastAsia"/>
        </w:rPr>
        <w:t>5</w:t>
      </w:r>
      <w:r>
        <w:t>.</w:t>
      </w:r>
      <w:r>
        <w:rPr>
          <w:rFonts w:hint="eastAsia"/>
        </w:rPr>
        <w:t>3</w:t>
      </w:r>
      <w:r>
        <w:t>）</w:t>
      </w:r>
      <w:r>
        <w:rPr>
          <w:rFonts w:hint="eastAsia" w:hAnsi="宋体"/>
        </w:rPr>
        <w:t>，低温蒸至湿盐状，加3 mL</w:t>
      </w:r>
      <w:r>
        <w:rPr>
          <w:rFonts w:hAnsi="宋体"/>
        </w:rPr>
        <w:t>盐酸（</w:t>
      </w:r>
      <w:r>
        <w:rPr>
          <w:rFonts w:hint="eastAsia" w:hAnsi="宋体"/>
        </w:rPr>
        <w:t>5</w:t>
      </w:r>
      <w:r>
        <w:rPr>
          <w:rFonts w:hAnsi="宋体"/>
        </w:rPr>
        <w:t>.</w:t>
      </w:r>
      <w:r>
        <w:rPr>
          <w:rFonts w:hint="eastAsia" w:hAnsi="宋体"/>
        </w:rPr>
        <w:t>1</w:t>
      </w:r>
      <w:r>
        <w:rPr>
          <w:rFonts w:hAnsi="宋体"/>
        </w:rPr>
        <w:t>）</w:t>
      </w:r>
      <w:r>
        <w:rPr>
          <w:rFonts w:hint="eastAsia" w:hAnsi="宋体"/>
        </w:rPr>
        <w:t>，3 mL水，低温蒸至湿盐状，取下。加入1 mL盐酸（5.1），转入100 mL高型烧杯中，加3 mL氯化亚铜溶液（5.4），冲洗高型烧杯壁，加水至约35 mL，摇匀。将高型烧杯放入预先烧开的水中，保持微沸10 min，取出。将吹气管插入高型烧杯中吹气15 min，取下，用水冲洗高型烧杯及吹气管，再重复吹气15 min，将溶液转入120 mL滴定杯中。</w:t>
      </w:r>
    </w:p>
    <w:p>
      <w:pPr>
        <w:pStyle w:val="23"/>
        <w:ind w:firstLine="420" w:firstLineChars="0"/>
        <w:jc w:val="left"/>
        <w:rPr>
          <w:rFonts w:hint="eastAsia" w:hAnsi="宋体"/>
        </w:rPr>
      </w:pPr>
      <w:r>
        <w:rPr>
          <w:rFonts w:hint="eastAsia" w:hAnsi="宋体"/>
        </w:rPr>
        <w:t>将滴定杯放在滴定转盘上，启动自动电位滴定仪，将已连接在自动电位滴定仪上的电极和滴定管插入样品溶液中，搅拌至少</w:t>
      </w:r>
      <w:r>
        <w:rPr>
          <w:rFonts w:hint="eastAsia" w:hAnsi="宋体" w:cs="宋体"/>
        </w:rPr>
        <w:t>20 s</w:t>
      </w:r>
      <w:r>
        <w:rPr>
          <w:rFonts w:hint="eastAsia" w:hAnsi="宋体"/>
        </w:rPr>
        <w:t>（设备推荐参数参见附录A）。用高锰酸钾标准滴定溶液（5.5）进行电位滴定至终点。从电位滴定曲线或dE/dV曲线确定终点。记录终点所消耗的高锰酸钾标准溶液体积</w:t>
      </w:r>
      <w:r>
        <w:rPr>
          <w:rFonts w:hint="eastAsia"/>
          <w:i/>
        </w:rPr>
        <w:t>V</w:t>
      </w:r>
      <w:r>
        <w:rPr>
          <w:rFonts w:hint="eastAsia"/>
          <w:szCs w:val="21"/>
          <w:vertAlign w:val="subscript"/>
        </w:rPr>
        <w:t>2</w:t>
      </w:r>
      <w:r>
        <w:rPr>
          <w:rFonts w:hint="eastAsia"/>
          <w:szCs w:val="21"/>
        </w:rPr>
        <w:t>。</w:t>
      </w:r>
      <w:r>
        <w:rPr>
          <w:rFonts w:hint="eastAsia" w:hAnsi="宋体"/>
        </w:rPr>
        <w:t>平行测定三份，其标定所消耗高锰酸钾标准滴定溶液（5.5）体积的极差应不超过0.05 mL，取其平均值。</w:t>
      </w:r>
    </w:p>
    <w:p>
      <w:pPr>
        <w:pStyle w:val="23"/>
        <w:ind w:firstLine="420" w:firstLineChars="0"/>
        <w:jc w:val="left"/>
        <w:rPr>
          <w:rFonts w:hint="eastAsia" w:hAnsi="宋体"/>
        </w:rPr>
      </w:pPr>
      <w:r>
        <w:rPr>
          <w:rFonts w:hint="eastAsia" w:hAnsi="宋体"/>
        </w:rPr>
        <w:t>高锰酸钾标准滴定溶液的实际浓度按公式（1）计算：</w:t>
      </w:r>
    </w:p>
    <w:p>
      <w:pPr>
        <w:pStyle w:val="23"/>
        <w:ind w:firstLine="420" w:firstLineChars="0"/>
        <w:jc w:val="left"/>
        <w:rPr>
          <w:rFonts w:hint="eastAsia" w:hAnsi="宋体"/>
        </w:rPr>
      </w:pPr>
    </w:p>
    <w:p>
      <w:pPr>
        <w:ind w:firstLine="420" w:firstLineChars="200"/>
        <w:jc w:val="right"/>
        <w:rPr>
          <w:rFonts w:ascii="宋体" w:hAnsi="宋体"/>
        </w:rPr>
      </w:pPr>
      <w:r>
        <w:rPr>
          <w:rFonts w:ascii="宋体" w:hAnsi="宋体"/>
          <w:position w:val="-30"/>
          <w:szCs w:val="21"/>
        </w:rPr>
        <w:object>
          <v:shape id="_x0000_i1025" o:spt="75" type="#_x0000_t75" style="height:37.3pt;width:89.55pt;" o:ole="t" filled="f" o:preferrelative="t" stroked="f" coordsize="21600,21600">
            <v:path/>
            <v:fill on="f" focussize="0,0"/>
            <v:stroke on="f"/>
            <v:imagedata r:id="rId20" o:title=""/>
            <o:lock v:ext="edit" aspectratio="t"/>
            <w10:wrap type="none"/>
            <w10:anchorlock/>
          </v:shape>
          <o:OLEObject Type="Embed" ProgID="Equation.3" ShapeID="_x0000_i1025" DrawAspect="Content" ObjectID="_1468075725" r:id="rId19">
            <o:LockedField>false</o:LockedField>
          </o:OLEObject>
        </w:object>
      </w:r>
      <w:r>
        <w:rPr>
          <w:rFonts w:ascii="宋体" w:hAnsi="宋体"/>
        </w:rPr>
        <w:t>………………………………………………(</w:t>
      </w:r>
      <w:r>
        <w:rPr>
          <w:rFonts w:hint="eastAsia" w:ascii="宋体" w:hAnsi="宋体"/>
        </w:rPr>
        <w:t>1</w:t>
      </w:r>
      <w:r>
        <w:rPr>
          <w:rFonts w:ascii="宋体" w:hAnsi="宋体"/>
        </w:rPr>
        <w:t>)</w:t>
      </w:r>
    </w:p>
    <w:p>
      <w:pPr>
        <w:ind w:firstLine="420" w:firstLineChars="200"/>
        <w:rPr>
          <w:rFonts w:hint="eastAsia" w:ascii="宋体"/>
          <w:kern w:val="0"/>
          <w:szCs w:val="20"/>
        </w:rPr>
      </w:pPr>
      <w:r>
        <w:rPr>
          <w:rFonts w:hint="eastAsia" w:ascii="宋体"/>
          <w:kern w:val="0"/>
          <w:szCs w:val="20"/>
        </w:rPr>
        <w:t>式中：</w:t>
      </w:r>
    </w:p>
    <w:p>
      <w:pPr>
        <w:ind w:firstLine="420" w:firstLineChars="200"/>
        <w:rPr>
          <w:rFonts w:hint="eastAsia" w:ascii="宋体"/>
          <w:kern w:val="0"/>
          <w:szCs w:val="20"/>
        </w:rPr>
      </w:pPr>
      <w:r>
        <w:rPr>
          <w:rFonts w:hint="eastAsia" w:ascii="宋体"/>
          <w:i/>
          <w:kern w:val="0"/>
          <w:szCs w:val="20"/>
        </w:rPr>
        <w:t>c</w:t>
      </w:r>
      <w:r>
        <w:rPr>
          <w:rFonts w:ascii="宋体" w:hAnsi="宋体"/>
        </w:rPr>
        <w:t>——</w:t>
      </w:r>
      <w:r>
        <w:rPr>
          <w:rFonts w:hint="eastAsia" w:ascii="宋体"/>
          <w:kern w:val="0"/>
          <w:szCs w:val="20"/>
        </w:rPr>
        <w:t>高锰酸钾标准滴定溶液的实际浓度，</w:t>
      </w:r>
      <w:r>
        <w:t>单位为摩尔每</w:t>
      </w:r>
      <w:r>
        <w:rPr>
          <w:rFonts w:hint="eastAsia"/>
        </w:rPr>
        <w:t>毫</w:t>
      </w:r>
      <w:r>
        <w:t>升（</w:t>
      </w:r>
      <w:r>
        <w:rPr>
          <w:rFonts w:ascii="宋体" w:hAnsi="宋体"/>
        </w:rPr>
        <w:t>mol/</w:t>
      </w:r>
      <w:r>
        <w:rPr>
          <w:rFonts w:hint="eastAsia" w:ascii="宋体" w:hAnsi="宋体"/>
        </w:rPr>
        <w:t>ml</w:t>
      </w:r>
      <w:r>
        <w:t>）</w:t>
      </w:r>
      <w:r>
        <w:rPr>
          <w:rFonts w:hint="eastAsia" w:ascii="宋体"/>
          <w:kern w:val="0"/>
          <w:szCs w:val="20"/>
        </w:rPr>
        <w:t>；</w:t>
      </w:r>
    </w:p>
    <w:p>
      <w:pPr>
        <w:ind w:firstLine="420" w:firstLineChars="200"/>
        <w:rPr>
          <w:rFonts w:hint="eastAsia" w:ascii="宋体"/>
          <w:kern w:val="0"/>
          <w:szCs w:val="20"/>
        </w:rPr>
      </w:pPr>
      <w:r>
        <w:rPr>
          <w:rFonts w:hint="eastAsia" w:ascii="宋体"/>
          <w:i/>
          <w:kern w:val="0"/>
          <w:szCs w:val="20"/>
        </w:rPr>
        <w:t>c</w:t>
      </w:r>
      <w:r>
        <w:rPr>
          <w:rFonts w:hint="eastAsia" w:ascii="宋体"/>
          <w:kern w:val="0"/>
          <w:szCs w:val="21"/>
          <w:vertAlign w:val="subscript"/>
        </w:rPr>
        <w:t>0</w:t>
      </w:r>
      <w:r>
        <w:rPr>
          <w:rFonts w:ascii="宋体" w:hAnsi="宋体"/>
        </w:rPr>
        <w:t>——</w:t>
      </w:r>
      <w:r>
        <w:rPr>
          <w:rFonts w:hint="eastAsia" w:ascii="宋体"/>
          <w:kern w:val="0"/>
          <w:szCs w:val="20"/>
        </w:rPr>
        <w:t>铂标准溶液的浓度，</w:t>
      </w:r>
      <w:r>
        <w:t>单位为毫克每</w:t>
      </w:r>
      <w:r>
        <w:rPr>
          <w:rFonts w:ascii="宋体" w:hAnsi="宋体"/>
        </w:rPr>
        <w:t>毫升（mg/mL）</w:t>
      </w:r>
      <w:r>
        <w:rPr>
          <w:rFonts w:hint="eastAsia" w:ascii="宋体"/>
          <w:kern w:val="0"/>
          <w:szCs w:val="20"/>
        </w:rPr>
        <w:t>；</w:t>
      </w:r>
    </w:p>
    <w:p>
      <w:pPr>
        <w:ind w:firstLine="420" w:firstLineChars="200"/>
        <w:rPr>
          <w:rFonts w:hint="eastAsia" w:ascii="宋体"/>
          <w:kern w:val="0"/>
          <w:szCs w:val="20"/>
        </w:rPr>
      </w:pPr>
      <w:r>
        <w:rPr>
          <w:rFonts w:hint="eastAsia" w:ascii="宋体"/>
          <w:i/>
          <w:kern w:val="0"/>
          <w:szCs w:val="20"/>
        </w:rPr>
        <w:t>V</w:t>
      </w:r>
      <w:r>
        <w:rPr>
          <w:rFonts w:hint="eastAsia" w:ascii="宋体"/>
          <w:kern w:val="0"/>
          <w:szCs w:val="21"/>
          <w:vertAlign w:val="subscript"/>
        </w:rPr>
        <w:t>1</w:t>
      </w:r>
      <w:r>
        <w:rPr>
          <w:rFonts w:ascii="宋体" w:hAnsi="宋体"/>
        </w:rPr>
        <w:t>——</w:t>
      </w:r>
      <w:r>
        <w:rPr>
          <w:rFonts w:hint="eastAsia" w:ascii="宋体"/>
          <w:kern w:val="0"/>
          <w:szCs w:val="20"/>
        </w:rPr>
        <w:t>移取铂标准溶液的体积，</w:t>
      </w:r>
      <w:r>
        <w:t>单位为毫</w:t>
      </w:r>
      <w:r>
        <w:rPr>
          <w:rFonts w:ascii="宋体" w:hAnsi="宋体"/>
        </w:rPr>
        <w:t>升（mL）</w:t>
      </w:r>
      <w:r>
        <w:rPr>
          <w:rFonts w:hint="eastAsia" w:ascii="宋体"/>
          <w:kern w:val="0"/>
          <w:szCs w:val="20"/>
        </w:rPr>
        <w:t>；</w:t>
      </w:r>
    </w:p>
    <w:p>
      <w:pPr>
        <w:ind w:firstLine="420" w:firstLineChars="200"/>
        <w:rPr>
          <w:rFonts w:hint="eastAsia" w:ascii="宋体"/>
          <w:kern w:val="0"/>
          <w:szCs w:val="20"/>
        </w:rPr>
      </w:pPr>
      <w:r>
        <w:rPr>
          <w:rFonts w:hint="eastAsia" w:ascii="宋体"/>
          <w:kern w:val="0"/>
          <w:szCs w:val="20"/>
        </w:rPr>
        <w:t>195.08</w:t>
      </w:r>
      <w:r>
        <w:rPr>
          <w:rFonts w:ascii="宋体" w:hAnsi="宋体"/>
        </w:rPr>
        <w:t>——</w:t>
      </w:r>
      <w:r>
        <w:rPr>
          <w:rFonts w:hint="eastAsia" w:ascii="宋体"/>
          <w:kern w:val="0"/>
          <w:szCs w:val="20"/>
        </w:rPr>
        <w:t>铂的摩尔质量，</w:t>
      </w:r>
      <w:r>
        <w:t>单位为克每</w:t>
      </w:r>
      <w:r>
        <w:rPr>
          <w:rFonts w:ascii="宋体" w:hAnsi="宋体"/>
        </w:rPr>
        <w:t>摩尔（g/mol）</w:t>
      </w:r>
      <w:r>
        <w:rPr>
          <w:rFonts w:hint="eastAsia" w:ascii="宋体"/>
          <w:kern w:val="0"/>
          <w:szCs w:val="20"/>
        </w:rPr>
        <w:t>；</w:t>
      </w:r>
    </w:p>
    <w:p>
      <w:pPr>
        <w:ind w:firstLine="420" w:firstLineChars="200"/>
        <w:rPr>
          <w:rFonts w:hint="eastAsia" w:ascii="宋体"/>
          <w:kern w:val="0"/>
          <w:szCs w:val="20"/>
        </w:rPr>
      </w:pPr>
      <w:r>
        <w:rPr>
          <w:rFonts w:hint="eastAsia" w:ascii="宋体"/>
          <w:i/>
          <w:kern w:val="0"/>
          <w:szCs w:val="20"/>
        </w:rPr>
        <w:t>V</w:t>
      </w:r>
      <w:r>
        <w:rPr>
          <w:rFonts w:hint="eastAsia" w:ascii="宋体"/>
          <w:kern w:val="0"/>
          <w:szCs w:val="21"/>
          <w:vertAlign w:val="subscript"/>
        </w:rPr>
        <w:t>2</w:t>
      </w:r>
      <w:r>
        <w:rPr>
          <w:rFonts w:ascii="宋体" w:hAnsi="宋体"/>
        </w:rPr>
        <w:t>——</w:t>
      </w:r>
      <w:r>
        <w:rPr>
          <w:rFonts w:hint="eastAsia" w:ascii="宋体"/>
          <w:kern w:val="0"/>
          <w:szCs w:val="20"/>
        </w:rPr>
        <w:t>标定中所消耗的高锰酸钾标准滴定溶液的体</w:t>
      </w:r>
      <w:r>
        <w:rPr>
          <w:rFonts w:hint="eastAsia" w:ascii="宋体" w:hAnsi="宋体"/>
        </w:rPr>
        <w:t>积，</w:t>
      </w:r>
      <w:r>
        <w:rPr>
          <w:rFonts w:ascii="宋体" w:hAnsi="宋体"/>
        </w:rPr>
        <w:t>单位为毫升（mL）</w:t>
      </w:r>
      <w:r>
        <w:rPr>
          <w:rFonts w:hint="eastAsia" w:ascii="宋体"/>
          <w:kern w:val="0"/>
          <w:szCs w:val="20"/>
        </w:rPr>
        <w:t>。</w:t>
      </w:r>
    </w:p>
    <w:p>
      <w:pPr>
        <w:rPr>
          <w:rFonts w:hint="eastAsia" w:ascii="宋体"/>
          <w:kern w:val="0"/>
          <w:szCs w:val="20"/>
        </w:rPr>
      </w:pPr>
      <w:r>
        <w:rPr>
          <w:rFonts w:hint="eastAsia" w:ascii="黑体" w:hAnsi="黑体" w:eastAsia="黑体" w:cs="黑体"/>
          <w:kern w:val="0"/>
          <w:szCs w:val="20"/>
        </w:rPr>
        <w:t>5.6</w:t>
      </w:r>
      <w:r>
        <w:rPr>
          <w:rFonts w:hint="eastAsia" w:hAnsi="宋体"/>
        </w:rPr>
        <w:t xml:space="preserve">  </w:t>
      </w:r>
      <w:r>
        <w:rPr>
          <w:rFonts w:hint="eastAsia" w:ascii="宋体" w:hAnsi="宋体"/>
        </w:rPr>
        <w:t>铂标准溶液：称取0.5 g金属铂（质量分数不小于99.99 %），精确至0.00001 g。于聚四氟乙烯消化罐中加20 mL盐酸（5.1）、5 mL过氧化氢（5.2），密闭，置于烘箱中于150 ℃±5 ℃</w:t>
      </w:r>
      <w:r>
        <w:rPr>
          <w:rFonts w:ascii="宋体" w:hAnsi="宋体"/>
        </w:rPr>
        <w:t>加热</w:t>
      </w:r>
      <w:r>
        <w:rPr>
          <w:rFonts w:hint="eastAsia" w:ascii="宋体" w:hAnsi="宋体"/>
        </w:rPr>
        <w:t>48 h至完全溶解，待冷却至室温，转入500 mL容量瓶中，加200 mL盐酸（5.1），以水稀释至刻度，混匀。此溶液1 mL含1 mg铂。</w:t>
      </w:r>
    </w:p>
    <w:p>
      <w:pPr>
        <w:snapToGrid w:val="0"/>
        <w:spacing w:before="312" w:beforeLines="100" w:after="312" w:afterLines="100"/>
        <w:rPr>
          <w:rFonts w:hint="eastAsia" w:ascii="黑体" w:eastAsia="黑体"/>
        </w:rPr>
      </w:pPr>
      <w:r>
        <w:rPr>
          <w:rFonts w:hint="eastAsia" w:ascii="黑体" w:eastAsia="黑体"/>
        </w:rPr>
        <w:t xml:space="preserve">6  </w:t>
      </w:r>
      <w:r>
        <w:rPr>
          <w:rFonts w:eastAsia="黑体"/>
        </w:rPr>
        <w:t>仪器</w:t>
      </w:r>
      <w:r>
        <w:rPr>
          <w:rFonts w:hint="eastAsia" w:ascii="黑体" w:eastAsia="黑体"/>
        </w:rPr>
        <w:t>设备</w:t>
      </w:r>
    </w:p>
    <w:p>
      <w:pPr>
        <w:rPr>
          <w:rFonts w:hint="eastAsia" w:ascii="宋体"/>
          <w:kern w:val="0"/>
          <w:szCs w:val="20"/>
          <w:highlight w:val="none"/>
        </w:rPr>
      </w:pPr>
      <w:r>
        <w:rPr>
          <w:rFonts w:hint="eastAsia" w:ascii="黑体" w:hAnsi="黑体" w:eastAsia="黑体" w:cs="黑体"/>
          <w:kern w:val="0"/>
          <w:szCs w:val="20"/>
          <w:highlight w:val="none"/>
        </w:rPr>
        <w:t xml:space="preserve">6.1 </w:t>
      </w:r>
      <w:r>
        <w:rPr>
          <w:rFonts w:hint="eastAsia" w:ascii="宋体"/>
          <w:kern w:val="0"/>
          <w:szCs w:val="20"/>
          <w:highlight w:val="none"/>
        </w:rPr>
        <w:t xml:space="preserve"> 天平  感量0.01 mg。</w:t>
      </w:r>
    </w:p>
    <w:p>
      <w:pPr>
        <w:pStyle w:val="54"/>
        <w:ind w:firstLine="0" w:firstLineChars="0"/>
        <w:rPr>
          <w:rFonts w:hint="eastAsia"/>
          <w:szCs w:val="21"/>
        </w:rPr>
      </w:pPr>
      <w:r>
        <w:rPr>
          <w:rFonts w:hint="eastAsia" w:ascii="黑体" w:hAnsi="黑体" w:eastAsia="黑体" w:cs="黑体"/>
          <w:kern w:val="0"/>
          <w:szCs w:val="20"/>
        </w:rPr>
        <w:t xml:space="preserve">6.2 </w:t>
      </w:r>
      <w:r>
        <w:rPr>
          <w:rFonts w:hint="eastAsia" w:ascii="宋体"/>
          <w:kern w:val="0"/>
          <w:szCs w:val="20"/>
        </w:rPr>
        <w:t xml:space="preserve"> </w:t>
      </w:r>
      <w:r>
        <w:t>滴定装置</w:t>
      </w:r>
      <w:r>
        <w:rPr>
          <w:rFonts w:hint="eastAsia"/>
        </w:rPr>
        <w:t>：</w:t>
      </w:r>
      <w:r>
        <w:t>自动电位滴定仪</w:t>
      </w:r>
      <w:r>
        <w:rPr>
          <w:rFonts w:hint="eastAsia"/>
          <w:lang w:eastAsia="zh-CN"/>
        </w:rPr>
        <w:t>。</w:t>
      </w:r>
      <w:r>
        <w:rPr>
          <w:rFonts w:hint="eastAsia"/>
          <w:szCs w:val="21"/>
        </w:rPr>
        <w:t>推荐仪器工作参数参见附录A。</w:t>
      </w:r>
    </w:p>
    <w:p>
      <w:pPr>
        <w:rPr>
          <w:rFonts w:ascii="宋体"/>
          <w:kern w:val="0"/>
          <w:szCs w:val="20"/>
        </w:rPr>
      </w:pPr>
      <w:r>
        <w:rPr>
          <w:rFonts w:hint="eastAsia" w:ascii="黑体" w:hAnsi="黑体" w:eastAsia="黑体" w:cs="黑体"/>
          <w:kern w:val="0"/>
          <w:szCs w:val="20"/>
        </w:rPr>
        <w:t>6.3</w:t>
      </w:r>
      <w:r>
        <w:rPr>
          <w:rFonts w:hint="eastAsia" w:ascii="宋体"/>
          <w:kern w:val="0"/>
          <w:szCs w:val="20"/>
        </w:rPr>
        <w:t xml:space="preserve">  聚四氟乙烯消化罐：容积30mL。</w:t>
      </w:r>
    </w:p>
    <w:p>
      <w:pPr>
        <w:rPr>
          <w:rFonts w:ascii="宋体"/>
          <w:kern w:val="0"/>
          <w:szCs w:val="20"/>
        </w:rPr>
      </w:pPr>
      <w:r>
        <w:rPr>
          <w:rFonts w:hint="eastAsia" w:ascii="黑体" w:hAnsi="黑体" w:eastAsia="黑体" w:cs="黑体"/>
          <w:kern w:val="0"/>
          <w:szCs w:val="20"/>
        </w:rPr>
        <w:t xml:space="preserve">6.4 </w:t>
      </w:r>
      <w:r>
        <w:rPr>
          <w:rFonts w:hint="eastAsia" w:ascii="宋体"/>
          <w:kern w:val="0"/>
          <w:szCs w:val="20"/>
        </w:rPr>
        <w:t xml:space="preserve"> 烘箱（温度范围：</w:t>
      </w:r>
      <w:r>
        <w:rPr>
          <w:rFonts w:hint="eastAsia" w:ascii="宋体" w:hAnsi="宋体" w:cs="宋体"/>
          <w:kern w:val="0"/>
          <w:szCs w:val="20"/>
        </w:rPr>
        <w:t xml:space="preserve">0 </w:t>
      </w:r>
      <w:r>
        <w:rPr>
          <w:rFonts w:hint="eastAsia" w:ascii="宋体" w:hAnsi="宋体" w:cs="宋体"/>
        </w:rPr>
        <w:t>℃</w:t>
      </w:r>
      <w:r>
        <w:rPr>
          <w:rFonts w:hint="eastAsia" w:ascii="宋体" w:hAnsi="宋体" w:cs="宋体"/>
          <w:kern w:val="0"/>
          <w:szCs w:val="20"/>
        </w:rPr>
        <w:t xml:space="preserve">～250 </w:t>
      </w:r>
      <w:r>
        <w:rPr>
          <w:rFonts w:hint="eastAsia" w:ascii="宋体" w:hAnsi="宋体" w:cs="宋体"/>
        </w:rPr>
        <w:t>℃</w:t>
      </w:r>
      <w:r>
        <w:rPr>
          <w:rFonts w:hint="eastAsia" w:ascii="宋体" w:hAnsi="宋体"/>
        </w:rPr>
        <w:t>）</w:t>
      </w:r>
      <w:r>
        <w:rPr>
          <w:rFonts w:hint="eastAsia" w:ascii="宋体"/>
          <w:kern w:val="0"/>
          <w:szCs w:val="20"/>
        </w:rPr>
        <w:t>。</w:t>
      </w:r>
    </w:p>
    <w:p>
      <w:pPr>
        <w:rPr>
          <w:rFonts w:hint="eastAsia" w:ascii="宋体"/>
          <w:kern w:val="0"/>
          <w:szCs w:val="20"/>
        </w:rPr>
      </w:pPr>
      <w:r>
        <w:rPr>
          <w:rFonts w:hint="eastAsia" w:ascii="黑体" w:hAnsi="黑体" w:eastAsia="黑体" w:cs="黑体"/>
          <w:kern w:val="0"/>
          <w:szCs w:val="20"/>
        </w:rPr>
        <w:t xml:space="preserve">6.5 </w:t>
      </w:r>
      <w:r>
        <w:rPr>
          <w:rFonts w:hint="eastAsia" w:ascii="宋体"/>
          <w:kern w:val="0"/>
          <w:szCs w:val="20"/>
        </w:rPr>
        <w:t xml:space="preserve"> </w:t>
      </w:r>
      <w:r>
        <w:rPr>
          <w:rFonts w:ascii="宋体"/>
          <w:kern w:val="0"/>
          <w:szCs w:val="20"/>
        </w:rPr>
        <w:t>吹气装置</w:t>
      </w:r>
      <w:r>
        <w:rPr>
          <w:rFonts w:hint="eastAsia" w:ascii="宋体"/>
          <w:kern w:val="0"/>
          <w:szCs w:val="20"/>
        </w:rPr>
        <w:t>,</w:t>
      </w:r>
      <w:r>
        <w:rPr>
          <w:rFonts w:ascii="宋体"/>
          <w:kern w:val="0"/>
          <w:szCs w:val="20"/>
        </w:rPr>
        <w:t>如图</w:t>
      </w:r>
      <w:r>
        <w:rPr>
          <w:rFonts w:hint="eastAsia" w:ascii="宋体"/>
          <w:kern w:val="0"/>
          <w:szCs w:val="20"/>
        </w:rPr>
        <w:t>1</w:t>
      </w:r>
      <w:r>
        <w:rPr>
          <w:rFonts w:ascii="宋体"/>
          <w:kern w:val="0"/>
          <w:szCs w:val="20"/>
        </w:rPr>
        <w:t>所示。</w:t>
      </w:r>
    </w:p>
    <w:p>
      <w:pPr>
        <w:jc w:val="center"/>
        <w:rPr>
          <w:rFonts w:hint="eastAsia" w:ascii="宋体"/>
          <w:kern w:val="0"/>
          <w:szCs w:val="20"/>
        </w:rPr>
      </w:pPr>
      <w:r>
        <w:rPr>
          <w:rFonts w:ascii="宋体"/>
          <w:kern w:val="0"/>
          <w:szCs w:val="20"/>
        </w:rPr>
        <w:drawing>
          <wp:inline distT="0" distB="0" distL="114300" distR="114300">
            <wp:extent cx="3573145" cy="1655445"/>
            <wp:effectExtent l="0" t="0" r="8255" b="8255"/>
            <wp:docPr id="14" name="图片 23"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3" descr="clip_image005"/>
                    <pic:cNvPicPr>
                      <a:picLocks noChangeAspect="1"/>
                    </pic:cNvPicPr>
                  </pic:nvPicPr>
                  <pic:blipFill>
                    <a:blip r:embed="rId21"/>
                    <a:srcRect l="2759" t="1230" r="8008" b="1639"/>
                    <a:stretch>
                      <a:fillRect/>
                    </a:stretch>
                  </pic:blipFill>
                  <pic:spPr>
                    <a:xfrm>
                      <a:off x="0" y="0"/>
                      <a:ext cx="3573145" cy="1655445"/>
                    </a:xfrm>
                    <a:prstGeom prst="rect">
                      <a:avLst/>
                    </a:prstGeom>
                    <a:noFill/>
                    <a:ln>
                      <a:noFill/>
                    </a:ln>
                  </pic:spPr>
                </pic:pic>
              </a:graphicData>
            </a:graphic>
          </wp:inline>
        </w:drawing>
      </w:r>
    </w:p>
    <w:p>
      <w:pPr>
        <w:pStyle w:val="23"/>
        <w:ind w:firstLine="0" w:firstLineChars="0"/>
        <w:jc w:val="center"/>
        <w:rPr>
          <w:rFonts w:hint="eastAsia" w:hAnsi="宋体" w:cs="宋体"/>
          <w:sz w:val="15"/>
          <w:szCs w:val="15"/>
        </w:rPr>
      </w:pPr>
      <w:r>
        <w:rPr>
          <w:rFonts w:hint="eastAsia" w:hAnsi="宋体" w:cs="宋体"/>
          <w:sz w:val="15"/>
          <w:szCs w:val="15"/>
        </w:rPr>
        <w:t>1－无油气体压缩机；2－二通玻璃活塞；3－安全瓶；4－洗气瓶(500 mL)；5－重铬酸钾-硫酸洗涤液；</w:t>
      </w:r>
    </w:p>
    <w:p>
      <w:pPr>
        <w:pStyle w:val="23"/>
        <w:ind w:firstLine="0" w:firstLineChars="0"/>
        <w:jc w:val="center"/>
        <w:rPr>
          <w:rFonts w:hAnsi="宋体" w:cs="宋体"/>
          <w:sz w:val="15"/>
          <w:szCs w:val="15"/>
        </w:rPr>
      </w:pPr>
      <w:r>
        <w:rPr>
          <w:rFonts w:hint="eastAsia" w:hAnsi="宋体" w:cs="宋体"/>
          <w:sz w:val="15"/>
          <w:szCs w:val="15"/>
        </w:rPr>
        <w:t>6－空气流量计(10 L/min～15 L/min)；7－高型烧杯（100 mL）；8－吹气管，末端有6个小孔；9－玻璃管（Ф20 mm）</w:t>
      </w:r>
    </w:p>
    <w:p>
      <w:pPr>
        <w:pStyle w:val="23"/>
        <w:ind w:firstLine="0" w:firstLineChars="0"/>
        <w:jc w:val="center"/>
        <w:rPr>
          <w:rFonts w:hint="eastAsia" w:ascii="Times New Roman"/>
        </w:rPr>
      </w:pPr>
      <w:r>
        <w:rPr>
          <w:rFonts w:hint="eastAsia" w:ascii="Times New Roman"/>
        </w:rPr>
        <w:t>图1 吹气装置示意图</w:t>
      </w:r>
    </w:p>
    <w:p>
      <w:pPr>
        <w:pStyle w:val="23"/>
        <w:ind w:firstLine="0" w:firstLineChars="0"/>
        <w:jc w:val="center"/>
        <w:rPr>
          <w:rFonts w:hint="eastAsia" w:hAnsi="宋体" w:cs="宋体"/>
          <w:sz w:val="15"/>
          <w:szCs w:val="15"/>
        </w:rPr>
      </w:pPr>
    </w:p>
    <w:p>
      <w:pPr>
        <w:snapToGrid w:val="0"/>
        <w:spacing w:before="312" w:beforeLines="100" w:after="312" w:afterLines="100"/>
        <w:rPr>
          <w:rFonts w:hint="eastAsia" w:ascii="黑体" w:eastAsia="黑体"/>
        </w:rPr>
      </w:pPr>
      <w:r>
        <w:rPr>
          <w:rFonts w:hint="eastAsia" w:ascii="黑体" w:eastAsia="黑体"/>
        </w:rPr>
        <w:t>7  样品</w:t>
      </w:r>
    </w:p>
    <w:p>
      <w:pPr>
        <w:snapToGrid w:val="0"/>
        <w:spacing w:before="312" w:beforeLines="100" w:after="312" w:afterLines="100"/>
        <w:ind w:firstLine="420" w:firstLineChars="200"/>
        <w:rPr>
          <w:rFonts w:hint="eastAsia" w:ascii="宋体" w:hAnsi="宋体" w:cs="宋体"/>
        </w:rPr>
      </w:pPr>
      <w:r>
        <w:rPr>
          <w:rFonts w:hint="eastAsia" w:ascii="宋体" w:hAnsi="宋体" w:cs="宋体"/>
        </w:rPr>
        <w:t>样品加工成碎屑，用冰醋酸浸泡10min后，再用无水乙醇洗净、晾干，混匀。</w:t>
      </w:r>
    </w:p>
    <w:p>
      <w:pPr>
        <w:snapToGrid w:val="0"/>
        <w:spacing w:before="312" w:beforeLines="100" w:after="312" w:afterLines="100"/>
        <w:rPr>
          <w:rFonts w:hint="eastAsia" w:ascii="黑体" w:eastAsia="黑体"/>
        </w:rPr>
      </w:pPr>
      <w:r>
        <w:rPr>
          <w:rFonts w:hint="eastAsia" w:ascii="黑体" w:eastAsia="黑体"/>
        </w:rPr>
        <w:t xml:space="preserve">8  </w:t>
      </w:r>
      <w:r>
        <w:rPr>
          <w:rFonts w:eastAsia="黑体"/>
          <w:kern w:val="0"/>
          <w:szCs w:val="21"/>
        </w:rPr>
        <w:t>试验</w:t>
      </w:r>
      <w:r>
        <w:rPr>
          <w:rFonts w:hint="eastAsia" w:ascii="黑体" w:eastAsia="黑体"/>
        </w:rPr>
        <w:t>步骤</w:t>
      </w:r>
    </w:p>
    <w:p>
      <w:pPr>
        <w:rPr>
          <w:rFonts w:hint="eastAsia" w:ascii="黑体" w:hAnsi="黑体" w:eastAsia="黑体"/>
          <w:kern w:val="0"/>
          <w:szCs w:val="20"/>
        </w:rPr>
      </w:pPr>
      <w:r>
        <w:rPr>
          <w:rFonts w:hint="eastAsia" w:ascii="黑体" w:hAnsi="黑体" w:eastAsia="黑体"/>
          <w:kern w:val="0"/>
          <w:szCs w:val="20"/>
        </w:rPr>
        <w:t>8.1  试料</w:t>
      </w:r>
    </w:p>
    <w:p>
      <w:pPr>
        <w:snapToGrid w:val="0"/>
        <w:spacing w:line="340" w:lineRule="atLeast"/>
        <w:ind w:firstLine="420"/>
        <w:rPr>
          <w:rFonts w:hint="eastAsia" w:ascii="宋体" w:hAnsi="宋体"/>
        </w:rPr>
      </w:pPr>
      <w:r>
        <w:rPr>
          <w:rFonts w:hint="eastAsia" w:ascii="宋体" w:hAnsi="宋体"/>
        </w:rPr>
        <w:t>按表1称取样品，精确至</w:t>
      </w:r>
      <w:r>
        <w:rPr>
          <w:rFonts w:ascii="宋体" w:hAnsi="宋体"/>
        </w:rPr>
        <w:t>0.000</w:t>
      </w:r>
      <w:r>
        <w:rPr>
          <w:rFonts w:hint="eastAsia" w:ascii="宋体" w:hAnsi="宋体"/>
        </w:rPr>
        <w:t>0</w:t>
      </w:r>
      <w:r>
        <w:rPr>
          <w:rFonts w:ascii="宋体" w:hAnsi="宋体"/>
        </w:rPr>
        <w:t>1g</w:t>
      </w:r>
      <w:r>
        <w:rPr>
          <w:rFonts w:hint="eastAsia" w:ascii="宋体" w:hAnsi="宋体"/>
        </w:rPr>
        <w:t>。</w:t>
      </w:r>
    </w:p>
    <w:p>
      <w:pPr>
        <w:snapToGrid w:val="0"/>
        <w:spacing w:line="340" w:lineRule="atLeast"/>
        <w:ind w:firstLine="420"/>
        <w:jc w:val="center"/>
        <w:rPr>
          <w:rFonts w:eastAsia="楷体_GB2312"/>
        </w:rPr>
      </w:pPr>
      <w:r>
        <w:rPr>
          <w:rFonts w:hint="eastAsia" w:ascii="黑体" w:eastAsia="黑体"/>
        </w:rPr>
        <w:t>表1  试料量</w:t>
      </w:r>
    </w:p>
    <w:tbl>
      <w:tblPr>
        <w:tblStyle w:val="10"/>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4785"/>
        <w:gridCol w:w="478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500" w:type="pct"/>
            <w:tcBorders>
              <w:top w:val="single" w:color="auto" w:sz="8" w:space="0"/>
              <w:left w:val="single" w:color="auto" w:sz="8" w:space="0"/>
              <w:bottom w:val="single" w:color="auto" w:sz="8" w:space="0"/>
              <w:right w:val="single" w:color="auto" w:sz="6" w:space="0"/>
            </w:tcBorders>
            <w:noWrap w:val="0"/>
            <w:vAlign w:val="center"/>
          </w:tcPr>
          <w:p>
            <w:pPr>
              <w:snapToGrid w:val="0"/>
              <w:spacing w:line="3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Pt的质量分数</w:t>
            </w:r>
          </w:p>
          <w:p>
            <w:pPr>
              <w:snapToGrid w:val="0"/>
              <w:spacing w:line="3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500" w:type="pct"/>
            <w:tcBorders>
              <w:top w:val="single" w:color="auto" w:sz="8" w:space="0"/>
              <w:left w:val="single" w:color="auto" w:sz="6" w:space="0"/>
              <w:bottom w:val="single" w:color="auto" w:sz="8" w:space="0"/>
              <w:right w:val="single" w:color="auto" w:sz="8" w:space="0"/>
            </w:tcBorders>
            <w:noWrap w:val="0"/>
            <w:vAlign w:val="center"/>
          </w:tcPr>
          <w:p>
            <w:pPr>
              <w:snapToGrid w:val="0"/>
              <w:spacing w:line="3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试料</w:t>
            </w:r>
          </w:p>
          <w:p>
            <w:pPr>
              <w:snapToGrid w:val="0"/>
              <w:spacing w:line="3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g</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500" w:type="pct"/>
            <w:tcBorders>
              <w:top w:val="single" w:color="auto" w:sz="6" w:space="0"/>
              <w:left w:val="single" w:color="auto" w:sz="8" w:space="0"/>
              <w:bottom w:val="single" w:color="auto" w:sz="6" w:space="0"/>
              <w:right w:val="single" w:color="auto" w:sz="6" w:space="0"/>
            </w:tcBorders>
            <w:noWrap w:val="0"/>
            <w:vAlign w:val="center"/>
          </w:tcPr>
          <w:p>
            <w:pPr>
              <w:snapToGrid w:val="0"/>
              <w:spacing w:line="3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5.00～10.00</w:t>
            </w:r>
          </w:p>
        </w:tc>
        <w:tc>
          <w:tcPr>
            <w:tcW w:w="2500" w:type="pct"/>
            <w:tcBorders>
              <w:top w:val="single" w:color="auto" w:sz="6" w:space="0"/>
              <w:left w:val="single" w:color="auto" w:sz="6" w:space="0"/>
              <w:bottom w:val="single" w:color="auto" w:sz="6" w:space="0"/>
              <w:right w:val="single" w:color="auto" w:sz="8" w:space="0"/>
            </w:tcBorders>
            <w:noWrap w:val="0"/>
            <w:vAlign w:val="center"/>
          </w:tcPr>
          <w:p>
            <w:pPr>
              <w:snapToGrid w:val="0"/>
              <w:spacing w:line="3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0.20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500" w:type="pct"/>
            <w:tcBorders>
              <w:top w:val="single" w:color="auto" w:sz="6" w:space="0"/>
              <w:left w:val="single" w:color="auto" w:sz="8" w:space="0"/>
              <w:bottom w:val="single" w:color="auto" w:sz="6" w:space="0"/>
              <w:right w:val="single" w:color="auto" w:sz="6" w:space="0"/>
            </w:tcBorders>
            <w:noWrap w:val="0"/>
            <w:vAlign w:val="center"/>
          </w:tcPr>
          <w:p>
            <w:pPr>
              <w:snapToGrid w:val="0"/>
              <w:spacing w:line="3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&gt;10.00～50.00</w:t>
            </w:r>
          </w:p>
        </w:tc>
        <w:tc>
          <w:tcPr>
            <w:tcW w:w="2500" w:type="pct"/>
            <w:tcBorders>
              <w:top w:val="single" w:color="auto" w:sz="6" w:space="0"/>
              <w:left w:val="single" w:color="auto" w:sz="6" w:space="0"/>
              <w:bottom w:val="single" w:color="auto" w:sz="6" w:space="0"/>
              <w:right w:val="single" w:color="auto" w:sz="8" w:space="0"/>
            </w:tcBorders>
            <w:noWrap w:val="0"/>
            <w:vAlign w:val="center"/>
          </w:tcPr>
          <w:p>
            <w:pPr>
              <w:snapToGrid w:val="0"/>
              <w:spacing w:line="3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0.30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500" w:type="pct"/>
            <w:tcBorders>
              <w:top w:val="single" w:color="auto" w:sz="6" w:space="0"/>
              <w:left w:val="single" w:color="auto" w:sz="8" w:space="0"/>
              <w:bottom w:val="single" w:color="auto" w:sz="6" w:space="0"/>
              <w:right w:val="single" w:color="auto" w:sz="6" w:space="0"/>
            </w:tcBorders>
            <w:noWrap w:val="0"/>
            <w:vAlign w:val="center"/>
          </w:tcPr>
          <w:p>
            <w:pPr>
              <w:snapToGrid w:val="0"/>
              <w:spacing w:line="3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&gt;50.00～70.00</w:t>
            </w:r>
          </w:p>
        </w:tc>
        <w:tc>
          <w:tcPr>
            <w:tcW w:w="2500" w:type="pct"/>
            <w:tcBorders>
              <w:top w:val="single" w:color="auto" w:sz="6" w:space="0"/>
              <w:left w:val="single" w:color="auto" w:sz="6" w:space="0"/>
              <w:bottom w:val="single" w:color="auto" w:sz="6" w:space="0"/>
              <w:right w:val="single" w:color="auto" w:sz="8" w:space="0"/>
            </w:tcBorders>
            <w:noWrap w:val="0"/>
            <w:vAlign w:val="center"/>
          </w:tcPr>
          <w:p>
            <w:pPr>
              <w:snapToGrid w:val="0"/>
              <w:spacing w:line="3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0.15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500" w:type="pct"/>
            <w:tcBorders>
              <w:top w:val="single" w:color="auto" w:sz="6" w:space="0"/>
              <w:left w:val="single" w:color="auto" w:sz="8" w:space="0"/>
              <w:bottom w:val="single" w:color="auto" w:sz="6" w:space="0"/>
              <w:right w:val="single" w:color="auto" w:sz="6" w:space="0"/>
            </w:tcBorders>
            <w:noWrap w:val="0"/>
            <w:vAlign w:val="center"/>
          </w:tcPr>
          <w:p>
            <w:pPr>
              <w:snapToGrid w:val="0"/>
              <w:spacing w:line="3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&gt;70.00～95.00</w:t>
            </w:r>
          </w:p>
        </w:tc>
        <w:tc>
          <w:tcPr>
            <w:tcW w:w="2500" w:type="pct"/>
            <w:tcBorders>
              <w:top w:val="single" w:color="auto" w:sz="6" w:space="0"/>
              <w:left w:val="single" w:color="auto" w:sz="6" w:space="0"/>
              <w:bottom w:val="single" w:color="auto" w:sz="6" w:space="0"/>
              <w:right w:val="single" w:color="auto" w:sz="8" w:space="0"/>
            </w:tcBorders>
            <w:noWrap w:val="0"/>
            <w:vAlign w:val="center"/>
          </w:tcPr>
          <w:p>
            <w:pPr>
              <w:snapToGrid w:val="0"/>
              <w:spacing w:line="3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0.10</w:t>
            </w:r>
          </w:p>
        </w:tc>
      </w:tr>
    </w:tbl>
    <w:p>
      <w:pPr>
        <w:snapToGrid w:val="0"/>
        <w:spacing w:line="340" w:lineRule="atLeast"/>
        <w:ind w:firstLine="420"/>
        <w:jc w:val="center"/>
        <w:rPr>
          <w:rFonts w:hint="eastAsia" w:ascii="黑体" w:eastAsia="黑体"/>
        </w:rPr>
      </w:pPr>
    </w:p>
    <w:p>
      <w:pPr>
        <w:widowControl/>
        <w:spacing w:before="156" w:beforeLines="50" w:after="156" w:afterLines="50"/>
        <w:outlineLvl w:val="1"/>
        <w:rPr>
          <w:rFonts w:hint="eastAsia" w:ascii="黑体" w:hAnsi="黑体" w:eastAsia="黑体" w:cs="黑体"/>
          <w:kern w:val="0"/>
          <w:szCs w:val="20"/>
        </w:rPr>
      </w:pPr>
      <w:r>
        <w:rPr>
          <w:rFonts w:hint="eastAsia" w:ascii="黑体" w:hAnsi="黑体" w:eastAsia="黑体"/>
          <w:kern w:val="0"/>
          <w:szCs w:val="20"/>
        </w:rPr>
        <w:t xml:space="preserve">8.2  </w:t>
      </w:r>
      <w:r>
        <w:rPr>
          <w:rFonts w:hint="eastAsia" w:ascii="黑体" w:hAnsi="黑体" w:eastAsia="黑体" w:cs="黑体"/>
          <w:kern w:val="0"/>
          <w:szCs w:val="20"/>
        </w:rPr>
        <w:t>平行试验</w:t>
      </w:r>
    </w:p>
    <w:p>
      <w:pPr>
        <w:widowControl/>
        <w:spacing w:before="156" w:beforeLines="50" w:after="156" w:afterLines="50"/>
        <w:ind w:firstLine="420" w:firstLineChars="200"/>
        <w:outlineLvl w:val="1"/>
        <w:rPr>
          <w:rFonts w:hint="eastAsia" w:ascii="黑体" w:hAnsi="黑体" w:eastAsia="黑体" w:cs="黑体"/>
          <w:kern w:val="0"/>
          <w:szCs w:val="20"/>
        </w:rPr>
      </w:pPr>
      <w:r>
        <w:rPr>
          <w:rFonts w:hint="eastAsia" w:ascii="宋体" w:hAnsi="宋体" w:cs="宋体"/>
          <w:kern w:val="0"/>
          <w:szCs w:val="20"/>
        </w:rPr>
        <w:t>平行做两份试验</w:t>
      </w:r>
      <w:r>
        <w:rPr>
          <w:rFonts w:hint="eastAsia"/>
          <w:color w:val="000000"/>
          <w:spacing w:val="-2"/>
          <w:kern w:val="0"/>
          <w:szCs w:val="21"/>
        </w:rPr>
        <w:t>，取其平均值。</w:t>
      </w:r>
    </w:p>
    <w:p>
      <w:pPr>
        <w:widowControl/>
        <w:spacing w:before="156" w:beforeLines="50" w:after="156" w:afterLines="50"/>
        <w:outlineLvl w:val="1"/>
        <w:rPr>
          <w:rFonts w:hint="eastAsia" w:eastAsia="黑体"/>
          <w:kern w:val="0"/>
          <w:szCs w:val="20"/>
        </w:rPr>
      </w:pPr>
      <w:r>
        <w:rPr>
          <w:rFonts w:hint="eastAsia" w:ascii="黑体" w:hAnsi="黑体" w:eastAsia="黑体"/>
          <w:kern w:val="0"/>
          <w:szCs w:val="20"/>
        </w:rPr>
        <w:t xml:space="preserve">8.3 </w:t>
      </w:r>
      <w:r>
        <w:rPr>
          <w:rFonts w:hint="eastAsia" w:eastAsia="黑体"/>
          <w:kern w:val="0"/>
          <w:szCs w:val="20"/>
        </w:rPr>
        <w:t>空白试验</w:t>
      </w:r>
    </w:p>
    <w:p>
      <w:pPr>
        <w:widowControl/>
        <w:spacing w:before="156" w:beforeLines="50" w:after="156" w:afterLines="50"/>
        <w:ind w:firstLine="420" w:firstLineChars="200"/>
        <w:outlineLvl w:val="1"/>
        <w:rPr>
          <w:rFonts w:hint="eastAsia" w:ascii="宋体" w:hAnsi="宋体" w:cs="宋体"/>
          <w:kern w:val="0"/>
          <w:szCs w:val="20"/>
        </w:rPr>
      </w:pPr>
      <w:r>
        <w:rPr>
          <w:rFonts w:hint="eastAsia" w:ascii="宋体" w:hAnsi="宋体" w:cs="宋体"/>
          <w:kern w:val="0"/>
          <w:szCs w:val="20"/>
        </w:rPr>
        <w:t>随同试料做空白试验。</w:t>
      </w:r>
    </w:p>
    <w:p>
      <w:pPr>
        <w:spacing w:before="156" w:beforeLines="50" w:after="156" w:afterLines="50"/>
        <w:rPr>
          <w:rFonts w:hint="eastAsia" w:ascii="黑体" w:hAnsi="黑体" w:eastAsia="黑体"/>
          <w:kern w:val="0"/>
          <w:szCs w:val="20"/>
        </w:rPr>
      </w:pPr>
      <w:r>
        <w:rPr>
          <w:rFonts w:hint="eastAsia" w:ascii="黑体" w:hAnsi="黑体" w:eastAsia="黑体"/>
          <w:kern w:val="0"/>
          <w:szCs w:val="20"/>
        </w:rPr>
        <w:t>8.4  测定</w:t>
      </w:r>
    </w:p>
    <w:p>
      <w:r>
        <w:rPr>
          <w:rFonts w:hint="eastAsia" w:ascii="黑体" w:hAnsi="黑体" w:eastAsia="黑体" w:cs="黑体"/>
          <w:kern w:val="0"/>
          <w:szCs w:val="20"/>
        </w:rPr>
        <w:t>8.4.1</w:t>
      </w:r>
      <w:r>
        <w:rPr>
          <w:kern w:val="0"/>
          <w:szCs w:val="20"/>
        </w:rPr>
        <w:t xml:space="preserve"> </w:t>
      </w:r>
      <w:r>
        <w:t>将试料置于聚四氟乙烯消化罐</w:t>
      </w:r>
      <w:r>
        <w:rPr>
          <w:rFonts w:hint="eastAsia"/>
        </w:rPr>
        <w:t>（</w:t>
      </w:r>
      <w:r>
        <w:t>6.3</w:t>
      </w:r>
      <w:r>
        <w:rPr>
          <w:rFonts w:hint="eastAsia"/>
        </w:rPr>
        <w:t>）</w:t>
      </w:r>
      <w:r>
        <w:t>内胆中，加15 mL盐酸（5.1）、5 mL过氧化氢（5.2），拧紧聚四氟乙烯消化罐外壳，于烘箱中150 ℃±5 ℃溶解12 h。待冷却至室温，转入100 mL容量瓶中（铂含量在5.00%～10.00%的样品转入150 mL烧杯），以水稀释至刻度，混匀。</w:t>
      </w:r>
    </w:p>
    <w:p>
      <w:r>
        <w:rPr>
          <w:rFonts w:ascii="黑体" w:hAnsi="黑体" w:eastAsia="黑体" w:cs="黑体"/>
          <w:kern w:val="0"/>
          <w:szCs w:val="20"/>
        </w:rPr>
        <w:t>8.</w:t>
      </w:r>
      <w:r>
        <w:rPr>
          <w:rFonts w:hint="eastAsia" w:ascii="黑体" w:hAnsi="黑体" w:eastAsia="黑体" w:cs="黑体"/>
          <w:kern w:val="0"/>
          <w:szCs w:val="20"/>
        </w:rPr>
        <w:t>4</w:t>
      </w:r>
      <w:r>
        <w:rPr>
          <w:rFonts w:ascii="黑体" w:hAnsi="黑体" w:eastAsia="黑体" w:cs="黑体"/>
          <w:kern w:val="0"/>
          <w:szCs w:val="20"/>
        </w:rPr>
        <w:t>.2</w:t>
      </w:r>
      <w:r>
        <w:rPr>
          <w:rFonts w:eastAsia="黑体"/>
          <w:kern w:val="0"/>
          <w:szCs w:val="20"/>
        </w:rPr>
        <w:t xml:space="preserve"> </w:t>
      </w:r>
      <w:r>
        <w:t>移取10.00 mL试液置于150 mL 烧杯中，加0.5 mL氯化钠饱和溶液（5.</w:t>
      </w:r>
      <w:r>
        <w:rPr>
          <w:rFonts w:hint="eastAsia"/>
        </w:rPr>
        <w:t>3</w:t>
      </w:r>
      <w:r>
        <w:t>），盖上表面皿，低温蒸至湿盐状，加3 mL盐酸（5.1）、3 mL水，低温蒸至湿盐状。加入1 mL盐酸（5.1），转入100 mL高型烧杯中，加3 mL氯化亚铜溶液（5.4）（金合金试料加</w:t>
      </w:r>
      <w:r>
        <w:rPr>
          <w:kern w:val="0"/>
          <w:szCs w:val="20"/>
        </w:rPr>
        <w:t>入5 mL氯化亚铜</w:t>
      </w:r>
      <w:r>
        <w:t>），冲洗高型烧杯壁，加水至总体积为35 mL，摇匀，将高型烧杯放入预先烧开的水中，保持微沸10 min，取出，将吹气管插入高型烧杯中吹气15 min，取下，用水冲洗高型烧杯及吹气管，再重复吹气15 min。将溶液转入120 mL烧杯中（金合金</w:t>
      </w:r>
      <w:r>
        <w:rPr>
          <w:kern w:val="0"/>
          <w:szCs w:val="20"/>
        </w:rPr>
        <w:t>试料</w:t>
      </w:r>
      <w:r>
        <w:t>过滤分金后转入120 mL滴定杯中）。</w:t>
      </w:r>
    </w:p>
    <w:p>
      <w:pPr>
        <w:pStyle w:val="23"/>
        <w:ind w:firstLine="0" w:firstLineChars="0"/>
        <w:jc w:val="left"/>
        <w:rPr>
          <w:rFonts w:ascii="Times New Roman" w:eastAsia="黑体"/>
          <w:szCs w:val="21"/>
        </w:rPr>
      </w:pPr>
      <w:r>
        <w:rPr>
          <w:rFonts w:ascii="黑体" w:hAnsi="黑体" w:eastAsia="黑体" w:cs="黑体"/>
        </w:rPr>
        <w:t>8.</w:t>
      </w:r>
      <w:r>
        <w:rPr>
          <w:rFonts w:hint="eastAsia" w:ascii="黑体" w:hAnsi="黑体" w:eastAsia="黑体" w:cs="黑体"/>
        </w:rPr>
        <w:t>4</w:t>
      </w:r>
      <w:r>
        <w:rPr>
          <w:rFonts w:ascii="黑体" w:hAnsi="黑体" w:eastAsia="黑体" w:cs="黑体"/>
        </w:rPr>
        <w:t>.3</w:t>
      </w:r>
      <w:r>
        <w:rPr>
          <w:rFonts w:ascii="Times New Roman" w:eastAsia="黑体"/>
        </w:rPr>
        <w:t xml:space="preserve"> </w:t>
      </w:r>
      <w:r>
        <w:rPr>
          <w:rFonts w:ascii="Times New Roman"/>
        </w:rPr>
        <w:t>将滴定杯放在滴定转盘上，启动自动电位滴定仪，将已连接在自动电位滴定仪上的电极和滴定管插入样品溶液中，搅拌至少20 s（设备推荐参数参见附录A），用高锰酸钾标准滴定溶液（5.5）进行电位滴定至终点。从电位滴定曲线或dE/dV曲线确定终点。记录终点所消耗的高锰酸钾标准溶液体积</w:t>
      </w:r>
      <w:r>
        <w:rPr>
          <w:rFonts w:ascii="Times New Roman"/>
          <w:i/>
          <w:vertAlign w:val="subscript"/>
        </w:rPr>
        <w:t xml:space="preserve"> </w:t>
      </w:r>
      <w:r>
        <w:rPr>
          <w:rFonts w:ascii="Times New Roman"/>
          <w:szCs w:val="21"/>
        </w:rPr>
        <w:t>。</w:t>
      </w:r>
    </w:p>
    <w:p>
      <w:pPr>
        <w:snapToGrid w:val="0"/>
        <w:spacing w:before="312" w:beforeLines="100" w:after="312" w:afterLines="100"/>
        <w:rPr>
          <w:rFonts w:ascii="黑体" w:eastAsia="黑体"/>
        </w:rPr>
      </w:pPr>
      <w:r>
        <w:rPr>
          <w:rFonts w:hint="eastAsia" w:ascii="黑体" w:eastAsia="黑体"/>
        </w:rPr>
        <w:t>9  试验数据处理</w:t>
      </w:r>
    </w:p>
    <w:p>
      <w:pPr>
        <w:spacing w:before="240"/>
        <w:ind w:firstLine="420" w:firstLineChars="200"/>
      </w:pPr>
      <w:r>
        <w:rPr>
          <w:rFonts w:hint="eastAsia" w:ascii="宋体" w:hAnsi="宋体"/>
        </w:rPr>
        <w:t>铂含量以铂的质量分数</w:t>
      </w:r>
      <w:r>
        <w:rPr>
          <w:rFonts w:hint="eastAsia"/>
          <w:i/>
        </w:rPr>
        <w:t>ω</w:t>
      </w:r>
      <w:r>
        <w:rPr>
          <w:rFonts w:hint="eastAsia" w:ascii="宋体" w:hAnsi="宋体"/>
          <w:vertAlign w:val="subscript"/>
        </w:rPr>
        <w:t>Pt</w:t>
      </w:r>
      <w:r>
        <w:rPr>
          <w:rFonts w:hint="eastAsia" w:ascii="宋体" w:hAnsi="宋体"/>
        </w:rPr>
        <w:t>计</w:t>
      </w:r>
      <w:r>
        <w:rPr>
          <w:rFonts w:hAnsi="宋体"/>
        </w:rPr>
        <w:t>，</w:t>
      </w:r>
      <w:r>
        <w:rPr>
          <w:rFonts w:hint="eastAsia" w:ascii="宋体" w:hAnsi="宋体"/>
        </w:rPr>
        <w:t>按公式（2）计算</w:t>
      </w:r>
      <w:r>
        <w:rPr>
          <w:rFonts w:hAnsi="宋体"/>
        </w:rPr>
        <w:t>：</w:t>
      </w:r>
    </w:p>
    <w:p>
      <w:pPr>
        <w:jc w:val="right"/>
        <w:rPr>
          <w:rFonts w:hint="eastAsia"/>
        </w:rPr>
      </w:pPr>
      <w:r>
        <w:rPr>
          <w:position w:val="-30"/>
        </w:rPr>
        <w:object>
          <v:shape id="_x0000_i1026" o:spt="75" type="#_x0000_t75" style="height:35pt;width:162.45pt;" o:ole="t" filled="f" o:preferrelative="t" stroked="f" coordsize="21600,21600">
            <v:path/>
            <v:fill on="f" focussize="0,0"/>
            <v:stroke on="f"/>
            <v:imagedata r:id="rId23" o:title=""/>
            <o:lock v:ext="edit" aspectratio="t"/>
            <w10:wrap type="none"/>
            <w10:anchorlock/>
          </v:shape>
          <o:OLEObject Type="Embed" ProgID="Equation.3" ShapeID="_x0000_i1026" DrawAspect="Content" ObjectID="_1468075726" r:id="rId22">
            <o:LockedField>false</o:LockedField>
          </o:OLEObject>
        </w:object>
      </w:r>
      <w:r>
        <w:rPr>
          <w:rFonts w:ascii="宋体" w:hAnsi="宋体"/>
        </w:rPr>
        <w:t>………………………………………………(</w:t>
      </w:r>
      <w:r>
        <w:rPr>
          <w:rFonts w:hint="eastAsia" w:ascii="宋体" w:hAnsi="宋体"/>
        </w:rPr>
        <w:t>2</w:t>
      </w:r>
      <w:r>
        <w:rPr>
          <w:rFonts w:ascii="宋体" w:hAnsi="宋体"/>
        </w:rPr>
        <w:t>)</w:t>
      </w:r>
    </w:p>
    <w:p>
      <w:pPr>
        <w:pStyle w:val="23"/>
        <w:ind w:firstLine="420"/>
        <w:rPr>
          <w:rFonts w:hint="eastAsia"/>
        </w:rPr>
      </w:pPr>
    </w:p>
    <w:p>
      <w:pPr>
        <w:pStyle w:val="23"/>
        <w:ind w:firstLine="420"/>
        <w:rPr>
          <w:rFonts w:hint="eastAsia"/>
        </w:rPr>
      </w:pPr>
      <w:r>
        <w:rPr>
          <w:rFonts w:hint="eastAsia"/>
        </w:rPr>
        <w:t>式中：</w:t>
      </w:r>
    </w:p>
    <w:p>
      <w:pPr>
        <w:pStyle w:val="23"/>
        <w:ind w:firstLine="420"/>
        <w:rPr>
          <w:rFonts w:hAnsi="宋体"/>
        </w:rPr>
      </w:pPr>
      <w:r>
        <w:rPr>
          <w:rFonts w:hint="eastAsia" w:hAnsi="宋体"/>
          <w:i/>
        </w:rPr>
        <w:t>c</w:t>
      </w:r>
      <w:r>
        <w:rPr>
          <w:rFonts w:hAnsi="宋体"/>
        </w:rPr>
        <w:t>——</w:t>
      </w:r>
      <w:r>
        <w:rPr>
          <w:rFonts w:hint="eastAsia" w:hAnsi="宋体"/>
        </w:rPr>
        <w:t>高锰酸钾标准滴定溶液的实际浓度，</w:t>
      </w:r>
      <w:r>
        <w:rPr>
          <w:rFonts w:hAnsi="宋体"/>
        </w:rPr>
        <w:t>单位为摩尔每</w:t>
      </w:r>
      <w:r>
        <w:rPr>
          <w:rFonts w:hint="eastAsia" w:hAnsi="宋体"/>
        </w:rPr>
        <w:t>毫升</w:t>
      </w:r>
      <w:r>
        <w:rPr>
          <w:rFonts w:hAnsi="宋体"/>
        </w:rPr>
        <w:t>（mol/</w:t>
      </w:r>
      <w:r>
        <w:rPr>
          <w:rFonts w:hint="eastAsia" w:hAnsi="宋体"/>
        </w:rPr>
        <w:t>mL</w:t>
      </w:r>
      <w:r>
        <w:rPr>
          <w:rFonts w:hAnsi="宋体"/>
        </w:rPr>
        <w:t>）；</w:t>
      </w:r>
    </w:p>
    <w:p>
      <w:pPr>
        <w:pStyle w:val="23"/>
        <w:ind w:firstLine="420"/>
        <w:rPr>
          <w:rFonts w:hAnsi="宋体"/>
        </w:rPr>
      </w:pPr>
      <w:r>
        <w:rPr>
          <w:rFonts w:hAnsi="宋体"/>
          <w:i/>
        </w:rPr>
        <w:t>V</w:t>
      </w:r>
      <w:r>
        <w:rPr>
          <w:rFonts w:hint="eastAsia" w:hAnsi="宋体"/>
          <w:vertAlign w:val="subscript"/>
        </w:rPr>
        <w:t>5</w:t>
      </w:r>
      <w:r>
        <w:rPr>
          <w:rFonts w:hAnsi="宋体"/>
        </w:rPr>
        <w:t>――滴定试液所消耗的</w:t>
      </w:r>
      <w:r>
        <w:rPr>
          <w:rFonts w:hint="eastAsia" w:hAnsi="宋体"/>
        </w:rPr>
        <w:t>高锰酸钾</w:t>
      </w:r>
      <w:r>
        <w:rPr>
          <w:rFonts w:hAnsi="宋体"/>
        </w:rPr>
        <w:t>标准滴定溶液的体积，单位为毫升（mL）；</w:t>
      </w:r>
    </w:p>
    <w:p>
      <w:pPr>
        <w:pStyle w:val="23"/>
        <w:ind w:firstLine="420"/>
        <w:rPr>
          <w:rFonts w:hAnsi="宋体"/>
        </w:rPr>
      </w:pPr>
      <w:r>
        <w:rPr>
          <w:rFonts w:hAnsi="宋体"/>
          <w:i/>
        </w:rPr>
        <w:t>V</w:t>
      </w:r>
      <w:r>
        <w:rPr>
          <w:rFonts w:hint="eastAsia" w:hAnsi="宋体"/>
          <w:i/>
          <w:vertAlign w:val="subscript"/>
        </w:rPr>
        <w:t>0</w:t>
      </w:r>
      <w:r>
        <w:rPr>
          <w:rFonts w:hAnsi="宋体"/>
        </w:rPr>
        <w:t>――滴定</w:t>
      </w:r>
      <w:r>
        <w:rPr>
          <w:rFonts w:hint="eastAsia" w:hAnsi="宋体"/>
        </w:rPr>
        <w:t>空白试液</w:t>
      </w:r>
      <w:r>
        <w:rPr>
          <w:rFonts w:hAnsi="宋体"/>
        </w:rPr>
        <w:t>所消耗的</w:t>
      </w:r>
      <w:r>
        <w:rPr>
          <w:rFonts w:hint="eastAsia" w:hAnsi="宋体"/>
        </w:rPr>
        <w:t>高锰酸钾</w:t>
      </w:r>
      <w:r>
        <w:rPr>
          <w:rFonts w:hAnsi="宋体"/>
        </w:rPr>
        <w:t>标准滴定溶液的体积，单位为毫升（mL）；</w:t>
      </w:r>
    </w:p>
    <w:p>
      <w:pPr>
        <w:pStyle w:val="23"/>
        <w:ind w:firstLine="420"/>
        <w:rPr>
          <w:rFonts w:hAnsi="宋体"/>
        </w:rPr>
      </w:pPr>
      <w:r>
        <w:rPr>
          <w:rFonts w:hAnsi="宋体"/>
          <w:i/>
        </w:rPr>
        <w:t>V</w:t>
      </w:r>
      <w:r>
        <w:rPr>
          <w:rFonts w:hint="eastAsia" w:hAnsi="宋体"/>
          <w:vertAlign w:val="subscript"/>
        </w:rPr>
        <w:t>3</w:t>
      </w:r>
      <w:r>
        <w:rPr>
          <w:rFonts w:hAnsi="宋体"/>
        </w:rPr>
        <w:t>――试液总体积，单位为毫升（mL）；</w:t>
      </w:r>
    </w:p>
    <w:p>
      <w:pPr>
        <w:pStyle w:val="23"/>
        <w:ind w:firstLine="420"/>
        <w:rPr>
          <w:rFonts w:hint="eastAsia" w:hAnsi="宋体"/>
        </w:rPr>
      </w:pPr>
      <w:r>
        <w:rPr>
          <w:rFonts w:hint="eastAsia" w:hAnsi="宋体"/>
        </w:rPr>
        <w:t>195.08</w:t>
      </w:r>
      <w:r>
        <w:rPr>
          <w:rFonts w:hAnsi="宋体"/>
        </w:rPr>
        <w:t>——</w:t>
      </w:r>
      <w:r>
        <w:rPr>
          <w:rFonts w:hint="eastAsia"/>
        </w:rPr>
        <w:t>铂的摩尔质量，</w:t>
      </w:r>
      <w:r>
        <w:rPr>
          <w:rFonts w:ascii="Times New Roman"/>
        </w:rPr>
        <w:t>单位为克每</w:t>
      </w:r>
      <w:r>
        <w:rPr>
          <w:rFonts w:hAnsi="宋体"/>
        </w:rPr>
        <w:t>摩尔（g/mol）</w:t>
      </w:r>
      <w:r>
        <w:rPr>
          <w:rFonts w:hint="eastAsia" w:hAnsi="宋体"/>
        </w:rPr>
        <w:t>；</w:t>
      </w:r>
    </w:p>
    <w:p>
      <w:pPr>
        <w:pStyle w:val="23"/>
        <w:ind w:firstLine="420"/>
        <w:rPr>
          <w:rFonts w:hint="eastAsia"/>
        </w:rPr>
      </w:pPr>
      <w:r>
        <w:rPr>
          <w:rFonts w:hAnsi="宋体"/>
          <w:i/>
        </w:rPr>
        <w:t>m</w:t>
      </w:r>
      <w:r>
        <w:rPr>
          <w:rFonts w:hAnsi="宋体"/>
          <w:vertAlign w:val="subscript"/>
        </w:rPr>
        <w:t>0</w:t>
      </w:r>
      <w:r>
        <w:rPr>
          <w:rFonts w:hAnsi="宋体"/>
        </w:rPr>
        <w:t>――试料的质量，单位为克（g）；</w:t>
      </w:r>
    </w:p>
    <w:p>
      <w:pPr>
        <w:pStyle w:val="23"/>
        <w:ind w:firstLine="420"/>
        <w:rPr>
          <w:rFonts w:hint="eastAsia" w:hAnsi="宋体"/>
        </w:rPr>
      </w:pPr>
      <w:r>
        <w:rPr>
          <w:rFonts w:hAnsi="宋体"/>
          <w:i/>
        </w:rPr>
        <w:t>V</w:t>
      </w:r>
      <w:r>
        <w:rPr>
          <w:rFonts w:hint="eastAsia" w:hAnsi="宋体"/>
          <w:vertAlign w:val="subscript"/>
        </w:rPr>
        <w:t>4</w:t>
      </w:r>
      <w:r>
        <w:rPr>
          <w:rFonts w:hAnsi="宋体"/>
        </w:rPr>
        <w:t>――分取试液体积，单位为毫升（mL）</w:t>
      </w:r>
      <w:r>
        <w:rPr>
          <w:rFonts w:hint="eastAsia" w:hAnsi="宋体"/>
        </w:rPr>
        <w:t>。</w:t>
      </w:r>
    </w:p>
    <w:bookmarkEnd w:id="12"/>
    <w:p>
      <w:pPr>
        <w:pStyle w:val="23"/>
        <w:ind w:firstLine="420"/>
        <w:rPr>
          <w:rFonts w:ascii="Times New Roman"/>
        </w:rPr>
      </w:pPr>
      <w:r>
        <w:rPr>
          <w:rFonts w:hint="eastAsia" w:ascii="Times New Roman"/>
        </w:rPr>
        <w:t>试验结果的数值按GB/T8170的规定进行修约，计算</w:t>
      </w:r>
      <w:r>
        <w:rPr>
          <w:rFonts w:ascii="Times New Roman"/>
        </w:rPr>
        <w:t>结果表示</w:t>
      </w:r>
      <w:r>
        <w:rPr>
          <w:rFonts w:hint="eastAsia" w:ascii="Times New Roman"/>
        </w:rPr>
        <w:t>到小数点后两位</w:t>
      </w:r>
      <w:r>
        <w:rPr>
          <w:rFonts w:ascii="Times New Roman"/>
        </w:rPr>
        <w:t>。</w:t>
      </w:r>
    </w:p>
    <w:p>
      <w:pPr>
        <w:snapToGrid w:val="0"/>
        <w:spacing w:before="312" w:beforeLines="100" w:after="312" w:afterLines="100"/>
        <w:rPr>
          <w:rFonts w:hint="eastAsia" w:ascii="黑体" w:eastAsia="黑体"/>
        </w:rPr>
      </w:pPr>
      <w:r>
        <w:rPr>
          <w:rFonts w:hint="eastAsia" w:ascii="黑体" w:eastAsia="黑体"/>
        </w:rPr>
        <w:t xml:space="preserve">10  </w:t>
      </w:r>
      <w:r>
        <w:rPr>
          <w:rFonts w:ascii="黑体" w:eastAsia="黑体"/>
        </w:rPr>
        <w:t>精密度</w:t>
      </w:r>
    </w:p>
    <w:p>
      <w:pPr>
        <w:rPr>
          <w:rFonts w:hint="eastAsia" w:ascii="黑体" w:eastAsia="黑体"/>
        </w:rPr>
      </w:pPr>
      <w:r>
        <w:rPr>
          <w:rFonts w:hint="eastAsia" w:ascii="黑体" w:eastAsia="黑体"/>
        </w:rPr>
        <w:t>10.1 重复性</w:t>
      </w:r>
    </w:p>
    <w:p>
      <w:pPr>
        <w:snapToGrid w:val="0"/>
        <w:spacing w:line="340" w:lineRule="atLeast"/>
        <w:ind w:firstLine="420"/>
        <w:rPr>
          <w:rFonts w:hint="eastAsia" w:ascii="宋体" w:hAnsi="宋体"/>
          <w:color w:val="auto"/>
        </w:rPr>
      </w:pPr>
      <w:r>
        <w:rPr>
          <w:color w:val="auto"/>
        </w:rPr>
        <w:t>精密度数据是在2024年由</w:t>
      </w:r>
      <w:r>
        <w:rPr>
          <w:rFonts w:hint="eastAsia"/>
          <w:color w:val="auto"/>
          <w:lang w:val="en-US" w:eastAsia="zh-CN"/>
        </w:rPr>
        <w:t>11</w:t>
      </w:r>
      <w:r>
        <w:rPr>
          <w:color w:val="auto"/>
        </w:rPr>
        <w:t>家实验室对</w:t>
      </w:r>
      <w:r>
        <w:rPr>
          <w:rFonts w:hint="eastAsia"/>
          <w:color w:val="auto"/>
        </w:rPr>
        <w:t>铂</w:t>
      </w:r>
      <w:r>
        <w:rPr>
          <w:color w:val="auto"/>
        </w:rPr>
        <w:t>含量的3个不同水平样品进行共同试验确定的</w:t>
      </w:r>
      <w:r>
        <w:rPr>
          <w:rFonts w:hint="eastAsia"/>
          <w:color w:val="auto"/>
        </w:rPr>
        <w:t>。</w:t>
      </w:r>
      <w:r>
        <w:rPr>
          <w:color w:val="auto"/>
        </w:rPr>
        <w:t>每个实验室对每个水平的</w:t>
      </w:r>
      <w:r>
        <w:rPr>
          <w:rFonts w:hint="eastAsia"/>
          <w:color w:val="auto"/>
        </w:rPr>
        <w:t>铂</w:t>
      </w:r>
      <w:r>
        <w:rPr>
          <w:color w:val="auto"/>
        </w:rPr>
        <w:t>含量在重复性条件下独立测定11次。测量的原始数据见表A.</w:t>
      </w:r>
      <w:r>
        <w:rPr>
          <w:rFonts w:hint="eastAsia"/>
          <w:color w:val="auto"/>
        </w:rPr>
        <w:t>2。</w:t>
      </w:r>
      <w:r>
        <w:rPr>
          <w:color w:val="auto"/>
        </w:rPr>
        <w:t>在</w:t>
      </w:r>
      <w:r>
        <w:rPr>
          <w:rFonts w:hint="eastAsia" w:ascii="宋体" w:hAnsi="宋体"/>
          <w:color w:val="auto"/>
        </w:rPr>
        <w:t>在重复性条件下获得的两次独立测试结果的测定值，在表2给出的平均值范围内，这两个测试结果的绝对差值不超过重复性限（</w:t>
      </w:r>
      <w:r>
        <w:rPr>
          <w:rFonts w:ascii="宋体" w:hAnsi="宋体"/>
          <w:i/>
          <w:color w:val="auto"/>
        </w:rPr>
        <w:t>r</w:t>
      </w:r>
      <w:r>
        <w:rPr>
          <w:rFonts w:hint="eastAsia" w:ascii="宋体" w:hAnsi="宋体"/>
          <w:color w:val="auto"/>
        </w:rPr>
        <w:t>），超过重复性限</w:t>
      </w:r>
      <w:r>
        <w:rPr>
          <w:rFonts w:ascii="宋体" w:hAnsi="宋体"/>
          <w:color w:val="auto"/>
        </w:rPr>
        <w:t>(</w:t>
      </w:r>
      <w:r>
        <w:rPr>
          <w:rFonts w:ascii="宋体" w:hAnsi="宋体"/>
          <w:i/>
          <w:color w:val="auto"/>
        </w:rPr>
        <w:t>r</w:t>
      </w:r>
      <w:r>
        <w:rPr>
          <w:rFonts w:ascii="宋体" w:hAnsi="宋体"/>
          <w:color w:val="auto"/>
        </w:rPr>
        <w:t>)</w:t>
      </w:r>
      <w:r>
        <w:rPr>
          <w:rFonts w:hint="eastAsia" w:ascii="宋体" w:hAnsi="宋体"/>
          <w:color w:val="auto"/>
        </w:rPr>
        <w:t xml:space="preserve">的情况不超过5 </w:t>
      </w:r>
      <w:r>
        <w:rPr>
          <w:rFonts w:ascii="宋体" w:hAnsi="宋体"/>
          <w:color w:val="auto"/>
        </w:rPr>
        <w:t>%</w:t>
      </w:r>
      <w:r>
        <w:rPr>
          <w:rFonts w:hint="eastAsia" w:ascii="宋体" w:hAnsi="宋体"/>
          <w:color w:val="auto"/>
        </w:rPr>
        <w:t>，重复性限（</w:t>
      </w:r>
      <w:r>
        <w:rPr>
          <w:rFonts w:ascii="宋体" w:hAnsi="宋体"/>
          <w:i/>
          <w:color w:val="auto"/>
        </w:rPr>
        <w:t>r</w:t>
      </w:r>
      <w:r>
        <w:rPr>
          <w:rFonts w:hint="eastAsia" w:ascii="宋体" w:hAnsi="宋体"/>
          <w:color w:val="auto"/>
        </w:rPr>
        <w:t>）按表2数据采用线性内插法或外延法求得：</w:t>
      </w:r>
    </w:p>
    <w:p>
      <w:pPr>
        <w:snapToGrid w:val="0"/>
        <w:spacing w:line="340" w:lineRule="atLeast"/>
        <w:ind w:firstLine="420"/>
        <w:jc w:val="center"/>
        <w:rPr>
          <w:rFonts w:hint="eastAsia" w:ascii="黑体" w:hAnsi="宋体" w:eastAsia="黑体"/>
          <w:color w:val="auto"/>
        </w:rPr>
      </w:pPr>
      <w:r>
        <w:rPr>
          <w:rFonts w:hint="eastAsia" w:ascii="黑体" w:hAnsi="宋体" w:eastAsia="黑体"/>
          <w:color w:val="auto"/>
        </w:rPr>
        <w:t>表2  重复性限</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324"/>
        <w:gridCol w:w="232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top w:val="single" w:color="auto" w:sz="8" w:space="0"/>
              <w:left w:val="single" w:color="auto" w:sz="8" w:space="0"/>
              <w:right w:val="single" w:color="auto" w:sz="8" w:space="0"/>
            </w:tcBorders>
            <w:noWrap w:val="0"/>
            <w:vAlign w:val="top"/>
          </w:tcPr>
          <w:p>
            <w:pPr>
              <w:snapToGrid w:val="0"/>
              <w:spacing w:line="340" w:lineRule="atLeast"/>
              <w:jc w:val="center"/>
              <w:rPr>
                <w:rFonts w:hint="eastAsia" w:ascii="宋体" w:hAnsi="宋体"/>
                <w:color w:val="auto"/>
                <w:sz w:val="18"/>
                <w:szCs w:val="18"/>
              </w:rPr>
            </w:pPr>
            <w:r>
              <w:rPr>
                <w:rFonts w:hint="eastAsia"/>
                <w:i/>
                <w:color w:val="auto"/>
                <w:sz w:val="18"/>
                <w:szCs w:val="18"/>
              </w:rPr>
              <w:t>w</w:t>
            </w:r>
            <w:r>
              <w:rPr>
                <w:color w:val="auto"/>
                <w:sz w:val="18"/>
                <w:szCs w:val="18"/>
                <w:vertAlign w:val="subscript"/>
              </w:rPr>
              <w:t>P</w:t>
            </w:r>
            <w:r>
              <w:rPr>
                <w:rFonts w:hint="eastAsia"/>
                <w:color w:val="auto"/>
                <w:sz w:val="18"/>
                <w:szCs w:val="18"/>
                <w:vertAlign w:val="subscript"/>
              </w:rPr>
              <w:t>t</w:t>
            </w:r>
            <w:r>
              <w:rPr>
                <w:color w:val="auto"/>
                <w:sz w:val="18"/>
                <w:szCs w:val="18"/>
              </w:rPr>
              <w:t>/%</w:t>
            </w:r>
          </w:p>
        </w:tc>
        <w:tc>
          <w:tcPr>
            <w:tcW w:w="2324" w:type="dxa"/>
            <w:tcBorders>
              <w:top w:val="single" w:color="auto" w:sz="8" w:space="0"/>
              <w:left w:val="single" w:color="auto" w:sz="8" w:space="0"/>
            </w:tcBorders>
            <w:noWrap w:val="0"/>
            <w:vAlign w:val="top"/>
          </w:tcPr>
          <w:p>
            <w:pPr>
              <w:snapToGrid w:val="0"/>
              <w:spacing w:line="340" w:lineRule="atLeas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4.97</w:t>
            </w:r>
          </w:p>
        </w:tc>
        <w:tc>
          <w:tcPr>
            <w:tcW w:w="2325" w:type="dxa"/>
            <w:tcBorders>
              <w:top w:val="single" w:color="auto" w:sz="8" w:space="0"/>
            </w:tcBorders>
            <w:noWrap w:val="0"/>
            <w:vAlign w:val="top"/>
          </w:tcPr>
          <w:p>
            <w:pPr>
              <w:snapToGrid w:val="0"/>
              <w:spacing w:line="340" w:lineRule="atLeas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59.94</w:t>
            </w:r>
          </w:p>
        </w:tc>
        <w:tc>
          <w:tcPr>
            <w:tcW w:w="2325" w:type="dxa"/>
            <w:tcBorders>
              <w:top w:val="single" w:color="auto" w:sz="8" w:space="0"/>
              <w:right w:val="single" w:color="auto" w:sz="8" w:space="0"/>
            </w:tcBorders>
            <w:noWrap w:val="0"/>
            <w:vAlign w:val="top"/>
          </w:tcPr>
          <w:p>
            <w:pPr>
              <w:snapToGrid w:val="0"/>
              <w:spacing w:line="340" w:lineRule="atLeas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95.03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left w:val="single" w:color="auto" w:sz="8" w:space="0"/>
              <w:bottom w:val="single" w:color="auto" w:sz="8" w:space="0"/>
              <w:right w:val="single" w:color="auto" w:sz="8" w:space="0"/>
            </w:tcBorders>
            <w:noWrap w:val="0"/>
            <w:vAlign w:val="top"/>
          </w:tcPr>
          <w:p>
            <w:pPr>
              <w:snapToGrid w:val="0"/>
              <w:spacing w:line="340" w:lineRule="atLeast"/>
              <w:jc w:val="center"/>
              <w:rPr>
                <w:rFonts w:hint="eastAsia" w:ascii="宋体" w:hAnsi="宋体"/>
                <w:color w:val="auto"/>
                <w:sz w:val="18"/>
                <w:szCs w:val="18"/>
              </w:rPr>
            </w:pPr>
            <w:r>
              <w:rPr>
                <w:i/>
                <w:color w:val="auto"/>
                <w:sz w:val="18"/>
                <w:szCs w:val="18"/>
              </w:rPr>
              <w:t>r</w:t>
            </w:r>
            <w:r>
              <w:rPr>
                <w:color w:val="auto"/>
                <w:sz w:val="18"/>
                <w:szCs w:val="18"/>
              </w:rPr>
              <w:t xml:space="preserve"> /%</w:t>
            </w:r>
          </w:p>
        </w:tc>
        <w:tc>
          <w:tcPr>
            <w:tcW w:w="2324" w:type="dxa"/>
            <w:tcBorders>
              <w:left w:val="single" w:color="auto" w:sz="8" w:space="0"/>
              <w:bottom w:val="single" w:color="auto" w:sz="8" w:space="0"/>
            </w:tcBorders>
            <w:noWrap w:val="0"/>
            <w:vAlign w:val="top"/>
          </w:tcPr>
          <w:p>
            <w:pPr>
              <w:snapToGrid w:val="0"/>
              <w:spacing w:line="340" w:lineRule="atLeas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0.10</w:t>
            </w:r>
          </w:p>
        </w:tc>
        <w:tc>
          <w:tcPr>
            <w:tcW w:w="2325" w:type="dxa"/>
            <w:tcBorders>
              <w:bottom w:val="single" w:color="auto" w:sz="8" w:space="0"/>
            </w:tcBorders>
            <w:noWrap w:val="0"/>
            <w:vAlign w:val="top"/>
          </w:tcPr>
          <w:p>
            <w:pPr>
              <w:snapToGrid w:val="0"/>
              <w:spacing w:line="340" w:lineRule="atLeas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0.21</w:t>
            </w:r>
          </w:p>
        </w:tc>
        <w:tc>
          <w:tcPr>
            <w:tcW w:w="2325" w:type="dxa"/>
            <w:tcBorders>
              <w:bottom w:val="single" w:color="auto" w:sz="8" w:space="0"/>
              <w:right w:val="single" w:color="auto" w:sz="8" w:space="0"/>
            </w:tcBorders>
            <w:noWrap w:val="0"/>
            <w:vAlign w:val="top"/>
          </w:tcPr>
          <w:p>
            <w:pPr>
              <w:snapToGrid w:val="0"/>
              <w:spacing w:line="340" w:lineRule="atLeas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0.36</w:t>
            </w:r>
          </w:p>
        </w:tc>
      </w:tr>
    </w:tbl>
    <w:p>
      <w:pPr>
        <w:rPr>
          <w:rFonts w:hint="eastAsia" w:ascii="黑体" w:eastAsia="黑体"/>
          <w:color w:val="auto"/>
        </w:rPr>
      </w:pPr>
    </w:p>
    <w:p>
      <w:pPr>
        <w:rPr>
          <w:rFonts w:ascii="黑体" w:eastAsia="黑体"/>
          <w:color w:val="auto"/>
        </w:rPr>
      </w:pPr>
      <w:r>
        <w:rPr>
          <w:rFonts w:hint="eastAsia" w:ascii="黑体" w:eastAsia="黑体"/>
          <w:color w:val="auto"/>
        </w:rPr>
        <w:t>10.2  再现性</w:t>
      </w:r>
    </w:p>
    <w:p>
      <w:pPr>
        <w:snapToGrid w:val="0"/>
        <w:spacing w:line="340" w:lineRule="atLeast"/>
        <w:ind w:firstLine="420"/>
        <w:rPr>
          <w:color w:val="auto"/>
        </w:rPr>
      </w:pPr>
      <w:r>
        <w:rPr>
          <w:color w:val="auto"/>
        </w:rPr>
        <w:t>在再现性条件下获得的两次独立测试结果的绝对差值不超过再现性限（</w:t>
      </w:r>
      <w:r>
        <w:rPr>
          <w:i/>
          <w:color w:val="auto"/>
        </w:rPr>
        <w:t>R</w:t>
      </w:r>
      <w:r>
        <w:rPr>
          <w:color w:val="auto"/>
        </w:rPr>
        <w:t>），超过</w:t>
      </w:r>
      <w:r>
        <w:rPr>
          <w:rFonts w:hint="eastAsia"/>
          <w:color w:val="auto"/>
        </w:rPr>
        <w:t>再现</w:t>
      </w:r>
      <w:r>
        <w:rPr>
          <w:color w:val="auto"/>
        </w:rPr>
        <w:t>性限(</w:t>
      </w:r>
      <w:r>
        <w:rPr>
          <w:rFonts w:hint="eastAsia"/>
          <w:color w:val="auto"/>
        </w:rPr>
        <w:t>R</w:t>
      </w:r>
      <w:r>
        <w:rPr>
          <w:color w:val="auto"/>
        </w:rPr>
        <w:t>)的情况不超过5%，再现性限（</w:t>
      </w:r>
      <w:r>
        <w:rPr>
          <w:i/>
          <w:color w:val="auto"/>
        </w:rPr>
        <w:t>R</w:t>
      </w:r>
      <w:r>
        <w:rPr>
          <w:color w:val="auto"/>
        </w:rPr>
        <w:t>）按表3数据采用线性内插法求得。精密度数据统计见附录</w:t>
      </w:r>
      <w:r>
        <w:rPr>
          <w:rFonts w:hint="eastAsia"/>
          <w:color w:val="auto"/>
        </w:rPr>
        <w:t>B</w:t>
      </w:r>
      <w:r>
        <w:rPr>
          <w:color w:val="auto"/>
        </w:rPr>
        <w:t>。</w:t>
      </w:r>
    </w:p>
    <w:p>
      <w:pPr>
        <w:snapToGrid w:val="0"/>
        <w:spacing w:line="340" w:lineRule="atLeast"/>
        <w:jc w:val="center"/>
        <w:rPr>
          <w:rFonts w:eastAsia="黑体"/>
          <w:color w:val="auto"/>
        </w:rPr>
      </w:pPr>
      <w:r>
        <w:rPr>
          <w:rFonts w:eastAsia="黑体"/>
          <w:color w:val="auto"/>
        </w:rPr>
        <w:t>表3  再现性限</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1"/>
        <w:gridCol w:w="21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8" w:space="0"/>
              <w:left w:val="single" w:color="auto" w:sz="8" w:space="0"/>
              <w:right w:val="single" w:color="auto" w:sz="8" w:space="0"/>
            </w:tcBorders>
            <w:noWrap w:val="0"/>
            <w:vAlign w:val="top"/>
          </w:tcPr>
          <w:p>
            <w:pPr>
              <w:snapToGrid w:val="0"/>
              <w:spacing w:line="340" w:lineRule="atLeast"/>
              <w:jc w:val="center"/>
              <w:rPr>
                <w:color w:val="auto"/>
                <w:sz w:val="18"/>
                <w:szCs w:val="18"/>
              </w:rPr>
            </w:pPr>
            <w:r>
              <w:rPr>
                <w:rFonts w:hint="eastAsia"/>
                <w:i/>
                <w:color w:val="auto"/>
                <w:sz w:val="18"/>
                <w:szCs w:val="18"/>
              </w:rPr>
              <w:t>w</w:t>
            </w:r>
            <w:r>
              <w:rPr>
                <w:color w:val="auto"/>
                <w:sz w:val="18"/>
                <w:szCs w:val="18"/>
                <w:vertAlign w:val="subscript"/>
              </w:rPr>
              <w:t>P</w:t>
            </w:r>
            <w:r>
              <w:rPr>
                <w:rFonts w:hint="eastAsia"/>
                <w:color w:val="auto"/>
                <w:sz w:val="18"/>
                <w:szCs w:val="18"/>
                <w:vertAlign w:val="subscript"/>
              </w:rPr>
              <w:t>t</w:t>
            </w:r>
            <w:r>
              <w:rPr>
                <w:color w:val="auto"/>
                <w:sz w:val="18"/>
                <w:szCs w:val="18"/>
              </w:rPr>
              <w:t>/%</w:t>
            </w:r>
          </w:p>
        </w:tc>
        <w:tc>
          <w:tcPr>
            <w:tcW w:w="2131" w:type="dxa"/>
            <w:tcBorders>
              <w:top w:val="single" w:color="auto" w:sz="8" w:space="0"/>
              <w:left w:val="single" w:color="auto" w:sz="8" w:space="0"/>
            </w:tcBorders>
            <w:noWrap w:val="0"/>
            <w:vAlign w:val="top"/>
          </w:tcPr>
          <w:p>
            <w:pPr>
              <w:snapToGrid w:val="0"/>
              <w:spacing w:line="340" w:lineRule="atLeast"/>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4.97</w:t>
            </w:r>
          </w:p>
        </w:tc>
        <w:tc>
          <w:tcPr>
            <w:tcW w:w="2130" w:type="dxa"/>
            <w:tcBorders>
              <w:top w:val="single" w:color="auto" w:sz="8" w:space="0"/>
            </w:tcBorders>
            <w:noWrap w:val="0"/>
            <w:vAlign w:val="top"/>
          </w:tcPr>
          <w:p>
            <w:pPr>
              <w:snapToGrid w:val="0"/>
              <w:spacing w:line="340" w:lineRule="atLeast"/>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59.94</w:t>
            </w:r>
          </w:p>
        </w:tc>
        <w:tc>
          <w:tcPr>
            <w:tcW w:w="2131" w:type="dxa"/>
            <w:tcBorders>
              <w:top w:val="single" w:color="auto" w:sz="8" w:space="0"/>
              <w:right w:val="single" w:color="auto" w:sz="8" w:space="0"/>
            </w:tcBorders>
            <w:noWrap w:val="0"/>
            <w:vAlign w:val="top"/>
          </w:tcPr>
          <w:p>
            <w:pPr>
              <w:snapToGrid w:val="0"/>
              <w:spacing w:line="340" w:lineRule="atLeast"/>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95.03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left w:val="single" w:color="auto" w:sz="8" w:space="0"/>
              <w:bottom w:val="single" w:color="auto" w:sz="8" w:space="0"/>
              <w:right w:val="single" w:color="auto" w:sz="8" w:space="0"/>
            </w:tcBorders>
            <w:noWrap w:val="0"/>
            <w:vAlign w:val="top"/>
          </w:tcPr>
          <w:p>
            <w:pPr>
              <w:snapToGrid w:val="0"/>
              <w:spacing w:line="340" w:lineRule="atLeast"/>
              <w:jc w:val="center"/>
              <w:rPr>
                <w:color w:val="auto"/>
                <w:sz w:val="18"/>
                <w:szCs w:val="18"/>
              </w:rPr>
            </w:pPr>
            <w:r>
              <w:rPr>
                <w:i/>
                <w:color w:val="auto"/>
                <w:sz w:val="18"/>
                <w:szCs w:val="18"/>
              </w:rPr>
              <w:t>R</w:t>
            </w:r>
            <w:r>
              <w:rPr>
                <w:color w:val="auto"/>
                <w:sz w:val="18"/>
                <w:szCs w:val="18"/>
              </w:rPr>
              <w:t xml:space="preserve"> /%</w:t>
            </w:r>
          </w:p>
        </w:tc>
        <w:tc>
          <w:tcPr>
            <w:tcW w:w="2131" w:type="dxa"/>
            <w:tcBorders>
              <w:left w:val="single" w:color="auto" w:sz="8" w:space="0"/>
              <w:bottom w:val="single" w:color="auto" w:sz="8" w:space="0"/>
            </w:tcBorders>
            <w:noWrap w:val="0"/>
            <w:vAlign w:val="top"/>
          </w:tcPr>
          <w:p>
            <w:pPr>
              <w:snapToGrid w:val="0"/>
              <w:spacing w:line="340" w:lineRule="atLeas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0.12</w:t>
            </w:r>
          </w:p>
        </w:tc>
        <w:tc>
          <w:tcPr>
            <w:tcW w:w="2130" w:type="dxa"/>
            <w:tcBorders>
              <w:bottom w:val="single" w:color="auto" w:sz="8" w:space="0"/>
            </w:tcBorders>
            <w:noWrap w:val="0"/>
            <w:vAlign w:val="top"/>
          </w:tcPr>
          <w:p>
            <w:pPr>
              <w:snapToGrid w:val="0"/>
              <w:spacing w:line="340" w:lineRule="atLeas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0.22</w:t>
            </w:r>
          </w:p>
        </w:tc>
        <w:tc>
          <w:tcPr>
            <w:tcW w:w="2131" w:type="dxa"/>
            <w:tcBorders>
              <w:bottom w:val="single" w:color="auto" w:sz="8" w:space="0"/>
              <w:right w:val="single" w:color="auto" w:sz="8" w:space="0"/>
            </w:tcBorders>
            <w:noWrap w:val="0"/>
            <w:vAlign w:val="top"/>
          </w:tcPr>
          <w:p>
            <w:pPr>
              <w:snapToGrid w:val="0"/>
              <w:spacing w:line="340" w:lineRule="atLeas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0.42</w:t>
            </w:r>
          </w:p>
        </w:tc>
      </w:tr>
    </w:tbl>
    <w:p>
      <w:pPr>
        <w:snapToGrid w:val="0"/>
        <w:spacing w:before="312" w:beforeLines="100" w:after="312" w:afterLines="100"/>
        <w:rPr>
          <w:rFonts w:eastAsia="黑体"/>
        </w:rPr>
      </w:pPr>
      <w:r>
        <w:rPr>
          <w:rFonts w:hint="eastAsia" w:ascii="黑体" w:eastAsia="黑体"/>
        </w:rPr>
        <w:t>11</w:t>
      </w:r>
      <w:r>
        <w:rPr>
          <w:rFonts w:ascii="黑体" w:eastAsia="黑体"/>
        </w:rPr>
        <w:t xml:space="preserve">  </w:t>
      </w:r>
      <w:r>
        <w:rPr>
          <w:rFonts w:eastAsia="黑体"/>
        </w:rPr>
        <w:t>试验报告</w:t>
      </w:r>
    </w:p>
    <w:p>
      <w:pPr>
        <w:snapToGrid w:val="0"/>
        <w:spacing w:line="340" w:lineRule="atLeast"/>
        <w:ind w:firstLine="420"/>
      </w:pPr>
      <w:r>
        <w:rPr>
          <w:rFonts w:hint="eastAsia"/>
        </w:rPr>
        <w:t>本章规定试验报告所包含的内容。至少应给出以下几个方面的内容：</w:t>
      </w:r>
    </w:p>
    <w:p>
      <w:pPr>
        <w:snapToGrid w:val="0"/>
        <w:spacing w:line="340" w:lineRule="atLeast"/>
        <w:ind w:firstLine="420"/>
      </w:pPr>
      <w:r>
        <w:t>——</w:t>
      </w:r>
      <w:r>
        <w:rPr>
          <w:rFonts w:hint="eastAsia"/>
        </w:rPr>
        <w:t>试验对象；</w:t>
      </w:r>
    </w:p>
    <w:p>
      <w:pPr>
        <w:snapToGrid w:val="0"/>
        <w:spacing w:line="340" w:lineRule="atLeast"/>
        <w:ind w:firstLine="420"/>
      </w:pPr>
      <w:r>
        <w:t>——</w:t>
      </w:r>
      <w:r>
        <w:rPr>
          <w:rFonts w:hint="eastAsia"/>
        </w:rPr>
        <w:t>使用的标准（包括发布或出版年号）</w:t>
      </w:r>
      <w:r>
        <w:t>；</w:t>
      </w:r>
    </w:p>
    <w:p>
      <w:pPr>
        <w:snapToGrid w:val="0"/>
        <w:spacing w:line="340" w:lineRule="atLeast"/>
        <w:ind w:firstLine="420"/>
      </w:pPr>
      <w:r>
        <w:t>——</w:t>
      </w:r>
      <w:r>
        <w:rPr>
          <w:rFonts w:hint="eastAsia"/>
        </w:rPr>
        <w:t>使用的方法（如果标准中包括几个方法）；</w:t>
      </w:r>
    </w:p>
    <w:p>
      <w:pPr>
        <w:snapToGrid w:val="0"/>
        <w:spacing w:line="340" w:lineRule="atLeast"/>
        <w:ind w:firstLine="420"/>
      </w:pPr>
      <w:r>
        <w:rPr>
          <w:rFonts w:hint="eastAsia"/>
        </w:rPr>
        <w:t>——</w:t>
      </w:r>
      <w:r>
        <w:t>分析结果及其表示；</w:t>
      </w:r>
    </w:p>
    <w:p>
      <w:pPr>
        <w:snapToGrid w:val="0"/>
        <w:spacing w:line="340" w:lineRule="atLeast"/>
        <w:ind w:firstLine="420"/>
      </w:pPr>
      <w:r>
        <w:t>——与基本分析步骤的差异；</w:t>
      </w:r>
    </w:p>
    <w:p>
      <w:pPr>
        <w:snapToGrid w:val="0"/>
        <w:spacing w:line="340" w:lineRule="atLeast"/>
        <w:ind w:firstLine="420"/>
      </w:pPr>
      <w:r>
        <w:t>——观察到的异常现象；</w:t>
      </w:r>
    </w:p>
    <w:p>
      <w:pPr>
        <w:snapToGrid w:val="0"/>
        <w:spacing w:line="340" w:lineRule="atLeast"/>
        <w:ind w:firstLine="420"/>
      </w:pPr>
      <w:r>
        <w:rPr>
          <w:rFonts w:hint="eastAsia"/>
        </w:rPr>
        <w:t>——试验日期。</w:t>
      </w:r>
    </w:p>
    <w:p>
      <w:pPr>
        <w:pStyle w:val="4"/>
        <w:rPr>
          <w:rFonts w:hint="eastAsia" w:ascii="Times New Roman" w:hAnsi="Times New Roman" w:cs="Times New Roman"/>
        </w:rPr>
      </w:pPr>
    </w:p>
    <w:p>
      <w:pPr>
        <w:pStyle w:val="4"/>
        <w:rPr>
          <w:rFonts w:hint="eastAsia" w:ascii="Times New Roman" w:hAnsi="Times New Roman" w:cs="Times New Roman"/>
        </w:rPr>
      </w:pPr>
    </w:p>
    <w:p>
      <w:pPr>
        <w:rPr>
          <w:rFonts w:hint="eastAsia" w:ascii="黑体" w:hAnsi="黑体" w:eastAsia="黑体" w:cs="宋体"/>
          <w:szCs w:val="21"/>
        </w:rPr>
      </w:pPr>
      <w:r>
        <w:rPr>
          <w:rFonts w:hint="eastAsia" w:ascii="黑体" w:hAnsi="黑体" w:eastAsia="黑体" w:cs="宋体"/>
          <w:szCs w:val="21"/>
        </w:rPr>
        <w:br w:type="page"/>
      </w:r>
    </w:p>
    <w:p>
      <w:pPr>
        <w:tabs>
          <w:tab w:val="left" w:pos="520"/>
        </w:tabs>
        <w:autoSpaceDE w:val="0"/>
        <w:autoSpaceDN w:val="0"/>
        <w:adjustRightInd w:val="0"/>
        <w:spacing w:line="360" w:lineRule="auto"/>
        <w:jc w:val="center"/>
        <w:rPr>
          <w:rFonts w:hint="eastAsia" w:ascii="黑体" w:hAnsi="黑体" w:eastAsia="黑体"/>
          <w:szCs w:val="21"/>
        </w:rPr>
      </w:pPr>
      <w:r>
        <w:rPr>
          <w:rFonts w:hint="eastAsia" w:ascii="黑体" w:hAnsi="黑体" w:eastAsia="黑体" w:cs="宋体"/>
          <w:szCs w:val="21"/>
        </w:rPr>
        <w:t>附录</w:t>
      </w:r>
      <w:r>
        <w:rPr>
          <w:rFonts w:ascii="黑体" w:hAnsi="黑体" w:eastAsia="黑体"/>
          <w:szCs w:val="21"/>
        </w:rPr>
        <w:t>A</w:t>
      </w:r>
      <w:r>
        <w:rPr>
          <w:rFonts w:hint="eastAsia" w:ascii="黑体" w:hAnsi="黑体" w:eastAsia="黑体"/>
          <w:szCs w:val="21"/>
        </w:rPr>
        <w:t xml:space="preserve"> </w:t>
      </w:r>
    </w:p>
    <w:p>
      <w:pPr>
        <w:tabs>
          <w:tab w:val="left" w:pos="520"/>
        </w:tabs>
        <w:autoSpaceDE w:val="0"/>
        <w:autoSpaceDN w:val="0"/>
        <w:adjustRightInd w:val="0"/>
        <w:spacing w:line="360" w:lineRule="auto"/>
        <w:jc w:val="center"/>
        <w:rPr>
          <w:rFonts w:hint="eastAsia" w:ascii="黑体" w:hAnsi="黑体" w:eastAsia="黑体"/>
          <w:szCs w:val="21"/>
        </w:rPr>
      </w:pPr>
      <w:r>
        <w:rPr>
          <w:rFonts w:hint="eastAsia" w:ascii="黑体" w:hAnsi="黑体" w:eastAsia="黑体"/>
          <w:szCs w:val="21"/>
        </w:rPr>
        <w:t>（资料性）</w:t>
      </w:r>
    </w:p>
    <w:p>
      <w:pPr>
        <w:tabs>
          <w:tab w:val="left" w:pos="520"/>
        </w:tabs>
        <w:autoSpaceDE w:val="0"/>
        <w:autoSpaceDN w:val="0"/>
        <w:adjustRightInd w:val="0"/>
        <w:spacing w:line="360" w:lineRule="auto"/>
        <w:jc w:val="center"/>
        <w:rPr>
          <w:rFonts w:ascii="黑体" w:hAnsi="黑体" w:eastAsia="黑体"/>
          <w:szCs w:val="21"/>
        </w:rPr>
      </w:pPr>
      <w:r>
        <w:rPr>
          <w:rFonts w:hint="eastAsia" w:ascii="黑体" w:hAnsi="黑体" w:eastAsia="黑体"/>
          <w:szCs w:val="21"/>
        </w:rPr>
        <w:t>电位滴定仪推荐工作参数</w:t>
      </w:r>
    </w:p>
    <w:p>
      <w:pPr>
        <w:tabs>
          <w:tab w:val="left" w:pos="520"/>
        </w:tabs>
        <w:autoSpaceDE w:val="0"/>
        <w:autoSpaceDN w:val="0"/>
        <w:adjustRightInd w:val="0"/>
        <w:spacing w:line="360" w:lineRule="auto"/>
        <w:rPr>
          <w:rFonts w:hint="eastAsia" w:ascii="宋体" w:hAnsi="宋体" w:cs="宋体"/>
          <w:szCs w:val="21"/>
        </w:rPr>
      </w:pPr>
      <w:r>
        <w:rPr>
          <w:rFonts w:hint="eastAsia" w:ascii="宋体" w:hAnsi="宋体" w:cs="宋体"/>
          <w:szCs w:val="21"/>
        </w:rPr>
        <w:t>使用自动电位滴定仪测定铂含量，推荐工作参数见表A.1。</w:t>
      </w:r>
    </w:p>
    <w:p>
      <w:pPr>
        <w:tabs>
          <w:tab w:val="left" w:pos="520"/>
        </w:tabs>
        <w:autoSpaceDE w:val="0"/>
        <w:autoSpaceDN w:val="0"/>
        <w:adjustRightInd w:val="0"/>
        <w:spacing w:line="360" w:lineRule="auto"/>
        <w:jc w:val="center"/>
        <w:rPr>
          <w:rFonts w:ascii="黑体" w:hAnsi="黑体" w:eastAsia="黑体"/>
          <w:szCs w:val="21"/>
        </w:rPr>
      </w:pPr>
      <w:r>
        <w:rPr>
          <w:rFonts w:hint="eastAsia" w:ascii="黑体" w:hAnsi="黑体" w:eastAsia="黑体"/>
          <w:szCs w:val="21"/>
        </w:rPr>
        <w:t>表A.1 电位滴定仪推荐工作参数</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1191"/>
        <w:gridCol w:w="1311"/>
        <w:gridCol w:w="1796"/>
        <w:gridCol w:w="179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00" w:type="pct"/>
            <w:gridSpan w:val="6"/>
            <w:noWrap/>
            <w:vAlign w:val="bottom"/>
          </w:tcPr>
          <w:p>
            <w:pPr>
              <w:tabs>
                <w:tab w:val="left" w:pos="520"/>
              </w:tabs>
              <w:autoSpaceDE w:val="0"/>
              <w:autoSpaceDN w:val="0"/>
              <w:adjustRightInd w:val="0"/>
              <w:spacing w:line="360" w:lineRule="auto"/>
              <w:jc w:val="center"/>
              <w:rPr>
                <w:rFonts w:hint="eastAsia" w:ascii="宋体" w:hAnsi="宋体" w:cs="宋体"/>
                <w:sz w:val="15"/>
                <w:szCs w:val="15"/>
              </w:rPr>
            </w:pPr>
            <w:r>
              <w:rPr>
                <w:rFonts w:hint="eastAsia" w:ascii="宋体" w:hAnsi="宋体" w:cs="宋体"/>
                <w:sz w:val="18"/>
                <w:szCs w:val="18"/>
              </w:rPr>
              <w:t>仪器推荐参数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11" w:type="pct"/>
            <w:noWrap/>
            <w:vAlign w:val="center"/>
          </w:tcPr>
          <w:p>
            <w:pPr>
              <w:tabs>
                <w:tab w:val="left" w:pos="520"/>
              </w:tabs>
              <w:autoSpaceDE w:val="0"/>
              <w:autoSpaceDN w:val="0"/>
              <w:adjustRightInd w:val="0"/>
              <w:spacing w:line="360" w:lineRule="auto"/>
              <w:jc w:val="center"/>
              <w:rPr>
                <w:rFonts w:hint="eastAsia" w:ascii="宋体" w:hAnsi="宋体" w:cs="宋体"/>
                <w:sz w:val="18"/>
                <w:szCs w:val="18"/>
              </w:rPr>
            </w:pPr>
            <w:r>
              <w:rPr>
                <w:rFonts w:hint="eastAsia" w:ascii="宋体" w:hAnsi="宋体" w:cs="宋体"/>
                <w:sz w:val="18"/>
                <w:szCs w:val="18"/>
              </w:rPr>
              <w:t>电极（mV）</w:t>
            </w:r>
          </w:p>
        </w:tc>
        <w:tc>
          <w:tcPr>
            <w:tcW w:w="622" w:type="pct"/>
            <w:noWrap/>
            <w:vAlign w:val="center"/>
          </w:tcPr>
          <w:p>
            <w:pPr>
              <w:tabs>
                <w:tab w:val="left" w:pos="520"/>
              </w:tabs>
              <w:autoSpaceDE w:val="0"/>
              <w:autoSpaceDN w:val="0"/>
              <w:adjustRightInd w:val="0"/>
              <w:spacing w:line="360" w:lineRule="auto"/>
              <w:jc w:val="center"/>
              <w:rPr>
                <w:rFonts w:hint="eastAsia" w:ascii="宋体" w:hAnsi="宋体" w:cs="宋体"/>
                <w:sz w:val="18"/>
                <w:szCs w:val="18"/>
              </w:rPr>
            </w:pPr>
            <w:r>
              <w:rPr>
                <w:rFonts w:hint="eastAsia" w:ascii="宋体" w:hAnsi="宋体" w:cs="宋体"/>
                <w:sz w:val="18"/>
                <w:szCs w:val="18"/>
              </w:rPr>
              <w:t>速度(%)</w:t>
            </w:r>
          </w:p>
        </w:tc>
        <w:tc>
          <w:tcPr>
            <w:tcW w:w="685" w:type="pct"/>
            <w:noWrap/>
            <w:vAlign w:val="center"/>
          </w:tcPr>
          <w:p>
            <w:pPr>
              <w:tabs>
                <w:tab w:val="left" w:pos="520"/>
              </w:tabs>
              <w:autoSpaceDE w:val="0"/>
              <w:autoSpaceDN w:val="0"/>
              <w:adjustRightInd w:val="0"/>
              <w:spacing w:line="360" w:lineRule="auto"/>
              <w:jc w:val="center"/>
              <w:rPr>
                <w:rFonts w:hint="eastAsia" w:ascii="宋体" w:hAnsi="宋体" w:cs="宋体"/>
                <w:sz w:val="18"/>
                <w:szCs w:val="18"/>
              </w:rPr>
            </w:pPr>
            <w:r>
              <w:rPr>
                <w:rFonts w:hint="eastAsia" w:ascii="宋体" w:hAnsi="宋体" w:cs="宋体"/>
                <w:sz w:val="18"/>
                <w:szCs w:val="18"/>
              </w:rPr>
              <w:t>dE（mV）</w:t>
            </w:r>
          </w:p>
        </w:tc>
        <w:tc>
          <w:tcPr>
            <w:tcW w:w="938" w:type="pct"/>
            <w:noWrap/>
            <w:vAlign w:val="center"/>
          </w:tcPr>
          <w:p>
            <w:pPr>
              <w:tabs>
                <w:tab w:val="left" w:pos="520"/>
              </w:tabs>
              <w:autoSpaceDE w:val="0"/>
              <w:autoSpaceDN w:val="0"/>
              <w:adjustRightInd w:val="0"/>
              <w:spacing w:line="360" w:lineRule="auto"/>
              <w:jc w:val="center"/>
              <w:rPr>
                <w:rFonts w:hint="eastAsia" w:ascii="宋体" w:hAnsi="宋体" w:cs="宋体"/>
                <w:sz w:val="18"/>
                <w:szCs w:val="18"/>
              </w:rPr>
            </w:pPr>
            <w:r>
              <w:rPr>
                <w:rFonts w:hint="eastAsia" w:ascii="宋体" w:hAnsi="宋体" w:cs="宋体"/>
                <w:sz w:val="18"/>
                <w:szCs w:val="18"/>
              </w:rPr>
              <w:t>滴定剂添加模式</w:t>
            </w:r>
          </w:p>
        </w:tc>
        <w:tc>
          <w:tcPr>
            <w:tcW w:w="938" w:type="pct"/>
            <w:noWrap/>
            <w:vAlign w:val="center"/>
          </w:tcPr>
          <w:p>
            <w:pPr>
              <w:tabs>
                <w:tab w:val="left" w:pos="520"/>
              </w:tabs>
              <w:autoSpaceDE w:val="0"/>
              <w:autoSpaceDN w:val="0"/>
              <w:adjustRightInd w:val="0"/>
              <w:spacing w:line="360" w:lineRule="auto"/>
              <w:jc w:val="center"/>
              <w:rPr>
                <w:rFonts w:hint="eastAsia" w:ascii="宋体" w:hAnsi="宋体" w:cs="宋体"/>
                <w:sz w:val="18"/>
                <w:szCs w:val="18"/>
              </w:rPr>
            </w:pPr>
            <w:r>
              <w:rPr>
                <w:rFonts w:hint="eastAsia" w:ascii="宋体" w:hAnsi="宋体" w:cs="宋体"/>
                <w:sz w:val="18"/>
                <w:szCs w:val="18"/>
              </w:rPr>
              <w:t>模式</w:t>
            </w:r>
          </w:p>
        </w:tc>
        <w:tc>
          <w:tcPr>
            <w:tcW w:w="1003" w:type="pct"/>
            <w:noWrap/>
            <w:vAlign w:val="center"/>
          </w:tcPr>
          <w:p>
            <w:pPr>
              <w:tabs>
                <w:tab w:val="left" w:pos="520"/>
              </w:tabs>
              <w:autoSpaceDE w:val="0"/>
              <w:autoSpaceDN w:val="0"/>
              <w:adjustRightInd w:val="0"/>
              <w:spacing w:line="360" w:lineRule="auto"/>
              <w:jc w:val="center"/>
              <w:rPr>
                <w:rFonts w:hint="eastAsia" w:ascii="宋体" w:hAnsi="宋体" w:cs="宋体"/>
                <w:sz w:val="18"/>
                <w:szCs w:val="18"/>
              </w:rPr>
            </w:pPr>
            <w:r>
              <w:rPr>
                <w:rFonts w:hint="eastAsia" w:ascii="宋体" w:hAnsi="宋体" w:cs="宋体"/>
                <w:sz w:val="18"/>
                <w:szCs w:val="18"/>
              </w:rPr>
              <w:t>阈值（mV/mL）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11" w:type="pct"/>
            <w:noWrap/>
            <w:vAlign w:val="center"/>
          </w:tcPr>
          <w:p>
            <w:pPr>
              <w:tabs>
                <w:tab w:val="left" w:pos="520"/>
              </w:tabs>
              <w:autoSpaceDE w:val="0"/>
              <w:autoSpaceDN w:val="0"/>
              <w:adjustRightInd w:val="0"/>
              <w:spacing w:line="360" w:lineRule="auto"/>
              <w:jc w:val="center"/>
              <w:rPr>
                <w:rFonts w:hint="eastAsia" w:ascii="宋体" w:hAnsi="宋体" w:cs="宋体"/>
                <w:sz w:val="18"/>
                <w:szCs w:val="18"/>
              </w:rPr>
            </w:pPr>
            <w:r>
              <w:rPr>
                <w:rFonts w:hint="eastAsia" w:ascii="宋体" w:hAnsi="宋体" w:cs="宋体"/>
                <w:sz w:val="18"/>
                <w:szCs w:val="18"/>
              </w:rPr>
              <w:t>DM140-SC</w:t>
            </w:r>
          </w:p>
        </w:tc>
        <w:tc>
          <w:tcPr>
            <w:tcW w:w="622" w:type="pct"/>
            <w:noWrap/>
            <w:vAlign w:val="center"/>
          </w:tcPr>
          <w:p>
            <w:pPr>
              <w:tabs>
                <w:tab w:val="left" w:pos="520"/>
              </w:tabs>
              <w:autoSpaceDE w:val="0"/>
              <w:autoSpaceDN w:val="0"/>
              <w:adjustRightInd w:val="0"/>
              <w:spacing w:line="360" w:lineRule="auto"/>
              <w:jc w:val="center"/>
              <w:rPr>
                <w:rFonts w:hint="eastAsia" w:ascii="宋体" w:hAnsi="宋体" w:cs="宋体"/>
                <w:sz w:val="18"/>
                <w:szCs w:val="18"/>
              </w:rPr>
            </w:pPr>
            <w:r>
              <w:rPr>
                <w:rFonts w:hint="eastAsia" w:ascii="宋体" w:hAnsi="宋体" w:cs="宋体"/>
                <w:sz w:val="18"/>
                <w:szCs w:val="18"/>
              </w:rPr>
              <w:t>30</w:t>
            </w:r>
          </w:p>
        </w:tc>
        <w:tc>
          <w:tcPr>
            <w:tcW w:w="685" w:type="pct"/>
            <w:noWrap/>
            <w:vAlign w:val="center"/>
          </w:tcPr>
          <w:p>
            <w:pPr>
              <w:tabs>
                <w:tab w:val="left" w:pos="520"/>
              </w:tabs>
              <w:autoSpaceDE w:val="0"/>
              <w:autoSpaceDN w:val="0"/>
              <w:adjustRightInd w:val="0"/>
              <w:spacing w:line="360" w:lineRule="auto"/>
              <w:jc w:val="center"/>
              <w:rPr>
                <w:rFonts w:hint="eastAsia" w:ascii="宋体" w:hAnsi="宋体" w:cs="宋体"/>
                <w:sz w:val="18"/>
                <w:szCs w:val="18"/>
              </w:rPr>
            </w:pPr>
            <w:r>
              <w:rPr>
                <w:rFonts w:hint="eastAsia" w:ascii="宋体" w:hAnsi="宋体" w:cs="宋体"/>
                <w:sz w:val="18"/>
                <w:szCs w:val="18"/>
              </w:rPr>
              <w:t>3</w:t>
            </w:r>
          </w:p>
        </w:tc>
        <w:tc>
          <w:tcPr>
            <w:tcW w:w="938" w:type="pct"/>
            <w:noWrap/>
            <w:vAlign w:val="center"/>
          </w:tcPr>
          <w:p>
            <w:pPr>
              <w:tabs>
                <w:tab w:val="left" w:pos="520"/>
              </w:tabs>
              <w:autoSpaceDE w:val="0"/>
              <w:autoSpaceDN w:val="0"/>
              <w:adjustRightInd w:val="0"/>
              <w:spacing w:line="360" w:lineRule="auto"/>
              <w:jc w:val="center"/>
              <w:rPr>
                <w:rFonts w:hint="eastAsia" w:ascii="宋体" w:hAnsi="宋体" w:cs="宋体"/>
                <w:sz w:val="18"/>
                <w:szCs w:val="18"/>
              </w:rPr>
            </w:pPr>
            <w:r>
              <w:rPr>
                <w:rFonts w:hint="eastAsia" w:ascii="宋体" w:hAnsi="宋体" w:cs="宋体"/>
                <w:sz w:val="18"/>
                <w:szCs w:val="18"/>
              </w:rPr>
              <w:t>动态添加</w:t>
            </w:r>
          </w:p>
        </w:tc>
        <w:tc>
          <w:tcPr>
            <w:tcW w:w="938" w:type="pct"/>
            <w:noWrap/>
            <w:vAlign w:val="center"/>
          </w:tcPr>
          <w:p>
            <w:pPr>
              <w:tabs>
                <w:tab w:val="left" w:pos="520"/>
              </w:tabs>
              <w:autoSpaceDE w:val="0"/>
              <w:autoSpaceDN w:val="0"/>
              <w:adjustRightInd w:val="0"/>
              <w:spacing w:line="360" w:lineRule="auto"/>
              <w:jc w:val="center"/>
              <w:rPr>
                <w:rFonts w:hint="eastAsia" w:ascii="宋体" w:hAnsi="宋体" w:cs="宋体"/>
                <w:sz w:val="18"/>
                <w:szCs w:val="18"/>
              </w:rPr>
            </w:pPr>
            <w:r>
              <w:rPr>
                <w:rFonts w:hint="eastAsia" w:ascii="宋体" w:hAnsi="宋体" w:cs="宋体"/>
                <w:sz w:val="18"/>
                <w:szCs w:val="18"/>
              </w:rPr>
              <w:t>平衡控制模式</w:t>
            </w:r>
          </w:p>
        </w:tc>
        <w:tc>
          <w:tcPr>
            <w:tcW w:w="1003" w:type="pct"/>
            <w:noWrap/>
            <w:vAlign w:val="center"/>
          </w:tcPr>
          <w:p>
            <w:pPr>
              <w:tabs>
                <w:tab w:val="left" w:pos="520"/>
              </w:tabs>
              <w:autoSpaceDE w:val="0"/>
              <w:autoSpaceDN w:val="0"/>
              <w:adjustRightInd w:val="0"/>
              <w:spacing w:line="360" w:lineRule="auto"/>
              <w:jc w:val="center"/>
              <w:rPr>
                <w:rFonts w:hint="eastAsia" w:ascii="宋体" w:hAnsi="宋体" w:cs="宋体"/>
                <w:sz w:val="18"/>
                <w:szCs w:val="18"/>
              </w:rPr>
            </w:pPr>
            <w:r>
              <w:rPr>
                <w:rFonts w:hint="eastAsia" w:ascii="宋体" w:hAnsi="宋体" w:cs="宋体"/>
                <w:sz w:val="18"/>
                <w:szCs w:val="18"/>
              </w:rPr>
              <w:t>500</w:t>
            </w:r>
          </w:p>
        </w:tc>
      </w:tr>
    </w:tbl>
    <w:p>
      <w:pPr>
        <w:tabs>
          <w:tab w:val="left" w:pos="520"/>
        </w:tabs>
        <w:autoSpaceDE w:val="0"/>
        <w:autoSpaceDN w:val="0"/>
        <w:adjustRightInd w:val="0"/>
        <w:spacing w:line="360" w:lineRule="auto"/>
        <w:jc w:val="center"/>
        <w:rPr>
          <w:rFonts w:hint="eastAsia" w:ascii="黑体" w:hAnsi="黑体" w:eastAsia="黑体" w:cs="宋体"/>
          <w:szCs w:val="21"/>
        </w:rPr>
      </w:pPr>
    </w:p>
    <w:p>
      <w:pPr>
        <w:tabs>
          <w:tab w:val="left" w:pos="520"/>
        </w:tabs>
        <w:autoSpaceDE w:val="0"/>
        <w:autoSpaceDN w:val="0"/>
        <w:adjustRightInd w:val="0"/>
        <w:spacing w:line="360" w:lineRule="auto"/>
        <w:jc w:val="center"/>
        <w:rPr>
          <w:rFonts w:hint="eastAsia" w:ascii="黑体" w:hAnsi="黑体" w:eastAsia="黑体" w:cs="宋体"/>
          <w:szCs w:val="21"/>
        </w:rPr>
      </w:pPr>
    </w:p>
    <w:p>
      <w:pPr>
        <w:tabs>
          <w:tab w:val="left" w:pos="520"/>
        </w:tabs>
        <w:autoSpaceDE w:val="0"/>
        <w:autoSpaceDN w:val="0"/>
        <w:adjustRightInd w:val="0"/>
        <w:spacing w:line="360" w:lineRule="auto"/>
        <w:jc w:val="center"/>
        <w:rPr>
          <w:rFonts w:hint="eastAsia" w:ascii="黑体" w:hAnsi="黑体" w:eastAsia="黑体" w:cs="宋体"/>
          <w:szCs w:val="21"/>
        </w:rPr>
      </w:pPr>
    </w:p>
    <w:p>
      <w:pPr>
        <w:tabs>
          <w:tab w:val="left" w:pos="520"/>
        </w:tabs>
        <w:autoSpaceDE w:val="0"/>
        <w:autoSpaceDN w:val="0"/>
        <w:adjustRightInd w:val="0"/>
        <w:spacing w:line="360" w:lineRule="auto"/>
        <w:jc w:val="center"/>
        <w:rPr>
          <w:rFonts w:hint="eastAsia" w:ascii="黑体" w:hAnsi="黑体" w:eastAsia="黑体" w:cs="宋体"/>
          <w:szCs w:val="21"/>
        </w:rPr>
      </w:pPr>
    </w:p>
    <w:p>
      <w:pPr>
        <w:tabs>
          <w:tab w:val="left" w:pos="520"/>
        </w:tabs>
        <w:autoSpaceDE w:val="0"/>
        <w:autoSpaceDN w:val="0"/>
        <w:adjustRightInd w:val="0"/>
        <w:spacing w:line="360" w:lineRule="auto"/>
        <w:jc w:val="center"/>
        <w:rPr>
          <w:rFonts w:hint="eastAsia" w:ascii="黑体" w:hAnsi="黑体" w:eastAsia="黑体" w:cs="宋体"/>
          <w:szCs w:val="21"/>
        </w:rPr>
      </w:pPr>
    </w:p>
    <w:p>
      <w:pPr>
        <w:tabs>
          <w:tab w:val="left" w:pos="520"/>
        </w:tabs>
        <w:autoSpaceDE w:val="0"/>
        <w:autoSpaceDN w:val="0"/>
        <w:adjustRightInd w:val="0"/>
        <w:spacing w:line="360" w:lineRule="auto"/>
        <w:jc w:val="center"/>
        <w:rPr>
          <w:rFonts w:hint="eastAsia" w:ascii="黑体" w:hAnsi="黑体" w:eastAsia="黑体" w:cs="宋体"/>
          <w:szCs w:val="21"/>
        </w:rPr>
      </w:pPr>
    </w:p>
    <w:p>
      <w:pPr>
        <w:tabs>
          <w:tab w:val="left" w:pos="520"/>
        </w:tabs>
        <w:autoSpaceDE w:val="0"/>
        <w:autoSpaceDN w:val="0"/>
        <w:adjustRightInd w:val="0"/>
        <w:spacing w:line="360" w:lineRule="auto"/>
        <w:jc w:val="center"/>
        <w:rPr>
          <w:rFonts w:hint="eastAsia" w:ascii="黑体" w:hAnsi="黑体" w:eastAsia="黑体" w:cs="宋体"/>
          <w:szCs w:val="21"/>
        </w:rPr>
      </w:pPr>
    </w:p>
    <w:p>
      <w:pPr>
        <w:tabs>
          <w:tab w:val="left" w:pos="520"/>
        </w:tabs>
        <w:autoSpaceDE w:val="0"/>
        <w:autoSpaceDN w:val="0"/>
        <w:adjustRightInd w:val="0"/>
        <w:spacing w:line="360" w:lineRule="auto"/>
        <w:jc w:val="center"/>
        <w:rPr>
          <w:rFonts w:hint="eastAsia" w:ascii="黑体" w:hAnsi="黑体" w:eastAsia="黑体" w:cs="宋体"/>
          <w:szCs w:val="21"/>
        </w:rPr>
      </w:pPr>
    </w:p>
    <w:p>
      <w:pPr>
        <w:tabs>
          <w:tab w:val="left" w:pos="520"/>
        </w:tabs>
        <w:autoSpaceDE w:val="0"/>
        <w:autoSpaceDN w:val="0"/>
        <w:adjustRightInd w:val="0"/>
        <w:spacing w:line="360" w:lineRule="auto"/>
        <w:jc w:val="center"/>
        <w:rPr>
          <w:rFonts w:hint="eastAsia" w:ascii="黑体" w:hAnsi="黑体" w:eastAsia="黑体" w:cs="宋体"/>
          <w:szCs w:val="21"/>
        </w:rPr>
      </w:pPr>
    </w:p>
    <w:p>
      <w:pPr>
        <w:tabs>
          <w:tab w:val="left" w:pos="520"/>
        </w:tabs>
        <w:autoSpaceDE w:val="0"/>
        <w:autoSpaceDN w:val="0"/>
        <w:adjustRightInd w:val="0"/>
        <w:spacing w:line="360" w:lineRule="auto"/>
        <w:jc w:val="center"/>
        <w:rPr>
          <w:rFonts w:hint="eastAsia" w:ascii="黑体" w:hAnsi="黑体" w:eastAsia="黑体" w:cs="宋体"/>
          <w:szCs w:val="21"/>
        </w:rPr>
      </w:pPr>
    </w:p>
    <w:p>
      <w:pPr>
        <w:tabs>
          <w:tab w:val="left" w:pos="520"/>
        </w:tabs>
        <w:autoSpaceDE w:val="0"/>
        <w:autoSpaceDN w:val="0"/>
        <w:adjustRightInd w:val="0"/>
        <w:spacing w:line="360" w:lineRule="auto"/>
        <w:rPr>
          <w:rFonts w:hint="eastAsia" w:ascii="黑体" w:hAnsi="黑体" w:eastAsia="黑体" w:cs="宋体"/>
          <w:szCs w:val="21"/>
        </w:rPr>
      </w:pPr>
    </w:p>
    <w:p>
      <w:pPr>
        <w:tabs>
          <w:tab w:val="left" w:pos="520"/>
        </w:tabs>
        <w:autoSpaceDE w:val="0"/>
        <w:autoSpaceDN w:val="0"/>
        <w:adjustRightInd w:val="0"/>
        <w:spacing w:line="360" w:lineRule="auto"/>
        <w:jc w:val="center"/>
        <w:rPr>
          <w:rFonts w:hint="eastAsia" w:ascii="黑体" w:hAnsi="黑体" w:eastAsia="黑体" w:cs="宋体"/>
          <w:szCs w:val="21"/>
        </w:rPr>
      </w:pPr>
    </w:p>
    <w:p>
      <w:pPr>
        <w:tabs>
          <w:tab w:val="left" w:pos="520"/>
        </w:tabs>
        <w:autoSpaceDE w:val="0"/>
        <w:autoSpaceDN w:val="0"/>
        <w:adjustRightInd w:val="0"/>
        <w:spacing w:line="360" w:lineRule="auto"/>
        <w:rPr>
          <w:rFonts w:hint="eastAsia" w:ascii="黑体" w:hAnsi="黑体" w:eastAsia="黑体" w:cs="宋体"/>
          <w:szCs w:val="21"/>
        </w:rPr>
      </w:pPr>
    </w:p>
    <w:p>
      <w:pPr>
        <w:tabs>
          <w:tab w:val="left" w:pos="520"/>
        </w:tabs>
        <w:autoSpaceDE w:val="0"/>
        <w:autoSpaceDN w:val="0"/>
        <w:adjustRightInd w:val="0"/>
        <w:spacing w:line="360" w:lineRule="auto"/>
        <w:jc w:val="center"/>
        <w:rPr>
          <w:rFonts w:hint="eastAsia" w:ascii="黑体" w:hAnsi="黑体" w:eastAsia="黑体" w:cs="宋体"/>
          <w:szCs w:val="21"/>
        </w:rPr>
      </w:pPr>
    </w:p>
    <w:p>
      <w:pPr>
        <w:tabs>
          <w:tab w:val="left" w:pos="520"/>
        </w:tabs>
        <w:autoSpaceDE w:val="0"/>
        <w:autoSpaceDN w:val="0"/>
        <w:adjustRightInd w:val="0"/>
        <w:spacing w:line="360" w:lineRule="auto"/>
        <w:jc w:val="center"/>
        <w:rPr>
          <w:rFonts w:hint="eastAsia" w:ascii="黑体" w:hAnsi="黑体" w:eastAsia="黑体" w:cs="宋体"/>
          <w:szCs w:val="21"/>
        </w:rPr>
      </w:pPr>
    </w:p>
    <w:p>
      <w:pPr>
        <w:tabs>
          <w:tab w:val="left" w:pos="520"/>
        </w:tabs>
        <w:autoSpaceDE w:val="0"/>
        <w:autoSpaceDN w:val="0"/>
        <w:adjustRightInd w:val="0"/>
        <w:spacing w:line="360" w:lineRule="auto"/>
        <w:jc w:val="center"/>
        <w:rPr>
          <w:rFonts w:hint="eastAsia" w:ascii="黑体" w:hAnsi="黑体" w:eastAsia="黑体" w:cs="宋体"/>
          <w:szCs w:val="21"/>
        </w:rPr>
      </w:pPr>
    </w:p>
    <w:p>
      <w:pPr>
        <w:tabs>
          <w:tab w:val="left" w:pos="520"/>
        </w:tabs>
        <w:autoSpaceDE w:val="0"/>
        <w:autoSpaceDN w:val="0"/>
        <w:adjustRightInd w:val="0"/>
        <w:spacing w:line="360" w:lineRule="auto"/>
        <w:jc w:val="center"/>
        <w:rPr>
          <w:rFonts w:hint="eastAsia" w:ascii="黑体" w:hAnsi="黑体" w:eastAsia="黑体" w:cs="宋体"/>
          <w:szCs w:val="21"/>
        </w:rPr>
      </w:pPr>
    </w:p>
    <w:p>
      <w:pPr>
        <w:tabs>
          <w:tab w:val="left" w:pos="520"/>
        </w:tabs>
        <w:autoSpaceDE w:val="0"/>
        <w:autoSpaceDN w:val="0"/>
        <w:adjustRightInd w:val="0"/>
        <w:spacing w:line="360" w:lineRule="auto"/>
        <w:jc w:val="center"/>
        <w:rPr>
          <w:rFonts w:hint="eastAsia" w:ascii="黑体" w:hAnsi="黑体" w:eastAsia="黑体" w:cs="宋体"/>
          <w:szCs w:val="21"/>
        </w:rPr>
      </w:pPr>
    </w:p>
    <w:p>
      <w:pPr>
        <w:tabs>
          <w:tab w:val="left" w:pos="520"/>
        </w:tabs>
        <w:autoSpaceDE w:val="0"/>
        <w:autoSpaceDN w:val="0"/>
        <w:adjustRightInd w:val="0"/>
        <w:spacing w:line="360" w:lineRule="auto"/>
        <w:jc w:val="center"/>
        <w:rPr>
          <w:rFonts w:hint="eastAsia" w:ascii="黑体" w:hAnsi="黑体" w:eastAsia="黑体" w:cs="宋体"/>
          <w:szCs w:val="21"/>
        </w:rPr>
      </w:pPr>
    </w:p>
    <w:p>
      <w:pPr>
        <w:tabs>
          <w:tab w:val="left" w:pos="520"/>
        </w:tabs>
        <w:autoSpaceDE w:val="0"/>
        <w:autoSpaceDN w:val="0"/>
        <w:adjustRightInd w:val="0"/>
        <w:spacing w:line="360" w:lineRule="auto"/>
        <w:jc w:val="center"/>
        <w:rPr>
          <w:rFonts w:hint="eastAsia" w:ascii="黑体" w:hAnsi="黑体" w:eastAsia="黑体" w:cs="宋体"/>
          <w:szCs w:val="21"/>
        </w:rPr>
      </w:pPr>
    </w:p>
    <w:p>
      <w:pPr>
        <w:tabs>
          <w:tab w:val="left" w:pos="520"/>
        </w:tabs>
        <w:autoSpaceDE w:val="0"/>
        <w:autoSpaceDN w:val="0"/>
        <w:adjustRightInd w:val="0"/>
        <w:spacing w:line="360" w:lineRule="auto"/>
        <w:jc w:val="both"/>
        <w:rPr>
          <w:rFonts w:hint="eastAsia" w:ascii="黑体" w:hAnsi="黑体" w:eastAsia="黑体" w:cs="宋体"/>
          <w:szCs w:val="21"/>
        </w:rPr>
      </w:pPr>
    </w:p>
    <w:p>
      <w:pPr>
        <w:keepNext w:val="0"/>
        <w:keepLines w:val="0"/>
        <w:pageBreakBefore w:val="0"/>
        <w:widowControl w:val="0"/>
        <w:tabs>
          <w:tab w:val="left" w:pos="520"/>
        </w:tabs>
        <w:kinsoku/>
        <w:wordWrap/>
        <w:overflowPunct/>
        <w:topLinePunct w:val="0"/>
        <w:autoSpaceDE w:val="0"/>
        <w:autoSpaceDN w:val="0"/>
        <w:bidi w:val="0"/>
        <w:adjustRightInd w:val="0"/>
        <w:snapToGrid/>
        <w:spacing w:line="240" w:lineRule="auto"/>
        <w:jc w:val="center"/>
        <w:textAlignment w:val="auto"/>
        <w:rPr>
          <w:rFonts w:hint="eastAsia" w:ascii="黑体" w:hAnsi="黑体" w:eastAsia="黑体" w:cs="宋体"/>
          <w:szCs w:val="21"/>
        </w:rPr>
      </w:pPr>
      <w:r>
        <w:rPr>
          <w:rFonts w:hint="eastAsia" w:ascii="黑体" w:hAnsi="黑体" w:eastAsia="黑体" w:cs="宋体"/>
          <w:szCs w:val="21"/>
        </w:rPr>
        <w:t>附录B</w:t>
      </w:r>
    </w:p>
    <w:p>
      <w:pPr>
        <w:keepNext w:val="0"/>
        <w:keepLines w:val="0"/>
        <w:pageBreakBefore w:val="0"/>
        <w:widowControl w:val="0"/>
        <w:tabs>
          <w:tab w:val="left" w:pos="520"/>
        </w:tabs>
        <w:kinsoku/>
        <w:wordWrap/>
        <w:overflowPunct/>
        <w:topLinePunct w:val="0"/>
        <w:autoSpaceDE w:val="0"/>
        <w:autoSpaceDN w:val="0"/>
        <w:bidi w:val="0"/>
        <w:adjustRightInd w:val="0"/>
        <w:snapToGrid/>
        <w:spacing w:line="240" w:lineRule="auto"/>
        <w:jc w:val="center"/>
        <w:textAlignment w:val="auto"/>
        <w:rPr>
          <w:rFonts w:hint="eastAsia" w:ascii="黑体" w:hAnsi="黑体" w:eastAsia="黑体" w:cs="宋体"/>
          <w:szCs w:val="21"/>
        </w:rPr>
      </w:pPr>
      <w:r>
        <w:rPr>
          <w:rFonts w:hint="eastAsia" w:ascii="黑体" w:hAnsi="黑体" w:eastAsia="黑体" w:cs="宋体"/>
          <w:szCs w:val="21"/>
        </w:rPr>
        <w:t>（资料性）</w:t>
      </w:r>
    </w:p>
    <w:p>
      <w:pPr>
        <w:keepNext w:val="0"/>
        <w:keepLines w:val="0"/>
        <w:pageBreakBefore w:val="0"/>
        <w:widowControl w:val="0"/>
        <w:tabs>
          <w:tab w:val="left" w:pos="520"/>
        </w:tabs>
        <w:kinsoku/>
        <w:wordWrap/>
        <w:overflowPunct/>
        <w:topLinePunct w:val="0"/>
        <w:autoSpaceDE w:val="0"/>
        <w:autoSpaceDN w:val="0"/>
        <w:bidi w:val="0"/>
        <w:adjustRightInd w:val="0"/>
        <w:snapToGrid/>
        <w:spacing w:line="240" w:lineRule="auto"/>
        <w:jc w:val="center"/>
        <w:textAlignment w:val="auto"/>
        <w:rPr>
          <w:rFonts w:ascii="黑体" w:hAnsi="黑体" w:eastAsia="黑体" w:cs="黑体"/>
          <w:szCs w:val="21"/>
        </w:rPr>
      </w:pPr>
      <w:r>
        <w:rPr>
          <w:rFonts w:hint="eastAsia" w:ascii="黑体" w:hAnsi="黑体" w:eastAsia="黑体" w:cs="黑体"/>
          <w:szCs w:val="21"/>
        </w:rPr>
        <w:t>精密度试验原始数据</w:t>
      </w:r>
    </w:p>
    <w:p>
      <w:pPr>
        <w:tabs>
          <w:tab w:val="left" w:pos="520"/>
        </w:tabs>
        <w:autoSpaceDE w:val="0"/>
        <w:autoSpaceDN w:val="0"/>
        <w:adjustRightInd w:val="0"/>
        <w:spacing w:line="276" w:lineRule="auto"/>
        <w:ind w:firstLine="420" w:firstLineChars="200"/>
        <w:rPr>
          <w:rFonts w:ascii="宋体" w:hAnsi="宋体" w:cs="宋体"/>
          <w:szCs w:val="21"/>
        </w:rPr>
      </w:pPr>
      <w:r>
        <w:rPr>
          <w:rFonts w:hint="eastAsia" w:ascii="宋体" w:hAnsi="宋体" w:cs="宋体"/>
          <w:szCs w:val="21"/>
        </w:rPr>
        <w:t>精密度数据是由</w:t>
      </w:r>
      <w:r>
        <w:rPr>
          <w:rFonts w:hint="eastAsia" w:ascii="宋体" w:hAnsi="宋体" w:cs="宋体"/>
          <w:szCs w:val="21"/>
          <w:highlight w:val="none"/>
          <w:lang w:val="en-US" w:eastAsia="zh-CN"/>
        </w:rPr>
        <w:t>11</w:t>
      </w:r>
      <w:r>
        <w:rPr>
          <w:rFonts w:hint="eastAsia" w:ascii="宋体" w:hAnsi="宋体" w:cs="宋体"/>
          <w:szCs w:val="21"/>
        </w:rPr>
        <w:t>家实验室对3个不同水平样品进行共同试验确定的。每个实验室对每个铂含量在重复性条件下独立测定7次。测量的原始数据见表</w:t>
      </w:r>
      <w:r>
        <w:rPr>
          <w:rFonts w:hint="eastAsia" w:ascii="宋体" w:hAnsi="宋体" w:cs="宋体"/>
          <w:szCs w:val="21"/>
          <w:lang w:val="en-US" w:eastAsia="zh-CN"/>
        </w:rPr>
        <w:t>B</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p>
    <w:p>
      <w:pPr>
        <w:tabs>
          <w:tab w:val="left" w:pos="520"/>
        </w:tabs>
        <w:autoSpaceDE w:val="0"/>
        <w:autoSpaceDN w:val="0"/>
        <w:adjustRightInd w:val="0"/>
        <w:spacing w:line="360" w:lineRule="auto"/>
        <w:jc w:val="center"/>
        <w:rPr>
          <w:rFonts w:hint="eastAsia"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val="en-US" w:eastAsia="zh-CN"/>
        </w:rPr>
        <w:t>B</w:t>
      </w:r>
      <w:r>
        <w:rPr>
          <w:rFonts w:hint="eastAsia" w:ascii="黑体" w:hAnsi="黑体" w:eastAsia="黑体" w:cs="黑体"/>
          <w:szCs w:val="21"/>
        </w:rPr>
        <w:t>.</w:t>
      </w:r>
      <w:r>
        <w:rPr>
          <w:rFonts w:hint="eastAsia" w:ascii="黑体" w:hAnsi="黑体" w:eastAsia="黑体" w:cs="黑体"/>
          <w:szCs w:val="21"/>
          <w:lang w:val="en-US" w:eastAsia="zh-CN"/>
        </w:rPr>
        <w:t>1</w:t>
      </w:r>
      <w:r>
        <w:rPr>
          <w:rFonts w:hint="eastAsia" w:ascii="黑体" w:hAnsi="黑体" w:eastAsia="黑体" w:cs="黑体"/>
          <w:szCs w:val="21"/>
        </w:rPr>
        <w:t xml:space="preserve">  精密度试验原始数据</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56"/>
        <w:gridCol w:w="957"/>
        <w:gridCol w:w="957"/>
        <w:gridCol w:w="957"/>
        <w:gridCol w:w="957"/>
        <w:gridCol w:w="957"/>
        <w:gridCol w:w="957"/>
        <w:gridCol w:w="957"/>
        <w:gridCol w:w="957"/>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Pt</w:t>
            </w:r>
          </w:p>
        </w:tc>
        <w:tc>
          <w:tcPr>
            <w:tcW w:w="500" w:type="pct"/>
            <w:vMerge w:val="restar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实验数</w:t>
            </w:r>
          </w:p>
        </w:tc>
        <w:tc>
          <w:tcPr>
            <w:tcW w:w="500" w:type="pct"/>
            <w:vMerge w:val="restar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水平数</w:t>
            </w:r>
          </w:p>
        </w:tc>
        <w:tc>
          <w:tcPr>
            <w:tcW w:w="3500" w:type="pct"/>
            <w:gridSpan w:val="7"/>
            <w:vMerge w:val="restar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Pt的质量分数/（%），n=3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vMerge w:val="continue"/>
            <w:tcBorders>
              <w:top w:val="single" w:color="000000" w:sz="8" w:space="0"/>
              <w:left w:val="nil"/>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500" w:type="pct"/>
            <w:vMerge w:val="continue"/>
            <w:tcBorders>
              <w:top w:val="single" w:color="000000" w:sz="8" w:space="0"/>
              <w:left w:val="nil"/>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c>
          <w:tcPr>
            <w:tcW w:w="3500" w:type="pct"/>
            <w:gridSpan w:val="7"/>
            <w:vMerge w:val="continue"/>
            <w:tcBorders>
              <w:top w:val="single" w:color="000000" w:sz="8" w:space="0"/>
              <w:left w:val="nil"/>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vMerge w:val="restart"/>
            <w:tcBorders>
              <w:top w:val="nil"/>
              <w:left w:val="nil"/>
              <w:bottom w:val="nil"/>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bdr w:val="none" w:color="auto" w:sz="0" w:space="0"/>
                <w:lang w:val="en-US" w:eastAsia="zh-CN" w:bidi="ar"/>
              </w:rPr>
              <w:t>1</w:t>
            </w:r>
          </w:p>
        </w:tc>
        <w:tc>
          <w:tcPr>
            <w:tcW w:w="50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50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4.97 </w:t>
            </w:r>
          </w:p>
        </w:tc>
        <w:tc>
          <w:tcPr>
            <w:tcW w:w="500" w:type="pc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4.99 </w:t>
            </w:r>
          </w:p>
        </w:tc>
        <w:tc>
          <w:tcPr>
            <w:tcW w:w="50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4.97 </w:t>
            </w:r>
          </w:p>
        </w:tc>
        <w:tc>
          <w:tcPr>
            <w:tcW w:w="50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4.97 </w:t>
            </w:r>
          </w:p>
        </w:tc>
        <w:tc>
          <w:tcPr>
            <w:tcW w:w="500" w:type="pc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4.96 </w:t>
            </w:r>
          </w:p>
        </w:tc>
        <w:tc>
          <w:tcPr>
            <w:tcW w:w="500" w:type="pc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4.97 </w:t>
            </w:r>
          </w:p>
        </w:tc>
        <w:tc>
          <w:tcPr>
            <w:tcW w:w="500" w:type="pc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vMerge w:val="continue"/>
            <w:tcBorders>
              <w:top w:val="nil"/>
              <w:left w:val="nil"/>
              <w:bottom w:val="nil"/>
              <w:right w:val="single" w:color="000000" w:sz="8" w:space="0"/>
            </w:tcBorders>
            <w:shd w:val="clear"/>
            <w:vAlign w:val="center"/>
          </w:tcPr>
          <w:p>
            <w:pPr>
              <w:jc w:val="center"/>
              <w:rPr>
                <w:rFonts w:hint="default" w:ascii="Times New Roman" w:hAnsi="Times New Roman" w:eastAsia="宋体" w:cs="Times New Roman"/>
                <w:i w:val="0"/>
                <w:iCs w:val="0"/>
                <w:color w:val="000000"/>
                <w:sz w:val="16"/>
                <w:szCs w:val="16"/>
                <w:u w:val="none"/>
              </w:rPr>
            </w:pPr>
          </w:p>
        </w:tc>
        <w:tc>
          <w:tcPr>
            <w:tcW w:w="50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2</w:t>
            </w:r>
          </w:p>
        </w:tc>
        <w:tc>
          <w:tcPr>
            <w:tcW w:w="50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60.01 </w:t>
            </w:r>
          </w:p>
        </w:tc>
        <w:tc>
          <w:tcPr>
            <w:tcW w:w="50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59.93 </w:t>
            </w:r>
          </w:p>
        </w:tc>
        <w:tc>
          <w:tcPr>
            <w:tcW w:w="50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59.96 </w:t>
            </w:r>
          </w:p>
        </w:tc>
        <w:tc>
          <w:tcPr>
            <w:tcW w:w="50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59.92 </w:t>
            </w:r>
          </w:p>
        </w:tc>
        <w:tc>
          <w:tcPr>
            <w:tcW w:w="50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59.93 </w:t>
            </w:r>
          </w:p>
        </w:tc>
        <w:tc>
          <w:tcPr>
            <w:tcW w:w="50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59.96 </w:t>
            </w:r>
          </w:p>
        </w:tc>
        <w:tc>
          <w:tcPr>
            <w:tcW w:w="50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vMerge w:val="continue"/>
            <w:tcBorders>
              <w:top w:val="nil"/>
              <w:left w:val="nil"/>
              <w:bottom w:val="nil"/>
              <w:right w:val="single" w:color="000000" w:sz="8" w:space="0"/>
            </w:tcBorders>
            <w:shd w:val="clear"/>
            <w:vAlign w:val="center"/>
          </w:tcPr>
          <w:p>
            <w:pPr>
              <w:jc w:val="center"/>
              <w:rPr>
                <w:rFonts w:hint="default" w:ascii="Times New Roman" w:hAnsi="Times New Roman" w:eastAsia="宋体" w:cs="Times New Roman"/>
                <w:i w:val="0"/>
                <w:iCs w:val="0"/>
                <w:color w:val="000000"/>
                <w:sz w:val="16"/>
                <w:szCs w:val="16"/>
                <w:u w:val="none"/>
              </w:rPr>
            </w:pP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95.10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94.99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95.03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95.03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94.99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95.08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vMerge w:val="restar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bdr w:val="none" w:color="auto" w:sz="0" w:space="0"/>
                <w:lang w:val="en-US" w:eastAsia="zh-CN" w:bidi="ar"/>
              </w:rPr>
              <w:t>2</w:t>
            </w:r>
          </w:p>
        </w:tc>
        <w:tc>
          <w:tcPr>
            <w:tcW w:w="50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4.96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4.97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5.01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5.01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5.01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4.98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vMerge w:val="continue"/>
            <w:tcBorders>
              <w:top w:val="single" w:color="000000" w:sz="8" w:space="0"/>
              <w:left w:val="nil"/>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16"/>
                <w:szCs w:val="16"/>
                <w:u w:val="none"/>
              </w:rPr>
            </w:pPr>
          </w:p>
        </w:tc>
        <w:tc>
          <w:tcPr>
            <w:tcW w:w="50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2</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59.79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59.89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60.03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60.06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60.11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59.87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60.08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vMerge w:val="continue"/>
            <w:tcBorders>
              <w:top w:val="single" w:color="000000" w:sz="8" w:space="0"/>
              <w:left w:val="nil"/>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16"/>
                <w:szCs w:val="16"/>
                <w:u w:val="none"/>
              </w:rPr>
            </w:pP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95.05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95.10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95.08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94.97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94.91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94.80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vMerge w:val="restart"/>
            <w:tcBorders>
              <w:top w:val="nil"/>
              <w:left w:val="nil"/>
              <w:bottom w:val="nil"/>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bdr w:val="none" w:color="auto" w:sz="0" w:space="0"/>
                <w:lang w:val="en-US" w:eastAsia="zh-CN" w:bidi="ar"/>
              </w:rPr>
              <w:t>3</w:t>
            </w:r>
          </w:p>
        </w:tc>
        <w:tc>
          <w:tcPr>
            <w:tcW w:w="50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5.10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4.87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4.92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5.05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5.26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5.15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vMerge w:val="continue"/>
            <w:tcBorders>
              <w:top w:val="nil"/>
              <w:left w:val="nil"/>
              <w:bottom w:val="nil"/>
              <w:right w:val="single" w:color="000000" w:sz="8" w:space="0"/>
            </w:tcBorders>
            <w:shd w:val="clear"/>
            <w:vAlign w:val="center"/>
          </w:tcPr>
          <w:p>
            <w:pPr>
              <w:jc w:val="center"/>
              <w:rPr>
                <w:rFonts w:hint="default" w:ascii="Times New Roman" w:hAnsi="Times New Roman" w:eastAsia="宋体" w:cs="Times New Roman"/>
                <w:i w:val="0"/>
                <w:iCs w:val="0"/>
                <w:color w:val="000000"/>
                <w:sz w:val="16"/>
                <w:szCs w:val="16"/>
                <w:u w:val="none"/>
              </w:rPr>
            </w:pPr>
          </w:p>
        </w:tc>
        <w:tc>
          <w:tcPr>
            <w:tcW w:w="50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2</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59.95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59.88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60.10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59.84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60.08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59.80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60.06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vMerge w:val="continue"/>
            <w:tcBorders>
              <w:top w:val="nil"/>
              <w:left w:val="nil"/>
              <w:bottom w:val="nil"/>
              <w:right w:val="single" w:color="000000" w:sz="8" w:space="0"/>
            </w:tcBorders>
            <w:shd w:val="clear"/>
            <w:vAlign w:val="center"/>
          </w:tcPr>
          <w:p>
            <w:pPr>
              <w:jc w:val="center"/>
              <w:rPr>
                <w:rFonts w:hint="default" w:ascii="Times New Roman" w:hAnsi="Times New Roman" w:eastAsia="宋体" w:cs="Times New Roman"/>
                <w:i w:val="0"/>
                <w:iCs w:val="0"/>
                <w:color w:val="000000"/>
                <w:sz w:val="16"/>
                <w:szCs w:val="16"/>
                <w:u w:val="none"/>
              </w:rPr>
            </w:pP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95.10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95.22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94.95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95.13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94.92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95.07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bdr w:val="none" w:color="auto" w:sz="0" w:space="0"/>
                <w:lang w:val="en-US" w:eastAsia="zh-CN" w:bidi="ar"/>
              </w:rPr>
              <w:t>4</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60.29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59.89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60.48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59.63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59.83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60.47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60.02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vMerge w:val="restar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bdr w:val="none" w:color="auto" w:sz="0" w:space="0"/>
                <w:lang w:val="en-US" w:eastAsia="zh-CN" w:bidi="ar"/>
              </w:rPr>
              <w:t>5</w:t>
            </w:r>
          </w:p>
        </w:tc>
        <w:tc>
          <w:tcPr>
            <w:tcW w:w="50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4.95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4.94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4.96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4.95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4.96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4.95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vMerge w:val="continue"/>
            <w:tcBorders>
              <w:top w:val="nil"/>
              <w:left w:val="nil"/>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16"/>
                <w:szCs w:val="16"/>
                <w:u w:val="none"/>
              </w:rPr>
            </w:pPr>
          </w:p>
        </w:tc>
        <w:tc>
          <w:tcPr>
            <w:tcW w:w="50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2</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59.89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59.91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59.92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59.98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60.01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59.93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vMerge w:val="continue"/>
            <w:tcBorders>
              <w:top w:val="nil"/>
              <w:left w:val="nil"/>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16"/>
                <w:szCs w:val="16"/>
                <w:u w:val="none"/>
              </w:rPr>
            </w:pP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94.96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94.95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94.97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95.01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95.03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94.96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vMerge w:val="restar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bdr w:val="none" w:color="auto" w:sz="0" w:space="0"/>
                <w:lang w:val="en-US" w:eastAsia="zh-CN" w:bidi="ar"/>
              </w:rPr>
              <w:t>6</w:t>
            </w:r>
          </w:p>
        </w:tc>
        <w:tc>
          <w:tcPr>
            <w:tcW w:w="50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4.96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5.06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4.97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4.95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4.95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4.93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vMerge w:val="continue"/>
            <w:tcBorders>
              <w:top w:val="nil"/>
              <w:left w:val="nil"/>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16"/>
                <w:szCs w:val="16"/>
                <w:u w:val="none"/>
              </w:rPr>
            </w:pPr>
          </w:p>
        </w:tc>
        <w:tc>
          <w:tcPr>
            <w:tcW w:w="50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2</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59.98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60.00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59.99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60.04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59.96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59.98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vMerge w:val="continue"/>
            <w:tcBorders>
              <w:top w:val="nil"/>
              <w:left w:val="nil"/>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16"/>
                <w:szCs w:val="16"/>
                <w:u w:val="none"/>
              </w:rPr>
            </w:pP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95.06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95.16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95.08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95.13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95.10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95.11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tcBorders>
              <w:top w:val="nil"/>
              <w:left w:val="nil"/>
              <w:bottom w:val="nil"/>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bdr w:val="none" w:color="auto" w:sz="0" w:space="0"/>
                <w:lang w:val="en-US" w:eastAsia="zh-CN" w:bidi="ar"/>
              </w:rPr>
              <w:t>7</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4.96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5.11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4.89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5.06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5.03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5.14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bdr w:val="none" w:color="auto" w:sz="0" w:space="0"/>
                <w:lang w:val="en-US" w:eastAsia="zh-CN" w:bidi="ar"/>
              </w:rPr>
              <w:t>8</w:t>
            </w:r>
          </w:p>
        </w:tc>
        <w:tc>
          <w:tcPr>
            <w:tcW w:w="50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5.01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4.97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5.04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4.99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5.02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4.98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vMerge w:val="continue"/>
            <w:tcBorders>
              <w:top w:val="single" w:color="000000" w:sz="4" w:space="0"/>
              <w:left w:val="nil"/>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6"/>
                <w:szCs w:val="16"/>
                <w:u w:val="none"/>
              </w:rPr>
            </w:pPr>
          </w:p>
        </w:tc>
        <w:tc>
          <w:tcPr>
            <w:tcW w:w="50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2</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59.96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60.10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60.08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60.00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59.97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60.19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vMerge w:val="continue"/>
            <w:tcBorders>
              <w:top w:val="single" w:color="000000" w:sz="4" w:space="0"/>
              <w:left w:val="nil"/>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6"/>
                <w:szCs w:val="16"/>
                <w:u w:val="none"/>
              </w:rPr>
            </w:pP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95.15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95.16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95.15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95.10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95.03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94.94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bdr w:val="none" w:color="auto" w:sz="0" w:space="0"/>
                <w:lang w:val="en-US" w:eastAsia="zh-CN" w:bidi="ar"/>
              </w:rPr>
              <w:t>9</w:t>
            </w:r>
          </w:p>
        </w:tc>
        <w:tc>
          <w:tcPr>
            <w:tcW w:w="50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4.98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5.00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4.99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4.98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4.97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5.02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vMerge w:val="continue"/>
            <w:tcBorders>
              <w:top w:val="single" w:color="000000" w:sz="4" w:space="0"/>
              <w:left w:val="nil"/>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6"/>
                <w:szCs w:val="16"/>
                <w:u w:val="none"/>
              </w:rPr>
            </w:pPr>
          </w:p>
        </w:tc>
        <w:tc>
          <w:tcPr>
            <w:tcW w:w="50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2</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59.95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60.06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60.04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59.88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59.86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59.99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60.02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vMerge w:val="continue"/>
            <w:tcBorders>
              <w:top w:val="single" w:color="000000" w:sz="4" w:space="0"/>
              <w:left w:val="nil"/>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6"/>
                <w:szCs w:val="16"/>
                <w:u w:val="none"/>
              </w:rPr>
            </w:pP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95.12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95.06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95.16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95.02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94.98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95.06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bdr w:val="none" w:color="auto" w:sz="0" w:space="0"/>
                <w:lang w:val="en-US" w:eastAsia="zh-CN" w:bidi="ar"/>
              </w:rPr>
              <w:t>10</w:t>
            </w:r>
          </w:p>
        </w:tc>
        <w:tc>
          <w:tcPr>
            <w:tcW w:w="50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4.96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4.95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4.95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4.96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4.98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4.95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vMerge w:val="continue"/>
            <w:tcBorders>
              <w:top w:val="single" w:color="000000" w:sz="4" w:space="0"/>
              <w:left w:val="nil"/>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6"/>
                <w:szCs w:val="16"/>
                <w:u w:val="none"/>
              </w:rPr>
            </w:pPr>
          </w:p>
        </w:tc>
        <w:tc>
          <w:tcPr>
            <w:tcW w:w="50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2</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59.95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59.97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59.96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59.94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59.95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59.96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vMerge w:val="continue"/>
            <w:tcBorders>
              <w:top w:val="single" w:color="000000" w:sz="4" w:space="0"/>
              <w:left w:val="nil"/>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6"/>
                <w:szCs w:val="16"/>
                <w:u w:val="none"/>
              </w:rPr>
            </w:pP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95.05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95.03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95.04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95.06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95.00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95.05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bdr w:val="none" w:color="auto" w:sz="0" w:space="0"/>
                <w:lang w:val="en-US" w:eastAsia="zh-CN" w:bidi="ar"/>
              </w:rPr>
              <w:t>11</w:t>
            </w:r>
          </w:p>
        </w:tc>
        <w:tc>
          <w:tcPr>
            <w:tcW w:w="50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4.95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4.99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4.97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4.96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5.01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4.96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6"/>
                <w:szCs w:val="16"/>
                <w:u w:val="none"/>
              </w:rPr>
            </w:pPr>
          </w:p>
        </w:tc>
        <w:tc>
          <w:tcPr>
            <w:tcW w:w="500" w:type="pc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2</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59.95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59.93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60.04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59.98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59.90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60.01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59.98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6"/>
                <w:szCs w:val="16"/>
                <w:u w:val="none"/>
              </w:rPr>
            </w:pP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94.97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95.05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94.91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94.97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95.01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95.11 </w:t>
            </w:r>
          </w:p>
        </w:tc>
        <w:tc>
          <w:tcPr>
            <w:tcW w:w="500" w:type="pct"/>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default" w:ascii="Times New Roman" w:hAnsi="Times New Roman" w:eastAsia="等线" w:cs="Times New Roman"/>
                <w:i w:val="0"/>
                <w:iCs w:val="0"/>
                <w:color w:val="000000"/>
                <w:kern w:val="0"/>
                <w:sz w:val="18"/>
                <w:szCs w:val="18"/>
                <w:u w:val="none"/>
                <w:lang w:val="en-US" w:eastAsia="zh-CN" w:bidi="ar"/>
              </w:rPr>
              <w:t xml:space="preserve">95.02 </w:t>
            </w:r>
          </w:p>
        </w:tc>
      </w:tr>
    </w:tbl>
    <w:p>
      <w:pPr>
        <w:tabs>
          <w:tab w:val="left" w:pos="520"/>
        </w:tabs>
        <w:autoSpaceDE w:val="0"/>
        <w:autoSpaceDN w:val="0"/>
        <w:adjustRightInd w:val="0"/>
        <w:spacing w:line="360" w:lineRule="auto"/>
        <w:jc w:val="center"/>
        <w:rPr>
          <w:rFonts w:hint="eastAsia" w:ascii="黑体" w:hAnsi="黑体" w:eastAsia="黑体" w:cs="黑体"/>
          <w:szCs w:val="21"/>
        </w:rPr>
      </w:pPr>
    </w:p>
    <w:p>
      <w:pPr>
        <w:tabs>
          <w:tab w:val="left" w:pos="520"/>
        </w:tabs>
        <w:autoSpaceDE w:val="0"/>
        <w:autoSpaceDN w:val="0"/>
        <w:adjustRightInd w:val="0"/>
        <w:spacing w:line="360" w:lineRule="auto"/>
        <w:jc w:val="both"/>
        <w:rPr>
          <w:rFonts w:hint="eastAsia" w:ascii="黑体" w:hAnsi="黑体" w:eastAsia="黑体" w:cs="黑体"/>
          <w:szCs w:val="21"/>
        </w:rPr>
      </w:pPr>
    </w:p>
    <w:p>
      <w:pPr>
        <w:pStyle w:val="23"/>
        <w:ind w:firstLine="0" w:firstLineChars="0"/>
        <w:rPr>
          <w:rFonts w:hint="eastAsia" w:ascii="宋体" w:hAnsi="宋体"/>
          <w:szCs w:val="21"/>
        </w:rPr>
      </w:pPr>
      <w:bookmarkStart w:id="14" w:name="_GoBack"/>
      <w:bookmarkEnd w:id="14"/>
      <w:r>
        <w:rPr>
          <w:rFonts w:hint="eastAsia" w:hAnsi="宋体"/>
          <w:szCs w:val="21"/>
        </w:rPr>
        <mc:AlternateContent>
          <mc:Choice Requires="wps">
            <w:drawing>
              <wp:anchor distT="0" distB="0" distL="114300" distR="114300" simplePos="0" relativeHeight="251670528" behindDoc="0" locked="0" layoutInCell="1" allowOverlap="1">
                <wp:simplePos x="0" y="0"/>
                <wp:positionH relativeFrom="column">
                  <wp:posOffset>1714500</wp:posOffset>
                </wp:positionH>
                <wp:positionV relativeFrom="paragraph">
                  <wp:posOffset>495300</wp:posOffset>
                </wp:positionV>
                <wp:extent cx="1800225" cy="0"/>
                <wp:effectExtent l="0" t="6350" r="3175" b="6350"/>
                <wp:wrapNone/>
                <wp:docPr id="12" name="直线 15"/>
                <wp:cNvGraphicFramePr/>
                <a:graphic xmlns:a="http://schemas.openxmlformats.org/drawingml/2006/main">
                  <a:graphicData uri="http://schemas.microsoft.com/office/word/2010/wordprocessingShape">
                    <wps:wsp>
                      <wps:cNvCnPr>
                        <a:cxnSpLocks noChangeShapeType="1"/>
                      </wps:cNvCnPr>
                      <wps:spPr bwMode="auto">
                        <a:xfrm>
                          <a:off x="2857500" y="9321165"/>
                          <a:ext cx="1800225" cy="0"/>
                        </a:xfrm>
                        <a:prstGeom prst="line">
                          <a:avLst/>
                        </a:prstGeom>
                        <a:noFill/>
                        <a:ln w="12700">
                          <a:solidFill>
                            <a:srgbClr val="000000"/>
                          </a:solidFill>
                          <a:round/>
                        </a:ln>
                        <a:effectLst/>
                      </wps:spPr>
                      <wps:bodyPr/>
                    </wps:wsp>
                  </a:graphicData>
                </a:graphic>
              </wp:anchor>
            </w:drawing>
          </mc:Choice>
          <mc:Fallback>
            <w:pict>
              <v:line id="直线 15" o:spid="_x0000_s1026" o:spt="20" style="position:absolute;left:0pt;margin-left:135pt;margin-top:39pt;height:0pt;width:141.75pt;z-index:251670528;mso-width-relative:page;mso-height-relative:page;" filled="f" stroked="t" coordsize="21600,21600" o:gfxdata="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WC&#10;DaXYAAAACQEAAA8AAAAAAAAAAQAgAAAAIgAAAGRycy9kb3ducmV2LnhtbFBLAQIUABQAAAAIAIdO&#10;4kBOAJzh6gEAAL4DAAAOAAAAAAAAAAEAIAAAACcBAABkcnMvZTJvRG9jLnhtbFBLBQYAAAAABgAG&#10;AFkBAACDBQAAAAA=&#10;">
                <v:fill on="f" focussize="0,0"/>
                <v:stroke weight="1pt" color="#000000" joinstyle="round"/>
                <v:imagedata o:title=""/>
                <o:lock v:ext="edit" aspectratio="f"/>
              </v:line>
            </w:pict>
          </mc:Fallback>
        </mc:AlternateContent>
      </w:r>
    </w:p>
    <w:sectPr>
      <w:headerReference r:id="rId12" w:type="default"/>
      <w:footerReference r:id="rId14" w:type="default"/>
      <w:headerReference r:id="rId13" w:type="even"/>
      <w:footerReference r:id="rId15" w:type="even"/>
      <w:pgSz w:w="11907" w:h="16839"/>
      <w:pgMar w:top="1418" w:right="1134" w:bottom="1134" w:left="1418" w:header="1418" w:footer="851" w:gutter="0"/>
      <w:pgBorders>
        <w:top w:val="none" w:sz="0" w:space="0"/>
        <w:left w:val="none" w:sz="0" w:space="0"/>
        <w:bottom w:val="none" w:sz="0" w:space="0"/>
        <w:right w:val="none" w:sz="0" w:space="0"/>
      </w:pgBorders>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13"/>
      </w:rPr>
    </w:pPr>
    <w:r>
      <w:fldChar w:fldCharType="begin"/>
    </w:r>
    <w:r>
      <w:rPr>
        <w:rStyle w:val="13"/>
      </w:rPr>
      <w:instrText xml:space="preserve">PAGE  </w:instrText>
    </w:r>
    <w:r>
      <w:fldChar w:fldCharType="separate"/>
    </w:r>
    <w:r>
      <w:rPr>
        <w:rStyle w:val="13"/>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rPr>
        <w:rStyle w:val="13"/>
      </w:rPr>
    </w:pPr>
    <w:r>
      <w:fldChar w:fldCharType="begin"/>
    </w:r>
    <w:r>
      <w:rPr>
        <w:rStyle w:val="13"/>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13"/>
      </w:rPr>
    </w:pPr>
    <w:r>
      <w:fldChar w:fldCharType="begin"/>
    </w:r>
    <w:r>
      <w:rPr>
        <w:rStyle w:val="13"/>
      </w:rPr>
      <w:instrText xml:space="preserve">PAGE  </w:instrText>
    </w:r>
    <w:r>
      <w:fldChar w:fldCharType="separate"/>
    </w:r>
    <w:r>
      <w:rPr>
        <w:rStyle w:val="13"/>
      </w:rPr>
      <w:t>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rPr>
        <w:rStyle w:val="13"/>
      </w:rPr>
    </w:pPr>
    <w:r>
      <w:fldChar w:fldCharType="begin"/>
    </w:r>
    <w:r>
      <w:rPr>
        <w:rStyle w:val="13"/>
      </w:rPr>
      <w:instrText xml:space="preserve">PAGE  </w:instrText>
    </w:r>
    <w:r>
      <w:fldChar w:fldCharType="separate"/>
    </w:r>
    <w:r>
      <w:rPr>
        <w:rStyle w:val="13"/>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13"/>
      </w:rPr>
    </w:pPr>
    <w:r>
      <w:fldChar w:fldCharType="begin"/>
    </w:r>
    <w:r>
      <w:rPr>
        <w:rStyle w:val="13"/>
      </w:rPr>
      <w:instrText xml:space="preserve">PAGE  </w:instrText>
    </w:r>
    <w:r>
      <w:fldChar w:fldCharType="separate"/>
    </w:r>
    <w:r>
      <w:rPr>
        <w:rStyle w:val="13"/>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right"/>
      <w:rPr>
        <w:rStyle w:val="13"/>
      </w:rPr>
    </w:pPr>
    <w:r>
      <w:fldChar w:fldCharType="begin"/>
    </w:r>
    <w:r>
      <w:rPr>
        <w:rStyle w:val="13"/>
      </w:rPr>
      <w:instrText xml:space="preserve">PAGE  </w:instrText>
    </w:r>
    <w:r>
      <w:fldChar w:fldCharType="separate"/>
    </w:r>
    <w:r>
      <w:rPr>
        <w:rStyle w:val="13"/>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GB/T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rPr>
      <w:t>GB</w:t>
    </w:r>
    <w:r>
      <w:t>/T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7560" w:firstLineChars="3600"/>
    </w:pPr>
    <w:r>
      <w:t>YS/T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rPr>
      <w:t>GB</w:t>
    </w:r>
    <w:r>
      <w:t>/T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YS/T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49"/>
      <w:suff w:val="nothing"/>
      <w:lvlText w:val="%1%2.%3　"/>
      <w:lvlJc w:val="left"/>
      <w:pPr>
        <w:ind w:left="0" w:firstLine="0"/>
      </w:pPr>
      <w:rPr>
        <w:rFonts w:hint="eastAsia" w:ascii="黑体" w:hAnsi="Times New Roman" w:eastAsia="黑体"/>
        <w:b w:val="0"/>
        <w:i w:val="0"/>
        <w:sz w:val="21"/>
      </w:rPr>
    </w:lvl>
    <w:lvl w:ilvl="3" w:tentative="0">
      <w:start w:val="1"/>
      <w:numFmt w:val="decimal"/>
      <w:pStyle w:val="21"/>
      <w:suff w:val="nothing"/>
      <w:lvlText w:val="%1%2.%3.%4　"/>
      <w:lvlJc w:val="left"/>
      <w:pPr>
        <w:ind w:left="0" w:firstLine="0"/>
      </w:pPr>
      <w:rPr>
        <w:rFonts w:hint="eastAsia" w:ascii="黑体" w:hAnsi="Times New Roman" w:eastAsia="黑体"/>
        <w:b w:val="0"/>
        <w:i w:val="0"/>
        <w:sz w:val="21"/>
      </w:rPr>
    </w:lvl>
    <w:lvl w:ilvl="4" w:tentative="0">
      <w:start w:val="1"/>
      <w:numFmt w:val="decimal"/>
      <w:pStyle w:val="52"/>
      <w:suff w:val="nothing"/>
      <w:lvlText w:val="%1%2.%3.%4.%5　"/>
      <w:lvlJc w:val="left"/>
      <w:pPr>
        <w:ind w:left="0" w:firstLine="0"/>
      </w:pPr>
      <w:rPr>
        <w:rFonts w:hint="eastAsia" w:ascii="黑体" w:hAnsi="Times New Roman" w:eastAsia="黑体"/>
        <w:b w:val="0"/>
        <w:i w:val="0"/>
        <w:sz w:val="21"/>
      </w:rPr>
    </w:lvl>
    <w:lvl w:ilvl="5" w:tentative="0">
      <w:start w:val="1"/>
      <w:numFmt w:val="decimal"/>
      <w:pStyle w:val="53"/>
      <w:suff w:val="nothing"/>
      <w:lvlText w:val="%1%2.%3.%4.%5.%6　"/>
      <w:lvlJc w:val="left"/>
      <w:pPr>
        <w:ind w:left="0" w:firstLine="0"/>
      </w:pPr>
      <w:rPr>
        <w:rFonts w:hint="eastAsia" w:ascii="黑体" w:hAnsi="Times New Roman" w:eastAsia="黑体"/>
        <w:b w:val="0"/>
        <w:i w:val="0"/>
        <w:sz w:val="21"/>
      </w:rPr>
    </w:lvl>
    <w:lvl w:ilvl="6" w:tentative="0">
      <w:start w:val="1"/>
      <w:numFmt w:val="decimal"/>
      <w:pStyle w:val="2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2BD00DBC"/>
    <w:multiLevelType w:val="multilevel"/>
    <w:tmpl w:val="2BD00DBC"/>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46260FA"/>
    <w:multiLevelType w:val="multilevel"/>
    <w:tmpl w:val="646260FA"/>
    <w:lvl w:ilvl="0" w:tentative="0">
      <w:start w:val="1"/>
      <w:numFmt w:val="decimal"/>
      <w:pStyle w:val="4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pStyle w:val="46"/>
      <w:suff w:val="nothing"/>
      <w:lvlText w:val="%1"/>
      <w:lvlJc w:val="left"/>
      <w:pPr>
        <w:ind w:left="0" w:firstLine="0"/>
      </w:pPr>
      <w:rPr>
        <w:rFonts w:hint="default" w:ascii="Times New Roman" w:hAnsi="Times New Roman"/>
        <w:b/>
        <w:i w:val="0"/>
        <w:sz w:val="21"/>
      </w:rPr>
    </w:lvl>
    <w:lvl w:ilvl="1" w:tentative="0">
      <w:start w:val="1"/>
      <w:numFmt w:val="decimal"/>
      <w:pStyle w:val="28"/>
      <w:suff w:val="nothing"/>
      <w:lvlText w:val="%1%2　"/>
      <w:lvlJc w:val="left"/>
      <w:pPr>
        <w:ind w:left="0" w:firstLine="0"/>
      </w:pPr>
      <w:rPr>
        <w:rFonts w:hint="eastAsia" w:ascii="黑体" w:hAnsi="Times New Roman" w:eastAsia="黑体"/>
        <w:b w:val="0"/>
        <w:i w:val="0"/>
        <w:sz w:val="21"/>
      </w:rPr>
    </w:lvl>
    <w:lvl w:ilvl="2" w:tentative="0">
      <w:start w:val="1"/>
      <w:numFmt w:val="decimal"/>
      <w:pStyle w:val="27"/>
      <w:suff w:val="nothing"/>
      <w:lvlText w:val="%1%2.%3　"/>
      <w:lvlJc w:val="left"/>
      <w:pPr>
        <w:ind w:left="180" w:firstLine="0"/>
      </w:pPr>
      <w:rPr>
        <w:rFonts w:hint="eastAsia" w:ascii="黑体" w:hAnsi="Times New Roman" w:eastAsia="黑体"/>
        <w:b w:val="0"/>
        <w:i w:val="0"/>
        <w:sz w:val="21"/>
      </w:rPr>
    </w:lvl>
    <w:lvl w:ilvl="3" w:tentative="0">
      <w:start w:val="1"/>
      <w:numFmt w:val="decimal"/>
      <w:pStyle w:val="39"/>
      <w:suff w:val="nothing"/>
      <w:lvlText w:val="%1%2.%3.%4　"/>
      <w:lvlJc w:val="left"/>
      <w:pPr>
        <w:ind w:left="0" w:firstLine="0"/>
      </w:pPr>
      <w:rPr>
        <w:rFonts w:hint="eastAsia" w:ascii="黑体" w:hAnsi="Times New Roman" w:eastAsia="黑体"/>
        <w:b w:val="0"/>
        <w:i w:val="0"/>
        <w:sz w:val="21"/>
      </w:rPr>
    </w:lvl>
    <w:lvl w:ilvl="4" w:tentative="0">
      <w:start w:val="1"/>
      <w:numFmt w:val="decimal"/>
      <w:pStyle w:val="38"/>
      <w:suff w:val="nothing"/>
      <w:lvlText w:val="%1%2.%3.%4.%5　"/>
      <w:lvlJc w:val="left"/>
      <w:pPr>
        <w:ind w:left="0" w:firstLine="0"/>
      </w:pPr>
      <w:rPr>
        <w:rFonts w:hint="eastAsia" w:ascii="黑体" w:hAnsi="Times New Roman" w:eastAsia="黑体"/>
        <w:b w:val="0"/>
        <w:i w:val="0"/>
        <w:sz w:val="21"/>
      </w:rPr>
    </w:lvl>
    <w:lvl w:ilvl="5" w:tentative="0">
      <w:start w:val="1"/>
      <w:numFmt w:val="decimal"/>
      <w:pStyle w:val="37"/>
      <w:suff w:val="nothing"/>
      <w:lvlText w:val="%1%2.%3.%4.%5.%6　"/>
      <w:lvlJc w:val="left"/>
      <w:pPr>
        <w:ind w:left="0" w:firstLine="0"/>
      </w:pPr>
      <w:rPr>
        <w:rFonts w:hint="eastAsia" w:ascii="黑体" w:hAnsi="Times New Roman" w:eastAsia="黑体"/>
        <w:b w:val="0"/>
        <w:i w:val="0"/>
        <w:sz w:val="21"/>
      </w:rPr>
    </w:lvl>
    <w:lvl w:ilvl="6" w:tentative="0">
      <w:start w:val="1"/>
      <w:numFmt w:val="decimal"/>
      <w:pStyle w:val="4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NjA1ZmNlOTdlNjExYTRlYjIzMmZkYTJiOGZlN2YifQ=="/>
    <w:docVar w:name="KSO_WPS_MARK_KEY" w:val="b3be2c37-70c9-474a-b094-970483e4e371"/>
  </w:docVars>
  <w:rsids>
    <w:rsidRoot w:val="0018249F"/>
    <w:rsid w:val="00001787"/>
    <w:rsid w:val="00001FBE"/>
    <w:rsid w:val="000104BD"/>
    <w:rsid w:val="00010731"/>
    <w:rsid w:val="00010F1E"/>
    <w:rsid w:val="00014088"/>
    <w:rsid w:val="0001548B"/>
    <w:rsid w:val="000211DE"/>
    <w:rsid w:val="00021996"/>
    <w:rsid w:val="0002277B"/>
    <w:rsid w:val="00024C49"/>
    <w:rsid w:val="00030BCD"/>
    <w:rsid w:val="00032FB6"/>
    <w:rsid w:val="00036B13"/>
    <w:rsid w:val="00056921"/>
    <w:rsid w:val="000573AC"/>
    <w:rsid w:val="000608C4"/>
    <w:rsid w:val="000669B4"/>
    <w:rsid w:val="00070DD0"/>
    <w:rsid w:val="00073563"/>
    <w:rsid w:val="000740E3"/>
    <w:rsid w:val="00080646"/>
    <w:rsid w:val="000827EB"/>
    <w:rsid w:val="00090613"/>
    <w:rsid w:val="000916B2"/>
    <w:rsid w:val="00091A68"/>
    <w:rsid w:val="00094ED7"/>
    <w:rsid w:val="000A42D1"/>
    <w:rsid w:val="000A4CDB"/>
    <w:rsid w:val="000A6CA8"/>
    <w:rsid w:val="000B143E"/>
    <w:rsid w:val="000C0311"/>
    <w:rsid w:val="000D1B11"/>
    <w:rsid w:val="000F0639"/>
    <w:rsid w:val="000F4E4F"/>
    <w:rsid w:val="000F5222"/>
    <w:rsid w:val="001028CA"/>
    <w:rsid w:val="00104494"/>
    <w:rsid w:val="0010465C"/>
    <w:rsid w:val="00104BED"/>
    <w:rsid w:val="00105509"/>
    <w:rsid w:val="00105A45"/>
    <w:rsid w:val="00115868"/>
    <w:rsid w:val="001218A5"/>
    <w:rsid w:val="00121E51"/>
    <w:rsid w:val="00122682"/>
    <w:rsid w:val="001226AF"/>
    <w:rsid w:val="001237A9"/>
    <w:rsid w:val="001274B8"/>
    <w:rsid w:val="00136D79"/>
    <w:rsid w:val="0014014C"/>
    <w:rsid w:val="00151992"/>
    <w:rsid w:val="00152A0F"/>
    <w:rsid w:val="0016502C"/>
    <w:rsid w:val="00170370"/>
    <w:rsid w:val="00182274"/>
    <w:rsid w:val="0018249F"/>
    <w:rsid w:val="00184A0C"/>
    <w:rsid w:val="00190E2D"/>
    <w:rsid w:val="00192B42"/>
    <w:rsid w:val="001A2FC7"/>
    <w:rsid w:val="001A5421"/>
    <w:rsid w:val="001B44D1"/>
    <w:rsid w:val="001B532A"/>
    <w:rsid w:val="001C27E3"/>
    <w:rsid w:val="001C444B"/>
    <w:rsid w:val="001C5815"/>
    <w:rsid w:val="001C60D3"/>
    <w:rsid w:val="001C740E"/>
    <w:rsid w:val="001D3539"/>
    <w:rsid w:val="001D3A60"/>
    <w:rsid w:val="001D3CF9"/>
    <w:rsid w:val="001E2B10"/>
    <w:rsid w:val="001E5163"/>
    <w:rsid w:val="001F2489"/>
    <w:rsid w:val="001F3AB4"/>
    <w:rsid w:val="0020034F"/>
    <w:rsid w:val="002027ED"/>
    <w:rsid w:val="00203F62"/>
    <w:rsid w:val="00207944"/>
    <w:rsid w:val="0021032A"/>
    <w:rsid w:val="0021260A"/>
    <w:rsid w:val="002207F4"/>
    <w:rsid w:val="0022374C"/>
    <w:rsid w:val="002258C2"/>
    <w:rsid w:val="00225D93"/>
    <w:rsid w:val="00231EF1"/>
    <w:rsid w:val="002330AF"/>
    <w:rsid w:val="0023746C"/>
    <w:rsid w:val="00243C90"/>
    <w:rsid w:val="00244A8A"/>
    <w:rsid w:val="002462A8"/>
    <w:rsid w:val="00247F6D"/>
    <w:rsid w:val="002514AB"/>
    <w:rsid w:val="00252248"/>
    <w:rsid w:val="00263755"/>
    <w:rsid w:val="002642A0"/>
    <w:rsid w:val="00264E9C"/>
    <w:rsid w:val="00271EC8"/>
    <w:rsid w:val="00282D5F"/>
    <w:rsid w:val="00291983"/>
    <w:rsid w:val="00293ADD"/>
    <w:rsid w:val="00294186"/>
    <w:rsid w:val="00296F8B"/>
    <w:rsid w:val="002A11D3"/>
    <w:rsid w:val="002A33F6"/>
    <w:rsid w:val="002A5191"/>
    <w:rsid w:val="002B4BB6"/>
    <w:rsid w:val="002B7BA4"/>
    <w:rsid w:val="002B7E7A"/>
    <w:rsid w:val="002D1B15"/>
    <w:rsid w:val="002D2E49"/>
    <w:rsid w:val="002E40AB"/>
    <w:rsid w:val="002E70EE"/>
    <w:rsid w:val="002F25C0"/>
    <w:rsid w:val="002F6BF3"/>
    <w:rsid w:val="002F73DF"/>
    <w:rsid w:val="003023C1"/>
    <w:rsid w:val="003023FB"/>
    <w:rsid w:val="00306114"/>
    <w:rsid w:val="0031126B"/>
    <w:rsid w:val="00330620"/>
    <w:rsid w:val="00331909"/>
    <w:rsid w:val="0033427D"/>
    <w:rsid w:val="00337F05"/>
    <w:rsid w:val="00340EDB"/>
    <w:rsid w:val="00344515"/>
    <w:rsid w:val="0035646A"/>
    <w:rsid w:val="00357D21"/>
    <w:rsid w:val="0036050E"/>
    <w:rsid w:val="00362983"/>
    <w:rsid w:val="00367E6A"/>
    <w:rsid w:val="003708BC"/>
    <w:rsid w:val="00374C5F"/>
    <w:rsid w:val="00375B4D"/>
    <w:rsid w:val="00376DDA"/>
    <w:rsid w:val="0039176E"/>
    <w:rsid w:val="0039279C"/>
    <w:rsid w:val="00394F32"/>
    <w:rsid w:val="00396AFC"/>
    <w:rsid w:val="003A0CA5"/>
    <w:rsid w:val="003A4665"/>
    <w:rsid w:val="003A7C58"/>
    <w:rsid w:val="003B1EF5"/>
    <w:rsid w:val="003B3A71"/>
    <w:rsid w:val="003B6D64"/>
    <w:rsid w:val="003B7344"/>
    <w:rsid w:val="003C307E"/>
    <w:rsid w:val="003D0AEE"/>
    <w:rsid w:val="003E5084"/>
    <w:rsid w:val="003F20F1"/>
    <w:rsid w:val="003F5FF4"/>
    <w:rsid w:val="003F69DA"/>
    <w:rsid w:val="00405E94"/>
    <w:rsid w:val="004064B4"/>
    <w:rsid w:val="00412E07"/>
    <w:rsid w:val="00422632"/>
    <w:rsid w:val="00423E44"/>
    <w:rsid w:val="00424A7B"/>
    <w:rsid w:val="00427292"/>
    <w:rsid w:val="00431240"/>
    <w:rsid w:val="00433F75"/>
    <w:rsid w:val="00434A5F"/>
    <w:rsid w:val="00434F81"/>
    <w:rsid w:val="00436FE7"/>
    <w:rsid w:val="0043726C"/>
    <w:rsid w:val="00446A8A"/>
    <w:rsid w:val="004669A7"/>
    <w:rsid w:val="0047068A"/>
    <w:rsid w:val="004721A4"/>
    <w:rsid w:val="00477F97"/>
    <w:rsid w:val="00480B82"/>
    <w:rsid w:val="00481D8C"/>
    <w:rsid w:val="004847F9"/>
    <w:rsid w:val="00490FEB"/>
    <w:rsid w:val="00493A98"/>
    <w:rsid w:val="00494D7D"/>
    <w:rsid w:val="004951CD"/>
    <w:rsid w:val="00496F03"/>
    <w:rsid w:val="004A28EB"/>
    <w:rsid w:val="004A5A33"/>
    <w:rsid w:val="004B2E93"/>
    <w:rsid w:val="004B40D5"/>
    <w:rsid w:val="004C3326"/>
    <w:rsid w:val="004C652D"/>
    <w:rsid w:val="004D6413"/>
    <w:rsid w:val="004D792F"/>
    <w:rsid w:val="004D7E74"/>
    <w:rsid w:val="004E1C04"/>
    <w:rsid w:val="004F4E8C"/>
    <w:rsid w:val="004F6751"/>
    <w:rsid w:val="0050111D"/>
    <w:rsid w:val="00503CA8"/>
    <w:rsid w:val="005070D4"/>
    <w:rsid w:val="0051190B"/>
    <w:rsid w:val="005161A3"/>
    <w:rsid w:val="005203EC"/>
    <w:rsid w:val="005208A2"/>
    <w:rsid w:val="005237A9"/>
    <w:rsid w:val="00524847"/>
    <w:rsid w:val="005277BC"/>
    <w:rsid w:val="005346E7"/>
    <w:rsid w:val="00541356"/>
    <w:rsid w:val="00541C28"/>
    <w:rsid w:val="00544A46"/>
    <w:rsid w:val="005458F5"/>
    <w:rsid w:val="00545E9B"/>
    <w:rsid w:val="005523B2"/>
    <w:rsid w:val="005537C1"/>
    <w:rsid w:val="00554027"/>
    <w:rsid w:val="00561710"/>
    <w:rsid w:val="00566E14"/>
    <w:rsid w:val="00580B71"/>
    <w:rsid w:val="00581783"/>
    <w:rsid w:val="00585143"/>
    <w:rsid w:val="00585A6E"/>
    <w:rsid w:val="00587085"/>
    <w:rsid w:val="00590645"/>
    <w:rsid w:val="0059723C"/>
    <w:rsid w:val="005B132B"/>
    <w:rsid w:val="005C4182"/>
    <w:rsid w:val="005C46F0"/>
    <w:rsid w:val="005C5C29"/>
    <w:rsid w:val="005C5C96"/>
    <w:rsid w:val="005C6FC1"/>
    <w:rsid w:val="005D0E82"/>
    <w:rsid w:val="005D6E64"/>
    <w:rsid w:val="005E187C"/>
    <w:rsid w:val="005E68DC"/>
    <w:rsid w:val="005F06AD"/>
    <w:rsid w:val="005F5386"/>
    <w:rsid w:val="00626955"/>
    <w:rsid w:val="00630389"/>
    <w:rsid w:val="00633E97"/>
    <w:rsid w:val="00646762"/>
    <w:rsid w:val="00651810"/>
    <w:rsid w:val="00665F13"/>
    <w:rsid w:val="0066734C"/>
    <w:rsid w:val="00670A87"/>
    <w:rsid w:val="00673262"/>
    <w:rsid w:val="006744C3"/>
    <w:rsid w:val="0067778B"/>
    <w:rsid w:val="00683932"/>
    <w:rsid w:val="00685621"/>
    <w:rsid w:val="006905E1"/>
    <w:rsid w:val="00692ACC"/>
    <w:rsid w:val="00695FB1"/>
    <w:rsid w:val="006A3BFA"/>
    <w:rsid w:val="006B06B4"/>
    <w:rsid w:val="006B252E"/>
    <w:rsid w:val="006B2549"/>
    <w:rsid w:val="006C65C2"/>
    <w:rsid w:val="006D1A3B"/>
    <w:rsid w:val="006E0131"/>
    <w:rsid w:val="006E3C6F"/>
    <w:rsid w:val="006E75A7"/>
    <w:rsid w:val="006F6A9B"/>
    <w:rsid w:val="007060E1"/>
    <w:rsid w:val="007063B4"/>
    <w:rsid w:val="00711325"/>
    <w:rsid w:val="00712C1B"/>
    <w:rsid w:val="00713F59"/>
    <w:rsid w:val="00714DDD"/>
    <w:rsid w:val="00715CC5"/>
    <w:rsid w:val="007206A5"/>
    <w:rsid w:val="00720BE7"/>
    <w:rsid w:val="00723058"/>
    <w:rsid w:val="00731EFE"/>
    <w:rsid w:val="007330B1"/>
    <w:rsid w:val="00734012"/>
    <w:rsid w:val="00740CFA"/>
    <w:rsid w:val="00743F68"/>
    <w:rsid w:val="00746552"/>
    <w:rsid w:val="00751AEB"/>
    <w:rsid w:val="00753910"/>
    <w:rsid w:val="007556B3"/>
    <w:rsid w:val="0076550B"/>
    <w:rsid w:val="00775966"/>
    <w:rsid w:val="007759A5"/>
    <w:rsid w:val="00796A70"/>
    <w:rsid w:val="00797C08"/>
    <w:rsid w:val="00797F7D"/>
    <w:rsid w:val="007A03A9"/>
    <w:rsid w:val="007B2FBC"/>
    <w:rsid w:val="007B6FE9"/>
    <w:rsid w:val="007C6694"/>
    <w:rsid w:val="007D4C09"/>
    <w:rsid w:val="007E072A"/>
    <w:rsid w:val="007E710F"/>
    <w:rsid w:val="007F130B"/>
    <w:rsid w:val="007F283B"/>
    <w:rsid w:val="007F539D"/>
    <w:rsid w:val="007F5589"/>
    <w:rsid w:val="0080308E"/>
    <w:rsid w:val="00803E24"/>
    <w:rsid w:val="00804B0F"/>
    <w:rsid w:val="008142AB"/>
    <w:rsid w:val="008145FC"/>
    <w:rsid w:val="00815358"/>
    <w:rsid w:val="00815813"/>
    <w:rsid w:val="00821DAF"/>
    <w:rsid w:val="0082728D"/>
    <w:rsid w:val="00830178"/>
    <w:rsid w:val="00831F1C"/>
    <w:rsid w:val="008321D2"/>
    <w:rsid w:val="00834484"/>
    <w:rsid w:val="00847C99"/>
    <w:rsid w:val="00847F22"/>
    <w:rsid w:val="00852039"/>
    <w:rsid w:val="00852265"/>
    <w:rsid w:val="0085445D"/>
    <w:rsid w:val="00861B5B"/>
    <w:rsid w:val="008646EE"/>
    <w:rsid w:val="00867828"/>
    <w:rsid w:val="00870DA8"/>
    <w:rsid w:val="00882FFF"/>
    <w:rsid w:val="00886263"/>
    <w:rsid w:val="00891C74"/>
    <w:rsid w:val="00893F91"/>
    <w:rsid w:val="008A2481"/>
    <w:rsid w:val="008B4D7F"/>
    <w:rsid w:val="008B5AA8"/>
    <w:rsid w:val="008C45BC"/>
    <w:rsid w:val="008C56C9"/>
    <w:rsid w:val="008D01D0"/>
    <w:rsid w:val="008D215B"/>
    <w:rsid w:val="008D650E"/>
    <w:rsid w:val="008D6855"/>
    <w:rsid w:val="008D6F16"/>
    <w:rsid w:val="008E11EE"/>
    <w:rsid w:val="008E1C4D"/>
    <w:rsid w:val="008F2596"/>
    <w:rsid w:val="008F5555"/>
    <w:rsid w:val="008F6D49"/>
    <w:rsid w:val="0090382B"/>
    <w:rsid w:val="00912150"/>
    <w:rsid w:val="00916DDB"/>
    <w:rsid w:val="009178AD"/>
    <w:rsid w:val="00917F2B"/>
    <w:rsid w:val="009236C7"/>
    <w:rsid w:val="00925DD2"/>
    <w:rsid w:val="009310A0"/>
    <w:rsid w:val="0093652E"/>
    <w:rsid w:val="00940CEF"/>
    <w:rsid w:val="009432E6"/>
    <w:rsid w:val="00944AA5"/>
    <w:rsid w:val="00946C8C"/>
    <w:rsid w:val="00961679"/>
    <w:rsid w:val="00961ADD"/>
    <w:rsid w:val="009678F1"/>
    <w:rsid w:val="00975173"/>
    <w:rsid w:val="0097524F"/>
    <w:rsid w:val="00975288"/>
    <w:rsid w:val="0097582C"/>
    <w:rsid w:val="00984D57"/>
    <w:rsid w:val="009979DE"/>
    <w:rsid w:val="009A3606"/>
    <w:rsid w:val="009C11C2"/>
    <w:rsid w:val="009C4E23"/>
    <w:rsid w:val="009C778D"/>
    <w:rsid w:val="009D48B1"/>
    <w:rsid w:val="009E1963"/>
    <w:rsid w:val="009E2DD4"/>
    <w:rsid w:val="009E57A0"/>
    <w:rsid w:val="009E5A73"/>
    <w:rsid w:val="009E749C"/>
    <w:rsid w:val="009F5538"/>
    <w:rsid w:val="009F740A"/>
    <w:rsid w:val="009F7CD9"/>
    <w:rsid w:val="00A140FC"/>
    <w:rsid w:val="00A2051E"/>
    <w:rsid w:val="00A238A0"/>
    <w:rsid w:val="00A31FFB"/>
    <w:rsid w:val="00A32005"/>
    <w:rsid w:val="00A33822"/>
    <w:rsid w:val="00A566A7"/>
    <w:rsid w:val="00A57C96"/>
    <w:rsid w:val="00A7097A"/>
    <w:rsid w:val="00A7164A"/>
    <w:rsid w:val="00A71A74"/>
    <w:rsid w:val="00A749A6"/>
    <w:rsid w:val="00A87919"/>
    <w:rsid w:val="00A90024"/>
    <w:rsid w:val="00A9032E"/>
    <w:rsid w:val="00A91516"/>
    <w:rsid w:val="00A92007"/>
    <w:rsid w:val="00A92066"/>
    <w:rsid w:val="00A95A0E"/>
    <w:rsid w:val="00AA1907"/>
    <w:rsid w:val="00AA4D68"/>
    <w:rsid w:val="00AB5D6B"/>
    <w:rsid w:val="00AB66F1"/>
    <w:rsid w:val="00AC322F"/>
    <w:rsid w:val="00AC5970"/>
    <w:rsid w:val="00AC6EB3"/>
    <w:rsid w:val="00AD6F5E"/>
    <w:rsid w:val="00AD7C89"/>
    <w:rsid w:val="00AE724D"/>
    <w:rsid w:val="00AF5BBB"/>
    <w:rsid w:val="00B05F64"/>
    <w:rsid w:val="00B1018F"/>
    <w:rsid w:val="00B11A8D"/>
    <w:rsid w:val="00B1553F"/>
    <w:rsid w:val="00B2036D"/>
    <w:rsid w:val="00B225E7"/>
    <w:rsid w:val="00B263F0"/>
    <w:rsid w:val="00B267EF"/>
    <w:rsid w:val="00B3004A"/>
    <w:rsid w:val="00B421C6"/>
    <w:rsid w:val="00B50056"/>
    <w:rsid w:val="00B5267B"/>
    <w:rsid w:val="00B57ED2"/>
    <w:rsid w:val="00B761E1"/>
    <w:rsid w:val="00B81325"/>
    <w:rsid w:val="00B81645"/>
    <w:rsid w:val="00B8239A"/>
    <w:rsid w:val="00B91CEE"/>
    <w:rsid w:val="00B93B93"/>
    <w:rsid w:val="00B95591"/>
    <w:rsid w:val="00BB1057"/>
    <w:rsid w:val="00BC2840"/>
    <w:rsid w:val="00BC5661"/>
    <w:rsid w:val="00BE3334"/>
    <w:rsid w:val="00C126BA"/>
    <w:rsid w:val="00C15762"/>
    <w:rsid w:val="00C40208"/>
    <w:rsid w:val="00C4241A"/>
    <w:rsid w:val="00C5383A"/>
    <w:rsid w:val="00C5432B"/>
    <w:rsid w:val="00C54DAD"/>
    <w:rsid w:val="00C56B54"/>
    <w:rsid w:val="00C61BB2"/>
    <w:rsid w:val="00C64A54"/>
    <w:rsid w:val="00C70117"/>
    <w:rsid w:val="00C70ADD"/>
    <w:rsid w:val="00C724AE"/>
    <w:rsid w:val="00C80076"/>
    <w:rsid w:val="00C83BD7"/>
    <w:rsid w:val="00C85EC3"/>
    <w:rsid w:val="00C95AFB"/>
    <w:rsid w:val="00C967E6"/>
    <w:rsid w:val="00CA2E72"/>
    <w:rsid w:val="00CA5160"/>
    <w:rsid w:val="00CB1526"/>
    <w:rsid w:val="00CB7205"/>
    <w:rsid w:val="00CC70BE"/>
    <w:rsid w:val="00CC7A74"/>
    <w:rsid w:val="00CD3C2E"/>
    <w:rsid w:val="00CD47F4"/>
    <w:rsid w:val="00CE20F9"/>
    <w:rsid w:val="00CE7259"/>
    <w:rsid w:val="00CF3589"/>
    <w:rsid w:val="00CF7E08"/>
    <w:rsid w:val="00D00B94"/>
    <w:rsid w:val="00D042DF"/>
    <w:rsid w:val="00D07C7C"/>
    <w:rsid w:val="00D117B7"/>
    <w:rsid w:val="00D125E4"/>
    <w:rsid w:val="00D20929"/>
    <w:rsid w:val="00D21558"/>
    <w:rsid w:val="00D302A5"/>
    <w:rsid w:val="00D33700"/>
    <w:rsid w:val="00D34046"/>
    <w:rsid w:val="00D3508D"/>
    <w:rsid w:val="00D47FC6"/>
    <w:rsid w:val="00D5609E"/>
    <w:rsid w:val="00D567EA"/>
    <w:rsid w:val="00D71849"/>
    <w:rsid w:val="00D75953"/>
    <w:rsid w:val="00D75F45"/>
    <w:rsid w:val="00D81F50"/>
    <w:rsid w:val="00D8352A"/>
    <w:rsid w:val="00D912E1"/>
    <w:rsid w:val="00D92DBE"/>
    <w:rsid w:val="00D94D79"/>
    <w:rsid w:val="00DA3341"/>
    <w:rsid w:val="00DA4767"/>
    <w:rsid w:val="00DB6BFD"/>
    <w:rsid w:val="00DC116C"/>
    <w:rsid w:val="00DC1184"/>
    <w:rsid w:val="00DC4EE9"/>
    <w:rsid w:val="00DC70AA"/>
    <w:rsid w:val="00DD22F3"/>
    <w:rsid w:val="00DE34DF"/>
    <w:rsid w:val="00E04059"/>
    <w:rsid w:val="00E0691D"/>
    <w:rsid w:val="00E10D3E"/>
    <w:rsid w:val="00E14EAC"/>
    <w:rsid w:val="00E1565B"/>
    <w:rsid w:val="00E237B2"/>
    <w:rsid w:val="00E23AE9"/>
    <w:rsid w:val="00E26762"/>
    <w:rsid w:val="00E3216C"/>
    <w:rsid w:val="00E400E8"/>
    <w:rsid w:val="00E418E0"/>
    <w:rsid w:val="00E43E15"/>
    <w:rsid w:val="00E50AAD"/>
    <w:rsid w:val="00E55876"/>
    <w:rsid w:val="00E61897"/>
    <w:rsid w:val="00E61B3B"/>
    <w:rsid w:val="00E65ACE"/>
    <w:rsid w:val="00E7093D"/>
    <w:rsid w:val="00E7253B"/>
    <w:rsid w:val="00E7361D"/>
    <w:rsid w:val="00E74617"/>
    <w:rsid w:val="00E767BC"/>
    <w:rsid w:val="00E8097F"/>
    <w:rsid w:val="00E82458"/>
    <w:rsid w:val="00E8546A"/>
    <w:rsid w:val="00E90952"/>
    <w:rsid w:val="00E914F5"/>
    <w:rsid w:val="00E92CC8"/>
    <w:rsid w:val="00E944CA"/>
    <w:rsid w:val="00E9557D"/>
    <w:rsid w:val="00E96397"/>
    <w:rsid w:val="00E97F4C"/>
    <w:rsid w:val="00EA3C36"/>
    <w:rsid w:val="00EB56EF"/>
    <w:rsid w:val="00EB6573"/>
    <w:rsid w:val="00EB6B09"/>
    <w:rsid w:val="00EC0C8F"/>
    <w:rsid w:val="00EC56BB"/>
    <w:rsid w:val="00EC6F3C"/>
    <w:rsid w:val="00ED3B4A"/>
    <w:rsid w:val="00ED579D"/>
    <w:rsid w:val="00F20A4C"/>
    <w:rsid w:val="00F24D66"/>
    <w:rsid w:val="00F5545B"/>
    <w:rsid w:val="00F622BC"/>
    <w:rsid w:val="00F63D3E"/>
    <w:rsid w:val="00F95830"/>
    <w:rsid w:val="00F96351"/>
    <w:rsid w:val="00F97889"/>
    <w:rsid w:val="00FA046E"/>
    <w:rsid w:val="00FA0833"/>
    <w:rsid w:val="00FA2B65"/>
    <w:rsid w:val="00FA4F39"/>
    <w:rsid w:val="00FA569E"/>
    <w:rsid w:val="00FB164A"/>
    <w:rsid w:val="00FB3E26"/>
    <w:rsid w:val="00FC1856"/>
    <w:rsid w:val="00FC28D4"/>
    <w:rsid w:val="00FC426A"/>
    <w:rsid w:val="00FC6900"/>
    <w:rsid w:val="00FD36D2"/>
    <w:rsid w:val="00FE5257"/>
    <w:rsid w:val="00FE7669"/>
    <w:rsid w:val="00FF1D75"/>
    <w:rsid w:val="00FF574E"/>
    <w:rsid w:val="00FF6299"/>
    <w:rsid w:val="00FF68DE"/>
    <w:rsid w:val="00FF6B2C"/>
    <w:rsid w:val="01DD1E9F"/>
    <w:rsid w:val="025B7A7A"/>
    <w:rsid w:val="0942659E"/>
    <w:rsid w:val="09620417"/>
    <w:rsid w:val="0A7D32D5"/>
    <w:rsid w:val="0B4300E1"/>
    <w:rsid w:val="0BC02FAF"/>
    <w:rsid w:val="0CE96080"/>
    <w:rsid w:val="0EDF2674"/>
    <w:rsid w:val="0EF600FC"/>
    <w:rsid w:val="1001186E"/>
    <w:rsid w:val="10B55FDB"/>
    <w:rsid w:val="15BA32B2"/>
    <w:rsid w:val="1A442663"/>
    <w:rsid w:val="1B5B5EB7"/>
    <w:rsid w:val="1BF41E67"/>
    <w:rsid w:val="1C7842B1"/>
    <w:rsid w:val="1D43437B"/>
    <w:rsid w:val="1D854AFC"/>
    <w:rsid w:val="209B0B03"/>
    <w:rsid w:val="221A4A1C"/>
    <w:rsid w:val="23811BD2"/>
    <w:rsid w:val="239621C0"/>
    <w:rsid w:val="23F5583C"/>
    <w:rsid w:val="241E2177"/>
    <w:rsid w:val="271E5FEA"/>
    <w:rsid w:val="295F1C0A"/>
    <w:rsid w:val="29802F8C"/>
    <w:rsid w:val="2B57356C"/>
    <w:rsid w:val="2DBB0A37"/>
    <w:rsid w:val="2E814EDA"/>
    <w:rsid w:val="30615560"/>
    <w:rsid w:val="30D73541"/>
    <w:rsid w:val="311D7D22"/>
    <w:rsid w:val="321E001C"/>
    <w:rsid w:val="36966370"/>
    <w:rsid w:val="378553A2"/>
    <w:rsid w:val="37D95063"/>
    <w:rsid w:val="385B1F67"/>
    <w:rsid w:val="38F74A71"/>
    <w:rsid w:val="3D7021B3"/>
    <w:rsid w:val="3E570308"/>
    <w:rsid w:val="3E8D5AD7"/>
    <w:rsid w:val="3F4173EA"/>
    <w:rsid w:val="3FAC4783"/>
    <w:rsid w:val="41546D80"/>
    <w:rsid w:val="420267DC"/>
    <w:rsid w:val="42310E70"/>
    <w:rsid w:val="44B3670C"/>
    <w:rsid w:val="457E14AC"/>
    <w:rsid w:val="462E7BA0"/>
    <w:rsid w:val="46FF32EA"/>
    <w:rsid w:val="472B2331"/>
    <w:rsid w:val="4A951518"/>
    <w:rsid w:val="4B427308"/>
    <w:rsid w:val="4C411090"/>
    <w:rsid w:val="4D64034B"/>
    <w:rsid w:val="4E8D1456"/>
    <w:rsid w:val="50A504B7"/>
    <w:rsid w:val="52187956"/>
    <w:rsid w:val="57416F33"/>
    <w:rsid w:val="5830545F"/>
    <w:rsid w:val="588D625C"/>
    <w:rsid w:val="593F3A1A"/>
    <w:rsid w:val="5A1B4488"/>
    <w:rsid w:val="62606248"/>
    <w:rsid w:val="627C183B"/>
    <w:rsid w:val="634B5608"/>
    <w:rsid w:val="63A55C27"/>
    <w:rsid w:val="651A4D2C"/>
    <w:rsid w:val="68252CD9"/>
    <w:rsid w:val="683E1A6D"/>
    <w:rsid w:val="696D617A"/>
    <w:rsid w:val="6C1D45C3"/>
    <w:rsid w:val="6EE43DF5"/>
    <w:rsid w:val="700510C2"/>
    <w:rsid w:val="70F96B4C"/>
    <w:rsid w:val="711A1738"/>
    <w:rsid w:val="74501B62"/>
    <w:rsid w:val="75287D2D"/>
    <w:rsid w:val="754F1383"/>
    <w:rsid w:val="75E3237C"/>
    <w:rsid w:val="768A40CF"/>
    <w:rsid w:val="796706F8"/>
    <w:rsid w:val="7AD93877"/>
    <w:rsid w:val="7B31268B"/>
    <w:rsid w:val="7D2D1C58"/>
    <w:rsid w:val="7E65363A"/>
    <w:rsid w:val="7F5F50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Plain Text"/>
    <w:basedOn w:val="1"/>
    <w:link w:val="16"/>
    <w:qFormat/>
    <w:uiPriority w:val="0"/>
    <w:rPr>
      <w:rFonts w:ascii="宋体" w:hAnsi="Courier New" w:cs="Courier New"/>
      <w:szCs w:val="21"/>
    </w:rPr>
  </w:style>
  <w:style w:type="paragraph" w:styleId="5">
    <w:name w:val="Date"/>
    <w:basedOn w:val="1"/>
    <w:next w:val="1"/>
    <w:qFormat/>
    <w:uiPriority w:val="0"/>
    <w:pPr>
      <w:ind w:left="100" w:leftChars="2500"/>
    </w:p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2"/>
    <w:next w:val="2"/>
    <w:semiHidden/>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rPr>
      <w:rFonts w:ascii="Times New Roman" w:hAnsi="Times New Roman" w:eastAsia="宋体"/>
      <w:sz w:val="18"/>
    </w:rPr>
  </w:style>
  <w:style w:type="character" w:styleId="14">
    <w:name w:val="Hyperlink"/>
    <w:qFormat/>
    <w:uiPriority w:val="0"/>
    <w:rPr>
      <w:rFonts w:ascii="Times New Roman" w:hAnsi="Times New Roman" w:eastAsia="宋体"/>
      <w:color w:val="auto"/>
      <w:spacing w:val="0"/>
      <w:w w:val="100"/>
      <w:position w:val="0"/>
      <w:sz w:val="21"/>
      <w:u w:val="none"/>
      <w:vertAlign w:val="baseline"/>
    </w:rPr>
  </w:style>
  <w:style w:type="character" w:styleId="15">
    <w:name w:val="annotation reference"/>
    <w:semiHidden/>
    <w:qFormat/>
    <w:uiPriority w:val="0"/>
    <w:rPr>
      <w:sz w:val="21"/>
      <w:szCs w:val="21"/>
    </w:rPr>
  </w:style>
  <w:style w:type="character" w:customStyle="1" w:styleId="16">
    <w:name w:val="纯文本 字符1"/>
    <w:link w:val="4"/>
    <w:qFormat/>
    <w:uiPriority w:val="0"/>
    <w:rPr>
      <w:rFonts w:ascii="宋体" w:hAnsi="Courier New" w:eastAsia="宋体" w:cs="Courier New"/>
      <w:kern w:val="2"/>
      <w:sz w:val="21"/>
      <w:szCs w:val="21"/>
      <w:lang w:val="en-US" w:eastAsia="zh-CN" w:bidi="ar-SA"/>
    </w:rPr>
  </w:style>
  <w:style w:type="character" w:customStyle="1" w:styleId="17">
    <w:name w:val="tdword"/>
    <w:qFormat/>
    <w:uiPriority w:val="0"/>
  </w:style>
  <w:style w:type="character" w:customStyle="1" w:styleId="18">
    <w:name w:val="发布"/>
    <w:qFormat/>
    <w:uiPriority w:val="0"/>
    <w:rPr>
      <w:rFonts w:ascii="黑体" w:eastAsia="黑体"/>
      <w:spacing w:val="22"/>
      <w:w w:val="100"/>
      <w:position w:val="3"/>
      <w:sz w:val="28"/>
    </w:rPr>
  </w:style>
  <w:style w:type="character" w:customStyle="1" w:styleId="19">
    <w:name w:val="纯文本 字符"/>
    <w:qFormat/>
    <w:uiPriority w:val="0"/>
    <w:rPr>
      <w:rFonts w:ascii="宋体" w:hAnsi="Courier New" w:cs="Courier New"/>
      <w:kern w:val="2"/>
      <w:sz w:val="21"/>
      <w:szCs w:val="21"/>
    </w:rPr>
  </w:style>
  <w:style w:type="paragraph" w:customStyle="1" w:styleId="20">
    <w:name w:val="列项——"/>
    <w:qFormat/>
    <w:uiPriority w:val="0"/>
    <w:pPr>
      <w:widowControl w:val="0"/>
      <w:jc w:val="both"/>
    </w:pPr>
    <w:rPr>
      <w:rFonts w:ascii="宋体" w:hAnsi="Times New Roman" w:eastAsia="宋体" w:cs="Times New Roman"/>
      <w:sz w:val="21"/>
      <w:lang w:val="en-US" w:eastAsia="zh-CN" w:bidi="ar-SA"/>
    </w:rPr>
  </w:style>
  <w:style w:type="paragraph" w:customStyle="1" w:styleId="21">
    <w:name w:val="二级无标题条"/>
    <w:basedOn w:val="1"/>
    <w:qFormat/>
    <w:uiPriority w:val="0"/>
    <w:pPr>
      <w:numPr>
        <w:ilvl w:val="3"/>
        <w:numId w:val="1"/>
      </w:numPr>
    </w:pPr>
  </w:style>
  <w:style w:type="paragraph" w:customStyle="1" w:styleId="22">
    <w:name w:val="五级无标题条"/>
    <w:basedOn w:val="1"/>
    <w:qFormat/>
    <w:uiPriority w:val="0"/>
    <w:pPr>
      <w:numPr>
        <w:ilvl w:val="6"/>
        <w:numId w:val="1"/>
      </w:numPr>
    </w:pPr>
  </w:style>
  <w:style w:type="paragraph" w:customStyle="1" w:styleId="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7">
    <w:name w:val="一级条标题"/>
    <w:basedOn w:val="28"/>
    <w:next w:val="23"/>
    <w:qFormat/>
    <w:uiPriority w:val="0"/>
    <w:pPr>
      <w:numPr>
        <w:ilvl w:val="2"/>
        <w:numId w:val="2"/>
      </w:numPr>
      <w:spacing w:before="0" w:beforeLines="0" w:after="0" w:afterLines="0"/>
      <w:outlineLvl w:val="2"/>
    </w:pPr>
  </w:style>
  <w:style w:type="paragraph" w:customStyle="1" w:styleId="28">
    <w:name w:val="章标题"/>
    <w:next w:val="23"/>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2">
    <w:name w:val="实施日期"/>
    <w:basedOn w:val="33"/>
    <w:qFormat/>
    <w:uiPriority w:val="0"/>
    <w:pPr>
      <w:framePr w:hSpace="0" w:xAlign="right"/>
      <w:jc w:val="right"/>
    </w:pPr>
  </w:style>
  <w:style w:type="paragraph" w:customStyle="1" w:styleId="3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4">
    <w:name w:val="封面正文"/>
    <w:qFormat/>
    <w:uiPriority w:val="0"/>
    <w:pPr>
      <w:jc w:val="both"/>
    </w:pPr>
    <w:rPr>
      <w:rFonts w:ascii="Times New Roman" w:hAnsi="Times New Roman" w:eastAsia="宋体" w:cs="Times New Roman"/>
      <w:lang w:val="en-US" w:eastAsia="zh-CN" w:bidi="ar-SA"/>
    </w:rPr>
  </w:style>
  <w:style w:type="paragraph" w:customStyle="1" w:styleId="3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6">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37">
    <w:name w:val="四级条标题"/>
    <w:basedOn w:val="38"/>
    <w:next w:val="23"/>
    <w:qFormat/>
    <w:uiPriority w:val="0"/>
    <w:pPr>
      <w:numPr>
        <w:ilvl w:val="5"/>
        <w:numId w:val="2"/>
      </w:numPr>
      <w:outlineLvl w:val="5"/>
    </w:pPr>
  </w:style>
  <w:style w:type="paragraph" w:customStyle="1" w:styleId="38">
    <w:name w:val="三级条标题"/>
    <w:basedOn w:val="39"/>
    <w:next w:val="23"/>
    <w:qFormat/>
    <w:uiPriority w:val="0"/>
    <w:pPr>
      <w:numPr>
        <w:ilvl w:val="4"/>
        <w:numId w:val="2"/>
      </w:numPr>
      <w:outlineLvl w:val="4"/>
    </w:pPr>
  </w:style>
  <w:style w:type="paragraph" w:customStyle="1" w:styleId="39">
    <w:name w:val="二级条标题"/>
    <w:basedOn w:val="27"/>
    <w:next w:val="23"/>
    <w:qFormat/>
    <w:uiPriority w:val="0"/>
    <w:pPr>
      <w:numPr>
        <w:ilvl w:val="3"/>
        <w:numId w:val="2"/>
      </w:numPr>
      <w:outlineLvl w:val="3"/>
    </w:pPr>
  </w:style>
  <w:style w:type="paragraph" w:customStyle="1" w:styleId="40">
    <w:name w:val="五级条标题"/>
    <w:basedOn w:val="37"/>
    <w:next w:val="23"/>
    <w:qFormat/>
    <w:uiPriority w:val="0"/>
    <w:pPr>
      <w:numPr>
        <w:ilvl w:val="6"/>
        <w:numId w:val="2"/>
      </w:numPr>
      <w:outlineLvl w:val="6"/>
    </w:pPr>
  </w:style>
  <w:style w:type="paragraph" w:customStyle="1" w:styleId="41">
    <w:name w:val="封面标准代替信息"/>
    <w:basedOn w:val="36"/>
    <w:qFormat/>
    <w:uiPriority w:val="0"/>
    <w:pPr>
      <w:spacing w:before="57"/>
    </w:pPr>
    <w:rPr>
      <w:rFonts w:ascii="宋体"/>
      <w:sz w:val="21"/>
    </w:rPr>
  </w:style>
  <w:style w:type="paragraph" w:customStyle="1" w:styleId="42">
    <w:name w:val="正文表标题"/>
    <w:next w:val="23"/>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4">
    <w:name w:val="标准书眉_偶数页"/>
    <w:basedOn w:val="43"/>
    <w:next w:val="1"/>
    <w:qFormat/>
    <w:uiPriority w:val="0"/>
    <w:pPr>
      <w:jc w:val="left"/>
    </w:pPr>
  </w:style>
  <w:style w:type="paragraph" w:customStyle="1" w:styleId="45">
    <w:name w:val="目次、标准名称标题"/>
    <w:basedOn w:val="46"/>
    <w:next w:val="23"/>
    <w:qFormat/>
    <w:uiPriority w:val="0"/>
    <w:pPr>
      <w:numPr>
        <w:ilvl w:val="0"/>
        <w:numId w:val="0"/>
      </w:numPr>
      <w:spacing w:line="460" w:lineRule="exact"/>
    </w:pPr>
  </w:style>
  <w:style w:type="paragraph" w:customStyle="1" w:styleId="46">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7">
    <w:name w:val="标准书眉一"/>
    <w:qFormat/>
    <w:uiPriority w:val="0"/>
    <w:pPr>
      <w:jc w:val="both"/>
    </w:pPr>
    <w:rPr>
      <w:rFonts w:ascii="Times New Roman" w:hAnsi="Times New Roman" w:eastAsia="宋体" w:cs="Times New Roman"/>
      <w:lang w:val="en-US" w:eastAsia="zh-CN" w:bidi="ar-SA"/>
    </w:rPr>
  </w:style>
  <w:style w:type="paragraph" w:customStyle="1" w:styleId="4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9">
    <w:name w:val="一级无标题条"/>
    <w:basedOn w:val="1"/>
    <w:qFormat/>
    <w:uiPriority w:val="0"/>
    <w:pPr>
      <w:numPr>
        <w:ilvl w:val="2"/>
        <w:numId w:val="1"/>
      </w:numPr>
    </w:pPr>
  </w:style>
  <w:style w:type="paragraph" w:customStyle="1" w:styleId="5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1">
    <w:name w:val="发布部门"/>
    <w:next w:val="23"/>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2">
    <w:name w:val="三级无标题条"/>
    <w:basedOn w:val="1"/>
    <w:qFormat/>
    <w:uiPriority w:val="0"/>
    <w:pPr>
      <w:numPr>
        <w:ilvl w:val="4"/>
        <w:numId w:val="1"/>
      </w:numPr>
    </w:pPr>
  </w:style>
  <w:style w:type="paragraph" w:customStyle="1" w:styleId="53">
    <w:name w:val="四级无标题条"/>
    <w:basedOn w:val="1"/>
    <w:qFormat/>
    <w:uiPriority w:val="0"/>
    <w:pPr>
      <w:numPr>
        <w:ilvl w:val="5"/>
        <w:numId w:val="1"/>
      </w:numPr>
    </w:pPr>
  </w:style>
  <w:style w:type="paragraph" w:styleId="54">
    <w:name w:val="List Paragraph"/>
    <w:basedOn w:val="1"/>
    <w:qFormat/>
    <w:uiPriority w:val="34"/>
    <w:pPr>
      <w:ind w:firstLine="420" w:firstLineChars="200"/>
    </w:pPr>
  </w:style>
  <w:style w:type="character" w:customStyle="1" w:styleId="55">
    <w:name w:val="font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5.wmf"/><Relationship Id="rId22" Type="http://schemas.openxmlformats.org/officeDocument/2006/relationships/oleObject" Target="embeddings/oleObject2.bin"/><Relationship Id="rId21" Type="http://schemas.openxmlformats.org/officeDocument/2006/relationships/image" Target="media/image4.jpeg"/><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werwerwe</Company>
  <Pages>11</Pages>
  <Words>5874</Words>
  <Characters>7625</Characters>
  <Lines>57</Lines>
  <Paragraphs>16</Paragraphs>
  <TotalTime>4</TotalTime>
  <ScaleCrop>false</ScaleCrop>
  <LinksUpToDate>false</LinksUpToDate>
  <CharactersWithSpaces>8319</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2016-04-07T14:21:00Z</dcterms:created>
  <dc:creator>aewr5w3</dc:creator>
  <cp:lastModifiedBy>hoogleD</cp:lastModifiedBy>
  <cp:lastPrinted>2024-10-20T08:50:00Z</cp:lastPrinted>
  <dcterms:modified xsi:type="dcterms:W3CDTF">2024-12-07T10:41:26Z</dcterms:modified>
  <dc:title>铑化合物中铑量的测定预审稿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87FAF842E07A47F1AB86D5597850DC6A_13</vt:lpwstr>
  </property>
</Properties>
</file>