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635"/>
                <wp:effectExtent l="0" t="0" r="0" b="0"/>
                <wp:wrapNone/>
                <wp:docPr id="10" name="Line 30"/>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30" o:spid="_x0000_s1026" o:spt="20" style="position:absolute;left:0pt;margin-left:0pt;margin-top:700pt;height:0.05pt;width:482pt;z-index:251666432;mso-width-relative:page;mso-height-relative:page;" filled="f"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OSG4/TAAAACgEAAA8AAAAAAAAA&#10;AQAgAAAAIgAAAGRycy9kb3ducmV2LnhtbFBLAQIUABQAAAAIAIdO4kDTXkbt3QEAAN4DAAAOAAAA&#10;AAAAAAEAIAAAACIBAABkcnMvZTJvRG9jLnhtbFBLBQYAAAAABgAGAFkBAABx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9" name="Line 29"/>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29" o:spid="_x0000_s1026" o:spt="20" style="position:absolute;left:0pt;margin-left:0pt;margin-top:179pt;height:0.05pt;width:482pt;z-index:251665408;mso-width-relative:page;mso-height-relative:page;" filled="f" stroked="t" coordsize="21600,21600" o:gfxdata="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REBp1QAAAAgBAAAPAAAA&#10;AAAAAAEAIAAAACIAAABkcnMvZG93bnJldi54bWxQSwECFAAUAAAACACHTuJAB1qIvt8BAADdAwAA&#10;DgAAAAAAAAABACAAAAAkAQAAZHJzL2Uyb0RvYy54bWxQSwUGAAAAAAYABgBZAQAAdQ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8"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2"/>
                            </w:pPr>
                            <w:r>
                              <w:rPr>
                                <w:rFonts w:hint="eastAsia"/>
                              </w:rPr>
                              <w:t>××××-××-××实施</w:t>
                            </w:r>
                          </w:p>
                          <w:p/>
                          <w:p>
                            <w:pPr>
                              <w:pStyle w:val="102"/>
                            </w:pPr>
                            <w:r>
                              <w:rPr>
                                <w:rFonts w:hint="eastAsia"/>
                              </w:rPr>
                              <w:t>××××-××-××实施</w:t>
                            </w:r>
                          </w:p>
                          <w:p/>
                          <w:p>
                            <w:pPr>
                              <w:pStyle w:val="102"/>
                            </w:pPr>
                            <w:r>
                              <w:rPr>
                                <w:rFonts w:hint="eastAsia"/>
                              </w:rPr>
                              <w:t>××××-××-××实施</w:t>
                            </w:r>
                          </w:p>
                          <w:p/>
                          <w:p>
                            <w:pPr>
                              <w:pStyle w:val="102"/>
                            </w:pPr>
                            <w:r>
                              <w:rPr>
                                <w:rFonts w:hint="eastAsia"/>
                              </w:rPr>
                              <w:t>××××-××-××实施</w:t>
                            </w:r>
                          </w:p>
                        </w:txbxContent>
                      </wps:txbx>
                      <wps:bodyPr wrap="square" lIns="0" tIns="0" rIns="0" bIns="0" anchor="t" anchorCtr="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2q19oAAAANAQAADwAAAAAAAAAB&#10;ACAAAAAiAAAAZHJzL2Rvd25yZXYueG1sUEsBAhQAFAAAAAgAh07iQHANF9fVAQAAvwMAAA4AAAAA&#10;AAAAAQAgAAAAKQEAAGRycy9lMm9Eb2MueG1sUEsFBgAAAAAGAAYAWQEAAHAFAAAAAA==&#10;">
                <v:fill on="t" focussize="0,0"/>
                <v:stroke on="f"/>
                <v:imagedata o:title=""/>
                <o:lock v:ext="edit" aspectratio="f"/>
                <v:textbox inset="0mm,0mm,0mm,0mm">
                  <w:txbxContent>
                    <w:p>
                      <w:pPr>
                        <w:pStyle w:val="102"/>
                      </w:pPr>
                      <w:r>
                        <w:rPr>
                          <w:rFonts w:hint="eastAsia"/>
                        </w:rPr>
                        <w:t>××××-××-××实施</w:t>
                      </w:r>
                    </w:p>
                    <w:p/>
                    <w:p>
                      <w:pPr>
                        <w:pStyle w:val="102"/>
                      </w:pPr>
                      <w:r>
                        <w:rPr>
                          <w:rFonts w:hint="eastAsia"/>
                        </w:rPr>
                        <w:t>××××-××-××实施</w:t>
                      </w:r>
                    </w:p>
                    <w:p/>
                    <w:p>
                      <w:pPr>
                        <w:pStyle w:val="102"/>
                      </w:pPr>
                      <w:r>
                        <w:rPr>
                          <w:rFonts w:hint="eastAsia"/>
                        </w:rPr>
                        <w:t>××××-××-××实施</w:t>
                      </w:r>
                    </w:p>
                    <w:p/>
                    <w:p>
                      <w:pPr>
                        <w:pStyle w:val="102"/>
                      </w:pP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7"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3"/>
                            </w:pPr>
                            <w:r>
                              <w:rPr>
                                <w:rFonts w:hint="eastAsia"/>
                              </w:rPr>
                              <w:t>××××-××-××发布</w:t>
                            </w:r>
                          </w:p>
                          <w:p/>
                          <w:p>
                            <w:pPr>
                              <w:pStyle w:val="103"/>
                            </w:pPr>
                            <w:r>
                              <w:rPr>
                                <w:rFonts w:hint="eastAsia"/>
                              </w:rPr>
                              <w:t>××××-××-××发布</w:t>
                            </w:r>
                          </w:p>
                          <w:p/>
                          <w:p>
                            <w:pPr>
                              <w:pStyle w:val="103"/>
                            </w:pPr>
                            <w:r>
                              <w:rPr>
                                <w:rFonts w:hint="eastAsia"/>
                              </w:rPr>
                              <w:t>××××-××-××发布</w:t>
                            </w:r>
                          </w:p>
                          <w:p/>
                          <w:p>
                            <w:pPr>
                              <w:pStyle w:val="103"/>
                            </w:pPr>
                            <w:r>
                              <w:rPr>
                                <w:rFonts w:hint="eastAsia"/>
                              </w:rPr>
                              <w:t>××××-××-××发布</w:t>
                            </w:r>
                          </w:p>
                        </w:txbxContent>
                      </wps:txbx>
                      <wps:bodyPr wrap="square" lIns="0" tIns="0" rIns="0" bIns="0" anchor="t" anchorCtr="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82yojYAAAACgEAAA8AAAAAAAAAAQAg&#10;AAAAIgAAAGRycy9kb3ducmV2LnhtbFBLAQIUABQAAAAIAIdO4kDvaCUX1QEAAL8DAAAOAAAAAAAA&#10;AAEAIAAAACcBAABkcnMvZTJvRG9jLnhtbFBLBQYAAAAABgAGAFkBAABuBQAAAAA=&#10;">
                <v:fill on="t" focussize="0,0"/>
                <v:stroke on="f"/>
                <v:imagedata o:title=""/>
                <o:lock v:ext="edit" aspectratio="f"/>
                <v:textbox inset="0mm,0mm,0mm,0mm">
                  <w:txbxContent>
                    <w:p>
                      <w:pPr>
                        <w:pStyle w:val="103"/>
                      </w:pPr>
                      <w:r>
                        <w:rPr>
                          <w:rFonts w:hint="eastAsia"/>
                        </w:rPr>
                        <w:t>××××-××-××发布</w:t>
                      </w:r>
                    </w:p>
                    <w:p/>
                    <w:p>
                      <w:pPr>
                        <w:pStyle w:val="103"/>
                      </w:pPr>
                      <w:r>
                        <w:rPr>
                          <w:rFonts w:hint="eastAsia"/>
                        </w:rPr>
                        <w:t>××××-××-××发布</w:t>
                      </w:r>
                    </w:p>
                    <w:p/>
                    <w:p>
                      <w:pPr>
                        <w:pStyle w:val="103"/>
                      </w:pPr>
                      <w:r>
                        <w:rPr>
                          <w:rFonts w:hint="eastAsia"/>
                        </w:rPr>
                        <w:t>××××-××-××发布</w:t>
                      </w:r>
                    </w:p>
                    <w:p/>
                    <w:p>
                      <w:pPr>
                        <w:pStyle w:val="103"/>
                      </w:pP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6"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0"/>
                              <w:ind w:firstLine="0" w:firstLineChars="0"/>
                              <w:jc w:val="center"/>
                              <w:rPr>
                                <w:rFonts w:ascii="黑体" w:hAnsi="黑体" w:eastAsia="黑体"/>
                                <w:sz w:val="52"/>
                                <w:szCs w:val="52"/>
                              </w:rPr>
                            </w:pPr>
                            <w:r>
                              <w:rPr>
                                <w:rFonts w:hint="eastAsia" w:ascii="黑体" w:hAnsi="黑体" w:eastAsia="黑体"/>
                                <w:sz w:val="52"/>
                                <w:szCs w:val="52"/>
                              </w:rPr>
                              <w:t>铝及铝合金阳极氧化膜与有机聚合物膜</w:t>
                            </w:r>
                          </w:p>
                          <w:p>
                            <w:pPr>
                              <w:pStyle w:val="80"/>
                              <w:ind w:firstLine="1040"/>
                              <w:jc w:val="center"/>
                              <w:rPr>
                                <w:rFonts w:ascii="黑体" w:hAnsi="黑体" w:eastAsia="黑体"/>
                                <w:sz w:val="52"/>
                                <w:szCs w:val="52"/>
                              </w:rPr>
                            </w:pPr>
                            <w:r>
                              <w:rPr>
                                <w:rFonts w:hint="eastAsia" w:ascii="黑体" w:hAnsi="黑体" w:eastAsia="黑体"/>
                                <w:sz w:val="52"/>
                                <w:szCs w:val="52"/>
                              </w:rPr>
                              <w:t>第</w:t>
                            </w:r>
                            <w:r>
                              <w:rPr>
                                <w:rFonts w:ascii="黑体" w:hAnsi="黑体" w:eastAsia="黑体"/>
                                <w:sz w:val="52"/>
                                <w:szCs w:val="52"/>
                              </w:rPr>
                              <w:t>1</w:t>
                            </w:r>
                            <w:r>
                              <w:rPr>
                                <w:rFonts w:hint="eastAsia" w:ascii="黑体" w:hAnsi="黑体" w:eastAsia="黑体"/>
                                <w:sz w:val="52"/>
                                <w:szCs w:val="52"/>
                              </w:rPr>
                              <w:t>部分:阳极氧化膜</w:t>
                            </w:r>
                          </w:p>
                          <w:p>
                            <w:pPr>
                              <w:pStyle w:val="94"/>
                              <w:rPr>
                                <w:rFonts w:eastAsia="Arial Unicode MS"/>
                                <w:szCs w:val="22"/>
                              </w:rPr>
                            </w:pPr>
                            <w:r>
                              <w:rPr>
                                <w:rFonts w:hint="eastAsia" w:eastAsia="Arial Unicode MS"/>
                                <w:szCs w:val="22"/>
                              </w:rPr>
                              <w:t>Anodic oxide coatings and organic polymer coatings on aluminium and its alloys</w:t>
                            </w:r>
                          </w:p>
                          <w:p>
                            <w:pPr>
                              <w:pStyle w:val="94"/>
                            </w:pPr>
                            <w:r>
                              <w:rPr>
                                <w:rFonts w:hint="eastAsia" w:eastAsia="Arial Unicode MS"/>
                                <w:szCs w:val="22"/>
                              </w:rPr>
                              <w:t xml:space="preserve">Part </w:t>
                            </w:r>
                            <w:r>
                              <w:rPr>
                                <w:rFonts w:eastAsia="Arial Unicode MS"/>
                                <w:szCs w:val="22"/>
                              </w:rPr>
                              <w:t>1</w:t>
                            </w:r>
                            <w:r>
                              <w:rPr>
                                <w:rFonts w:hint="eastAsia" w:eastAsia="Arial Unicode MS"/>
                                <w:szCs w:val="22"/>
                              </w:rPr>
                              <w:t>: Anodic oxide coatings</w:t>
                            </w:r>
                          </w:p>
                          <w:p>
                            <w:pPr>
                              <w:pStyle w:val="135"/>
                            </w:pPr>
                          </w:p>
                          <w:p>
                            <w:pPr>
                              <w:pStyle w:val="117"/>
                              <w:ind w:firstLine="420"/>
                            </w:pPr>
                            <w:r>
                              <w:rPr>
                                <w:rFonts w:hint="eastAsia"/>
                              </w:rPr>
                              <w:t>（报批稿，2017.11.21）</w:t>
                            </w:r>
                          </w:p>
                          <w:p>
                            <w:pPr>
                              <w:pStyle w:val="96"/>
                            </w:pPr>
                          </w:p>
                        </w:txbxContent>
                      </wps:txbx>
                      <wps:bodyPr wrap="square" lIns="0" tIns="0" rIns="0" bIns="0" anchor="t" anchorCtr="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FefcdgAAAAJAQAADwAAAAAAAAAB&#10;ACAAAAAiAAAAZHJzL2Rvd25yZXYueG1sUEsBAhQAFAAAAAgAh07iQGnHXvfXAQAAwAMAAA4AAAAA&#10;AAAAAQAgAAAAJwEAAGRycy9lMm9Eb2MueG1sUEsFBgAAAAAGAAYAWQEAAHAFAAAAAA==&#10;">
                <v:fill on="t" focussize="0,0"/>
                <v:stroke on="f"/>
                <v:imagedata o:title=""/>
                <o:lock v:ext="edit" aspectratio="f"/>
                <v:textbox inset="0mm,0mm,0mm,0mm">
                  <w:txbxContent>
                    <w:p>
                      <w:pPr>
                        <w:pStyle w:val="80"/>
                        <w:ind w:firstLine="0" w:firstLineChars="0"/>
                        <w:jc w:val="center"/>
                        <w:rPr>
                          <w:rFonts w:ascii="黑体" w:hAnsi="黑体" w:eastAsia="黑体"/>
                          <w:sz w:val="52"/>
                          <w:szCs w:val="52"/>
                        </w:rPr>
                      </w:pPr>
                      <w:r>
                        <w:rPr>
                          <w:rFonts w:hint="eastAsia" w:ascii="黑体" w:hAnsi="黑体" w:eastAsia="黑体"/>
                          <w:sz w:val="52"/>
                          <w:szCs w:val="52"/>
                        </w:rPr>
                        <w:t>铝及铝合金阳极氧化膜与有机聚合物膜</w:t>
                      </w:r>
                    </w:p>
                    <w:p>
                      <w:pPr>
                        <w:pStyle w:val="80"/>
                        <w:ind w:firstLine="1040"/>
                        <w:jc w:val="center"/>
                        <w:rPr>
                          <w:rFonts w:ascii="黑体" w:hAnsi="黑体" w:eastAsia="黑体"/>
                          <w:sz w:val="52"/>
                          <w:szCs w:val="52"/>
                        </w:rPr>
                      </w:pPr>
                      <w:r>
                        <w:rPr>
                          <w:rFonts w:hint="eastAsia" w:ascii="黑体" w:hAnsi="黑体" w:eastAsia="黑体"/>
                          <w:sz w:val="52"/>
                          <w:szCs w:val="52"/>
                        </w:rPr>
                        <w:t>第</w:t>
                      </w:r>
                      <w:r>
                        <w:rPr>
                          <w:rFonts w:ascii="黑体" w:hAnsi="黑体" w:eastAsia="黑体"/>
                          <w:sz w:val="52"/>
                          <w:szCs w:val="52"/>
                        </w:rPr>
                        <w:t>1</w:t>
                      </w:r>
                      <w:r>
                        <w:rPr>
                          <w:rFonts w:hint="eastAsia" w:ascii="黑体" w:hAnsi="黑体" w:eastAsia="黑体"/>
                          <w:sz w:val="52"/>
                          <w:szCs w:val="52"/>
                        </w:rPr>
                        <w:t>部分:阳极氧化膜</w:t>
                      </w:r>
                    </w:p>
                    <w:p>
                      <w:pPr>
                        <w:pStyle w:val="94"/>
                        <w:rPr>
                          <w:rFonts w:eastAsia="Arial Unicode MS"/>
                          <w:szCs w:val="22"/>
                        </w:rPr>
                      </w:pPr>
                      <w:r>
                        <w:rPr>
                          <w:rFonts w:hint="eastAsia" w:eastAsia="Arial Unicode MS"/>
                          <w:szCs w:val="22"/>
                        </w:rPr>
                        <w:t>Anodic oxide coatings and organic polymer coatings on aluminium and its alloys</w:t>
                      </w:r>
                    </w:p>
                    <w:p>
                      <w:pPr>
                        <w:pStyle w:val="94"/>
                      </w:pPr>
                      <w:r>
                        <w:rPr>
                          <w:rFonts w:hint="eastAsia" w:eastAsia="Arial Unicode MS"/>
                          <w:szCs w:val="22"/>
                        </w:rPr>
                        <w:t xml:space="preserve">Part </w:t>
                      </w:r>
                      <w:r>
                        <w:rPr>
                          <w:rFonts w:eastAsia="Arial Unicode MS"/>
                          <w:szCs w:val="22"/>
                        </w:rPr>
                        <w:t>1</w:t>
                      </w:r>
                      <w:r>
                        <w:rPr>
                          <w:rFonts w:hint="eastAsia" w:eastAsia="Arial Unicode MS"/>
                          <w:szCs w:val="22"/>
                        </w:rPr>
                        <w:t>: Anodic oxide coatings</w:t>
                      </w:r>
                    </w:p>
                    <w:p>
                      <w:pPr>
                        <w:pStyle w:val="135"/>
                      </w:pPr>
                    </w:p>
                    <w:p>
                      <w:pPr>
                        <w:pStyle w:val="117"/>
                        <w:ind w:firstLine="420"/>
                      </w:pPr>
                      <w:r>
                        <w:rPr>
                          <w:rFonts w:hint="eastAsia"/>
                        </w:rPr>
                        <w:t>（报批稿，2017.11.21）</w:t>
                      </w:r>
                    </w:p>
                    <w:p>
                      <w:pPr>
                        <w:pStyle w:val="96"/>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5"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37"/>
                            </w:pPr>
                            <w:r>
                              <w:rPr>
                                <w:rFonts w:hint="eastAsia"/>
                              </w:rPr>
                              <w:t>中华人民共和国国家标准</w:t>
                            </w:r>
                          </w:p>
                          <w:p/>
                          <w:p>
                            <w:pPr>
                              <w:pStyle w:val="137"/>
                            </w:pPr>
                            <w:r>
                              <w:rPr>
                                <w:rFonts w:hint="eastAsia"/>
                              </w:rPr>
                              <w:t>中华人民共和国国家标准</w:t>
                            </w:r>
                          </w:p>
                          <w:p/>
                          <w:p>
                            <w:pPr>
                              <w:pStyle w:val="137"/>
                            </w:pPr>
                            <w:r>
                              <w:rPr>
                                <w:rFonts w:hint="eastAsia"/>
                              </w:rPr>
                              <w:t>中华人民共和国国家标准</w:t>
                            </w:r>
                          </w:p>
                          <w:p/>
                          <w:p>
                            <w:pPr>
                              <w:pStyle w:val="137"/>
                            </w:pPr>
                            <w:r>
                              <w:rPr>
                                <w:rFonts w:hint="eastAsia"/>
                              </w:rPr>
                              <w:t>中华人民共和国国家标准</w:t>
                            </w:r>
                          </w:p>
                        </w:txbxContent>
                      </wps:txbx>
                      <wps:bodyPr wrap="square" lIns="0" tIns="0" rIns="0" bIns="0" anchor="t" anchorCtr="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g5HBdcAAAAIAQAADwAAAAAAAAABACAA&#10;AAAiAAAAZHJzL2Rvd25yZXYueG1sUEsBAhQAFAAAAAgAh07iQA9ggkbVAQAAvwMAAA4AAAAAAAAA&#10;AQAgAAAAJgEAAGRycy9lMm9Eb2MueG1sUEsFBgAAAAAGAAYAWQEAAG0FAAAAAA==&#10;">
                <v:fill on="t" focussize="0,0"/>
                <v:stroke on="f"/>
                <v:imagedata o:title=""/>
                <o:lock v:ext="edit" aspectratio="f"/>
                <v:textbox inset="0mm,0mm,0mm,0mm">
                  <w:txbxContent>
                    <w:p>
                      <w:pPr>
                        <w:pStyle w:val="137"/>
                      </w:pPr>
                      <w:r>
                        <w:rPr>
                          <w:rFonts w:hint="eastAsia"/>
                        </w:rPr>
                        <w:t>中华人民共和国国家标准</w:t>
                      </w:r>
                    </w:p>
                    <w:p/>
                    <w:p>
                      <w:pPr>
                        <w:pStyle w:val="137"/>
                      </w:pPr>
                      <w:r>
                        <w:rPr>
                          <w:rFonts w:hint="eastAsia"/>
                        </w:rPr>
                        <w:t>中华人民共和国国家标准</w:t>
                      </w:r>
                    </w:p>
                    <w:p/>
                    <w:p>
                      <w:pPr>
                        <w:pStyle w:val="137"/>
                      </w:pPr>
                      <w:r>
                        <w:rPr>
                          <w:rFonts w:hint="eastAsia"/>
                        </w:rPr>
                        <w:t>中华人民共和国国家标准</w:t>
                      </w:r>
                    </w:p>
                    <w:p/>
                    <w:p>
                      <w:pPr>
                        <w:pStyle w:val="137"/>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85"/>
                            </w:pPr>
                            <w:r>
                              <w:t xml:space="preserve">ICS </w:t>
                            </w:r>
                            <w:r>
                              <w:rPr>
                                <w:rFonts w:hint="eastAsia"/>
                                <w:szCs w:val="22"/>
                              </w:rPr>
                              <w:t>25.220.01</w:t>
                            </w:r>
                          </w:p>
                          <w:p>
                            <w:pPr>
                              <w:pStyle w:val="85"/>
                            </w:pPr>
                            <w:r>
                              <w:t>H 6</w:t>
                            </w:r>
                            <w:r>
                              <w:rPr>
                                <w:rFonts w:hint="eastAsia"/>
                              </w:rPr>
                              <w:t>0</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txbxContent>
                      </wps:txbx>
                      <wps:bodyPr wrap="square" lIns="0" tIns="0" rIns="0" bIns="0" anchor="t" anchorCtr="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sy+DTAAAABQEAAA8AAAAAAAAAAQAgAAAAIgAA&#10;AGRycy9kb3ducmV2LnhtbFBLAQIUABQAAAAIAIdO4kBt0vYj1AEAAL8DAAAOAAAAAAAAAAEAIAAA&#10;ACIBAABkcnMvZTJvRG9jLnhtbFBLBQYAAAAABgAGAFkBAABoBQAAAAA=&#10;">
                <v:fill on="t" focussize="0,0"/>
                <v:stroke on="f"/>
                <v:imagedata o:title=""/>
                <o:lock v:ext="edit" aspectratio="f"/>
                <v:textbox inset="0mm,0mm,0mm,0mm">
                  <w:txbxContent>
                    <w:p>
                      <w:pPr>
                        <w:pStyle w:val="85"/>
                      </w:pPr>
                      <w:r>
                        <w:t xml:space="preserve">ICS </w:t>
                      </w:r>
                      <w:r>
                        <w:rPr>
                          <w:rFonts w:hint="eastAsia"/>
                          <w:szCs w:val="22"/>
                        </w:rPr>
                        <w:t>25.220.01</w:t>
                      </w:r>
                    </w:p>
                    <w:p>
                      <w:pPr>
                        <w:pStyle w:val="85"/>
                      </w:pPr>
                      <w:r>
                        <w:t>H 6</w:t>
                      </w:r>
                      <w:r>
                        <w:rPr>
                          <w:rFonts w:hint="eastAsia"/>
                        </w:rPr>
                        <w:t>0</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txbxContent>
                </v:textbox>
                <w10:anchorlock/>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8890000</wp:posOffset>
                </wp:positionV>
                <wp:extent cx="6121400" cy="635"/>
                <wp:effectExtent l="0" t="0" r="0" b="0"/>
                <wp:wrapNone/>
                <wp:docPr id="17" name="Line 13"/>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0pt;margin-top:700pt;height:0.05pt;width:482pt;z-index:251672576;mso-width-relative:page;mso-height-relative:page;" filled="f" stroked="t"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kOcKdYAAAAKAQAADwAAAAAA&#10;AAABACAAAAAiAAAAZHJzL2Rvd25yZXYueG1sUEsBAhQAFAAAAAgAh07iQAB1I+HcAQAA3gMAAA4A&#10;AAAAAAAAAQAgAAAAJQEAAGRycy9lMm9Eb2MueG1sUEsFBgAAAAAGAAYAWQEAAHM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16" name="Line 14"/>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0pt;margin-top:179pt;height:0.05pt;width:482pt;z-index:251671552;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cpSoHXAAAACAEAAA8AAAAA&#10;AAAAAQAgAAAAIgAAAGRycy9kb3ducmV2LnhtbFBLAQIUABQAAAAIAIdO4kD66CGK3AEAAN4DAAAO&#10;AAAAAAAAAAEAIAAAACYBAABkcnMvZTJvRG9jLnhtbFBLBQYAAAAABgAGAFkBAAB0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0528"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15" name="Quad Arrow 28"/>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2"/>
                            </w:pPr>
                            <w:r>
                              <w:rPr>
                                <w:rFonts w:hint="eastAsia"/>
                              </w:rPr>
                              <w:t>××××-××-××实施</w:t>
                            </w:r>
                          </w:p>
                          <w:p/>
                          <w:p>
                            <w:pPr>
                              <w:pStyle w:val="102"/>
                            </w:pPr>
                            <w:r>
                              <w:rPr>
                                <w:rFonts w:hint="eastAsia"/>
                              </w:rPr>
                              <w:t>××××-××-××实施</w:t>
                            </w:r>
                          </w:p>
                          <w:p/>
                          <w:p>
                            <w:pPr>
                              <w:pStyle w:val="102"/>
                            </w:pPr>
                            <w:r>
                              <w:rPr>
                                <w:rFonts w:hint="eastAsia"/>
                              </w:rPr>
                              <w:t>××××-××-××实施</w:t>
                            </w:r>
                          </w:p>
                          <w:p/>
                          <w:p>
                            <w:pPr>
                              <w:pStyle w:val="102"/>
                            </w:pPr>
                            <w:r>
                              <w:rPr>
                                <w:rFonts w:hint="eastAsia"/>
                              </w:rPr>
                              <w:t>××××-××-××实施</w:t>
                            </w:r>
                          </w:p>
                        </w:txbxContent>
                      </wps:txbx>
                      <wps:bodyPr wrap="square" lIns="0" tIns="0" rIns="0" bIns="0" anchor="t" anchorCtr="0" upright="1"/>
                    </wps:wsp>
                  </a:graphicData>
                </a:graphic>
              </wp:anchor>
            </w:drawing>
          </mc:Choice>
          <mc:Fallback>
            <w:pict>
              <v:shape id="Quad Arrow 28" o:spid="_x0000_s1026" o:spt="202" type="#_x0000_t202" style="position:absolute;left:0pt;margin-left:322.9pt;margin-top:674.3pt;height:24.6pt;width:159pt;mso-position-horizontal-relative:margin;mso-position-vertical-relative:margin;z-index:25167052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2q19oAAAANAQAADwAA&#10;AAAAAAABACAAAAAiAAAAZHJzL2Rvd25yZXYueG1sUEsBAhQAFAAAAAgAh07iQCaC2hzbAQAAxQMA&#10;AA4AAAAAAAAAAQAgAAAAKQEAAGRycy9lMm9Eb2MueG1sUEsFBgAAAAAGAAYAWQEAAHYFAAAAAA==&#10;">
                <v:fill on="t" focussize="0,0"/>
                <v:stroke on="f"/>
                <v:imagedata o:title=""/>
                <o:lock v:ext="edit" aspectratio="f"/>
                <v:textbox inset="0mm,0mm,0mm,0mm">
                  <w:txbxContent>
                    <w:p>
                      <w:pPr>
                        <w:pStyle w:val="102"/>
                      </w:pPr>
                      <w:r>
                        <w:rPr>
                          <w:rFonts w:hint="eastAsia"/>
                        </w:rPr>
                        <w:t>××××-××-××实施</w:t>
                      </w:r>
                    </w:p>
                    <w:p/>
                    <w:p>
                      <w:pPr>
                        <w:pStyle w:val="102"/>
                      </w:pPr>
                      <w:r>
                        <w:rPr>
                          <w:rFonts w:hint="eastAsia"/>
                        </w:rPr>
                        <w:t>××××-××-××实施</w:t>
                      </w:r>
                    </w:p>
                    <w:p/>
                    <w:p>
                      <w:pPr>
                        <w:pStyle w:val="102"/>
                      </w:pPr>
                      <w:r>
                        <w:rPr>
                          <w:rFonts w:hint="eastAsia"/>
                        </w:rPr>
                        <w:t>××××-××-××实施</w:t>
                      </w:r>
                    </w:p>
                    <w:p/>
                    <w:p>
                      <w:pPr>
                        <w:pStyle w:val="102"/>
                      </w:pPr>
                      <w:r>
                        <w:rPr>
                          <w:rFonts w:hint="eastAsia"/>
                        </w:rPr>
                        <w:t>××××-××-××实施</w:t>
                      </w:r>
                    </w:p>
                  </w:txbxContent>
                </v:textbox>
                <w10:anchorlock/>
              </v:shap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13" name="Quad Arrow 27"/>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3"/>
                            </w:pPr>
                            <w:r>
                              <w:rPr>
                                <w:rFonts w:hint="eastAsia"/>
                              </w:rPr>
                              <w:t>××××-××-××发布</w:t>
                            </w:r>
                          </w:p>
                          <w:p/>
                          <w:p>
                            <w:pPr>
                              <w:pStyle w:val="103"/>
                            </w:pPr>
                            <w:r>
                              <w:rPr>
                                <w:rFonts w:hint="eastAsia"/>
                              </w:rPr>
                              <w:t>××××-××-××发布</w:t>
                            </w:r>
                          </w:p>
                          <w:p/>
                          <w:p>
                            <w:pPr>
                              <w:pStyle w:val="103"/>
                            </w:pPr>
                            <w:r>
                              <w:rPr>
                                <w:rFonts w:hint="eastAsia"/>
                              </w:rPr>
                              <w:t>××××-××-××发布</w:t>
                            </w:r>
                          </w:p>
                          <w:p/>
                          <w:p>
                            <w:pPr>
                              <w:pStyle w:val="103"/>
                            </w:pPr>
                            <w:r>
                              <w:rPr>
                                <w:rFonts w:hint="eastAsia"/>
                              </w:rPr>
                              <w:t>××××-××-××发布</w:t>
                            </w:r>
                          </w:p>
                        </w:txbxContent>
                      </wps:txbx>
                      <wps:bodyPr wrap="square" lIns="0" tIns="0" rIns="0" bIns="0" anchor="t" anchorCtr="0" upright="1"/>
                    </wps:wsp>
                  </a:graphicData>
                </a:graphic>
              </wp:anchor>
            </w:drawing>
          </mc:Choice>
          <mc:Fallback>
            <w:pict>
              <v:shape id="Quad Arrow 27" o:spid="_x0000_s1026" o:spt="202" type="#_x0000_t202" style="position:absolute;left:0pt;margin-left:0pt;margin-top:674.3pt;height:24.6pt;width:159pt;mso-position-horizontal-relative:margin;mso-position-vertical-relative:margin;z-index:25166950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82yojYAAAACgEAAA8AAAAA&#10;AAAAAQAgAAAAIgAAAGRycy9kb3ducmV2LnhtbFBLAQIUABQAAAAIAIdO4kBbmByt2wEAAMUDAAAO&#10;AAAAAAAAAAEAIAAAACcBAABkcnMvZTJvRG9jLnhtbFBLBQYAAAAABgAGAFkBAAB0BQAAAAA=&#10;">
                <v:fill on="t" focussize="0,0"/>
                <v:stroke on="f"/>
                <v:imagedata o:title=""/>
                <o:lock v:ext="edit" aspectratio="f"/>
                <v:textbox inset="0mm,0mm,0mm,0mm">
                  <w:txbxContent>
                    <w:p>
                      <w:pPr>
                        <w:pStyle w:val="103"/>
                      </w:pPr>
                      <w:r>
                        <w:rPr>
                          <w:rFonts w:hint="eastAsia"/>
                        </w:rPr>
                        <w:t>××××-××-××发布</w:t>
                      </w:r>
                    </w:p>
                    <w:p/>
                    <w:p>
                      <w:pPr>
                        <w:pStyle w:val="103"/>
                      </w:pPr>
                      <w:r>
                        <w:rPr>
                          <w:rFonts w:hint="eastAsia"/>
                        </w:rPr>
                        <w:t>××××-××-××发布</w:t>
                      </w:r>
                    </w:p>
                    <w:p/>
                    <w:p>
                      <w:pPr>
                        <w:pStyle w:val="103"/>
                      </w:pPr>
                      <w:r>
                        <w:rPr>
                          <w:rFonts w:hint="eastAsia"/>
                        </w:rPr>
                        <w:t>××××-××-××发布</w:t>
                      </w:r>
                    </w:p>
                    <w:p/>
                    <w:p>
                      <w:pPr>
                        <w:pStyle w:val="103"/>
                      </w:pPr>
                      <w:r>
                        <w:rPr>
                          <w:rFonts w:hint="eastAsia"/>
                        </w:rPr>
                        <w:t>××××-××-××发布</w:t>
                      </w:r>
                    </w:p>
                  </w:txbxContent>
                </v:textbox>
                <w10:anchorlock/>
              </v:shap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14" name="Quad Arrow 26"/>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25"/>
                              <w:spacing w:line="800" w:lineRule="exact"/>
                              <w:rPr>
                                <w:sz w:val="48"/>
                                <w:szCs w:val="21"/>
                              </w:rPr>
                            </w:pPr>
                            <w:r>
                              <w:rPr>
                                <w:rFonts w:hint="eastAsia"/>
                                <w:sz w:val="48"/>
                                <w:szCs w:val="21"/>
                              </w:rPr>
                              <w:t>温室气体 产品碳足迹量化方法与要求</w:t>
                            </w:r>
                          </w:p>
                          <w:p>
                            <w:pPr>
                              <w:pStyle w:val="125"/>
                              <w:spacing w:line="800" w:lineRule="exact"/>
                              <w:rPr>
                                <w:sz w:val="48"/>
                                <w:szCs w:val="21"/>
                              </w:rPr>
                            </w:pPr>
                            <w:r>
                              <w:rPr>
                                <w:rFonts w:hint="eastAsia"/>
                                <w:sz w:val="48"/>
                                <w:szCs w:val="21"/>
                              </w:rPr>
                              <w:t xml:space="preserve"> 原生镁锭</w:t>
                            </w:r>
                          </w:p>
                          <w:p>
                            <w:pPr>
                              <w:pStyle w:val="125"/>
                              <w:spacing w:line="800" w:lineRule="exact"/>
                              <w:rPr>
                                <w:sz w:val="48"/>
                                <w:szCs w:val="21"/>
                              </w:rPr>
                            </w:pPr>
                            <w:r>
                              <w:rPr>
                                <w:rFonts w:hint="eastAsia"/>
                                <w:color w:val="000000" w:themeColor="text1"/>
                                <w:sz w:val="24"/>
                                <w:szCs w:val="8"/>
                                <w14:textFill>
                                  <w14:solidFill>
                                    <w14:schemeClr w14:val="tx1"/>
                                  </w14:solidFill>
                                </w14:textFill>
                              </w:rPr>
                              <w:t>（送审稿）</w:t>
                            </w:r>
                          </w:p>
                          <w:p>
                            <w:pPr>
                              <w:pStyle w:val="135"/>
                              <w:rPr>
                                <w:rFonts w:eastAsia="黑体"/>
                              </w:rPr>
                            </w:pPr>
                            <w:r>
                              <w:rPr>
                                <w:rFonts w:hint="eastAsia" w:ascii="黑体" w:hAnsi="黑体" w:eastAsia="黑体" w:cs="黑体"/>
                                <w:kern w:val="2"/>
                                <w:szCs w:val="28"/>
                              </w:rPr>
                              <w:t>Greenhouse gases</w:t>
                            </w:r>
                            <w:r>
                              <w:rPr>
                                <w:rFonts w:hint="eastAsia" w:ascii="黑体" w:hAnsi="黑体" w:eastAsia="黑体" w:cs="黑体"/>
                                <w:szCs w:val="21"/>
                              </w:rPr>
                              <w:t>一</w:t>
                            </w:r>
                            <w:r>
                              <w:rPr>
                                <w:rFonts w:hint="eastAsia" w:ascii="黑体" w:hAnsi="黑体" w:eastAsia="黑体" w:cs="黑体"/>
                                <w:kern w:val="2"/>
                                <w:szCs w:val="28"/>
                              </w:rPr>
                              <w:t>Methodology and requirements for quantification of carbon footprint of products</w:t>
                            </w:r>
                            <w:r>
                              <w:rPr>
                                <w:rFonts w:hint="eastAsia" w:ascii="黑体" w:hAnsi="黑体" w:eastAsia="黑体" w:cs="黑体"/>
                                <w:szCs w:val="21"/>
                              </w:rPr>
                              <w:t>一</w:t>
                            </w:r>
                            <w:r>
                              <w:rPr>
                                <w:rFonts w:hint="eastAsia" w:ascii="黑体" w:hAnsi="黑体" w:eastAsia="黑体" w:cs="黑体"/>
                                <w:kern w:val="2"/>
                                <w:szCs w:val="28"/>
                              </w:rPr>
                              <w:t>Magnesium ingots</w:t>
                            </w:r>
                          </w:p>
                          <w:p>
                            <w:pPr>
                              <w:pStyle w:val="117"/>
                              <w:ind w:firstLine="420"/>
                              <w:rPr>
                                <w:color w:val="000000" w:themeColor="text1"/>
                                <w14:textFill>
                                  <w14:solidFill>
                                    <w14:schemeClr w14:val="tx1"/>
                                  </w14:solidFill>
                                </w14:textFill>
                              </w:rPr>
                            </w:pPr>
                          </w:p>
                          <w:p>
                            <w:pPr>
                              <w:pStyle w:val="96"/>
                              <w:rPr>
                                <w:color w:val="000000" w:themeColor="text1"/>
                                <w14:textFill>
                                  <w14:solidFill>
                                    <w14:schemeClr w14:val="tx1"/>
                                  </w14:solidFill>
                                </w14:textFill>
                              </w:rPr>
                            </w:pPr>
                          </w:p>
                        </w:txbxContent>
                      </wps:txbx>
                      <wps:bodyPr wrap="square" lIns="0" tIns="0" rIns="0" bIns="0" anchor="t" anchorCtr="0" upright="1"/>
                    </wps:wsp>
                  </a:graphicData>
                </a:graphic>
              </wp:anchor>
            </w:drawing>
          </mc:Choice>
          <mc:Fallback>
            <w:pict>
              <v:shape id="Quad Arrow 26" o:spid="_x0000_s1026" o:spt="202" type="#_x0000_t202" style="position:absolute;left:0pt;margin-left:0pt;margin-top:286.25pt;height:368.6pt;width:470pt;mso-position-horizontal-relative:margin;mso-position-vertical-relative:margin;z-index:251669504;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V59x2AAAAAkBAAAPAAAA&#10;AAAAAAEAIAAAACIAAABkcnMvZG93bnJldi54bWxQSwECFAAUAAAACACHTuJAcIby29wBAADGAwAA&#10;DgAAAAAAAAABACAAAAAnAQAAZHJzL2Uyb0RvYy54bWxQSwUGAAAAAAYABgBZAQAAdQUAAAAA&#10;">
                <v:fill on="t" focussize="0,0"/>
                <v:stroke on="f"/>
                <v:imagedata o:title=""/>
                <o:lock v:ext="edit" aspectratio="f"/>
                <v:textbox inset="0mm,0mm,0mm,0mm">
                  <w:txbxContent>
                    <w:p>
                      <w:pPr>
                        <w:pStyle w:val="125"/>
                        <w:spacing w:line="800" w:lineRule="exact"/>
                        <w:rPr>
                          <w:sz w:val="48"/>
                          <w:szCs w:val="21"/>
                        </w:rPr>
                      </w:pPr>
                      <w:r>
                        <w:rPr>
                          <w:rFonts w:hint="eastAsia"/>
                          <w:sz w:val="48"/>
                          <w:szCs w:val="21"/>
                        </w:rPr>
                        <w:t>温室气体 产品碳足迹量化方法与要求</w:t>
                      </w:r>
                    </w:p>
                    <w:p>
                      <w:pPr>
                        <w:pStyle w:val="125"/>
                        <w:spacing w:line="800" w:lineRule="exact"/>
                        <w:rPr>
                          <w:sz w:val="48"/>
                          <w:szCs w:val="21"/>
                        </w:rPr>
                      </w:pPr>
                      <w:r>
                        <w:rPr>
                          <w:rFonts w:hint="eastAsia"/>
                          <w:sz w:val="48"/>
                          <w:szCs w:val="21"/>
                        </w:rPr>
                        <w:t xml:space="preserve"> 原生镁锭</w:t>
                      </w:r>
                    </w:p>
                    <w:p>
                      <w:pPr>
                        <w:pStyle w:val="125"/>
                        <w:spacing w:line="800" w:lineRule="exact"/>
                        <w:rPr>
                          <w:sz w:val="48"/>
                          <w:szCs w:val="21"/>
                        </w:rPr>
                      </w:pPr>
                      <w:r>
                        <w:rPr>
                          <w:rFonts w:hint="eastAsia"/>
                          <w:color w:val="000000" w:themeColor="text1"/>
                          <w:sz w:val="24"/>
                          <w:szCs w:val="8"/>
                          <w14:textFill>
                            <w14:solidFill>
                              <w14:schemeClr w14:val="tx1"/>
                            </w14:solidFill>
                          </w14:textFill>
                        </w:rPr>
                        <w:t>（送审稿）</w:t>
                      </w:r>
                    </w:p>
                    <w:p>
                      <w:pPr>
                        <w:pStyle w:val="135"/>
                        <w:rPr>
                          <w:rFonts w:eastAsia="黑体"/>
                        </w:rPr>
                      </w:pPr>
                      <w:r>
                        <w:rPr>
                          <w:rFonts w:hint="eastAsia" w:ascii="黑体" w:hAnsi="黑体" w:eastAsia="黑体" w:cs="黑体"/>
                          <w:kern w:val="2"/>
                          <w:szCs w:val="28"/>
                        </w:rPr>
                        <w:t>Greenhouse gases</w:t>
                      </w:r>
                      <w:r>
                        <w:rPr>
                          <w:rFonts w:hint="eastAsia" w:ascii="黑体" w:hAnsi="黑体" w:eastAsia="黑体" w:cs="黑体"/>
                          <w:szCs w:val="21"/>
                        </w:rPr>
                        <w:t>一</w:t>
                      </w:r>
                      <w:r>
                        <w:rPr>
                          <w:rFonts w:hint="eastAsia" w:ascii="黑体" w:hAnsi="黑体" w:eastAsia="黑体" w:cs="黑体"/>
                          <w:kern w:val="2"/>
                          <w:szCs w:val="28"/>
                        </w:rPr>
                        <w:t>Methodology and requirements for quantification of carbon footprint of products</w:t>
                      </w:r>
                      <w:r>
                        <w:rPr>
                          <w:rFonts w:hint="eastAsia" w:ascii="黑体" w:hAnsi="黑体" w:eastAsia="黑体" w:cs="黑体"/>
                          <w:szCs w:val="21"/>
                        </w:rPr>
                        <w:t>一</w:t>
                      </w:r>
                      <w:r>
                        <w:rPr>
                          <w:rFonts w:hint="eastAsia" w:ascii="黑体" w:hAnsi="黑体" w:eastAsia="黑体" w:cs="黑体"/>
                          <w:kern w:val="2"/>
                          <w:szCs w:val="28"/>
                        </w:rPr>
                        <w:t>Magnesium ingots</w:t>
                      </w:r>
                    </w:p>
                    <w:p>
                      <w:pPr>
                        <w:pStyle w:val="117"/>
                        <w:ind w:firstLine="420"/>
                        <w:rPr>
                          <w:color w:val="000000" w:themeColor="text1"/>
                          <w14:textFill>
                            <w14:solidFill>
                              <w14:schemeClr w14:val="tx1"/>
                            </w14:solidFill>
                          </w14:textFill>
                        </w:rPr>
                      </w:pPr>
                    </w:p>
                    <w:p>
                      <w:pPr>
                        <w:pStyle w:val="96"/>
                        <w:rPr>
                          <w:color w:val="000000" w:themeColor="text1"/>
                          <w14:textFill>
                            <w14:solidFill>
                              <w14:schemeClr w14:val="tx1"/>
                            </w14:solidFill>
                          </w14:textFill>
                        </w:rPr>
                      </w:pP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-86995</wp:posOffset>
                </wp:positionH>
                <wp:positionV relativeFrom="margin">
                  <wp:posOffset>998855</wp:posOffset>
                </wp:positionV>
                <wp:extent cx="6120130" cy="391160"/>
                <wp:effectExtent l="0" t="0" r="13970" b="8890"/>
                <wp:wrapNone/>
                <wp:docPr id="12" name="Quad Arrow 25"/>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37"/>
                            </w:pPr>
                            <w:r>
                              <w:rPr>
                                <w:rFonts w:hint="eastAsia"/>
                              </w:rPr>
                              <w:t>团体标准</w:t>
                            </w:r>
                          </w:p>
                          <w:p/>
                          <w:p>
                            <w:pPr>
                              <w:pStyle w:val="137"/>
                            </w:pPr>
                            <w:r>
                              <w:rPr>
                                <w:rFonts w:hint="eastAsia"/>
                              </w:rPr>
                              <w:t>中华人民共和国国家标准</w:t>
                            </w:r>
                          </w:p>
                          <w:p/>
                          <w:p>
                            <w:pPr>
                              <w:pStyle w:val="137"/>
                            </w:pPr>
                            <w:r>
                              <w:rPr>
                                <w:rFonts w:hint="eastAsia"/>
                              </w:rPr>
                              <w:t>中华人民共和国国家标准</w:t>
                            </w:r>
                          </w:p>
                          <w:p/>
                          <w:p>
                            <w:pPr>
                              <w:pStyle w:val="137"/>
                            </w:pPr>
                            <w:r>
                              <w:rPr>
                                <w:rFonts w:hint="eastAsia"/>
                              </w:rPr>
                              <w:t>中华人民共和国国家标准</w:t>
                            </w:r>
                          </w:p>
                        </w:txbxContent>
                      </wps:txbx>
                      <wps:bodyPr wrap="square" lIns="0" tIns="0" rIns="0" bIns="0" anchor="t" anchorCtr="0" upright="1"/>
                    </wps:wsp>
                  </a:graphicData>
                </a:graphic>
              </wp:anchor>
            </w:drawing>
          </mc:Choice>
          <mc:Fallback>
            <w:pict>
              <v:shape id="Quad Arrow 25" o:spid="_x0000_s1026" o:spt="202" type="#_x0000_t202" style="position:absolute;left:0pt;margin-left:-6.85pt;margin-top:78.65pt;height:30.8pt;width:481.9pt;mso-position-horizontal-relative:margin;mso-position-vertical-relative:margin;z-index:251668480;mso-width-relative:page;mso-height-relative:page;" fillcolor="#FFFFFF" filled="t" stroked="f" coordsize="21600,21600" o:gfxdata="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w8B2gAAAAsBAAAPAAAA&#10;AAAAAAEAIAAAACIAAABkcnMvZG93bnJldi54bWxQSwECFAAUAAAACACHTuJAb4xuHNoBAADFAwAA&#10;DgAAAAAAAAABACAAAAApAQAAZHJzL2Uyb0RvYy54bWxQSwUGAAAAAAYABgBZAQAAdQUAAAAA&#10;">
                <v:fill on="t" focussize="0,0"/>
                <v:stroke on="f"/>
                <v:imagedata o:title=""/>
                <o:lock v:ext="edit" aspectratio="f"/>
                <v:textbox inset="0mm,0mm,0mm,0mm">
                  <w:txbxContent>
                    <w:p>
                      <w:pPr>
                        <w:pStyle w:val="137"/>
                      </w:pPr>
                      <w:r>
                        <w:rPr>
                          <w:rFonts w:hint="eastAsia"/>
                        </w:rPr>
                        <w:t>团体标准</w:t>
                      </w:r>
                    </w:p>
                    <w:p/>
                    <w:p>
                      <w:pPr>
                        <w:pStyle w:val="137"/>
                      </w:pPr>
                      <w:r>
                        <w:rPr>
                          <w:rFonts w:hint="eastAsia"/>
                        </w:rPr>
                        <w:t>中华人民共和国国家标准</w:t>
                      </w:r>
                    </w:p>
                    <w:p/>
                    <w:p>
                      <w:pPr>
                        <w:pStyle w:val="137"/>
                      </w:pPr>
                      <w:r>
                        <w:rPr>
                          <w:rFonts w:hint="eastAsia"/>
                        </w:rPr>
                        <w:t>中华人民共和国国家标准</w:t>
                      </w:r>
                    </w:p>
                    <w:p/>
                    <w:p>
                      <w:pPr>
                        <w:pStyle w:val="137"/>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1" name="Quad Arrow 24"/>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85"/>
                            </w:pPr>
                            <w:r>
                              <w:t>ICS</w:t>
                            </w:r>
                            <w:r>
                              <w:rPr>
                                <w:rFonts w:hint="eastAsia"/>
                              </w:rPr>
                              <w:t xml:space="preserve"> </w:t>
                            </w:r>
                            <w:r>
                              <w:rPr>
                                <w:rFonts w:hint="eastAsia"/>
                                <w:szCs w:val="22"/>
                              </w:rPr>
                              <w:t>77.150.10</w:t>
                            </w:r>
                          </w:p>
                          <w:p>
                            <w:pPr>
                              <w:pStyle w:val="85"/>
                            </w:pPr>
                            <w:r>
                              <w:rPr>
                                <w:rFonts w:hint="eastAsia"/>
                              </w:rPr>
                              <w:t>CCS  M 04</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txbxContent>
                      </wps:txbx>
                      <wps:bodyPr wrap="square" lIns="0" tIns="0" rIns="0" bIns="0" anchor="t" anchorCtr="0" upright="1"/>
                    </wps:wsp>
                  </a:graphicData>
                </a:graphic>
              </wp:anchor>
            </w:drawing>
          </mc:Choice>
          <mc:Fallback>
            <w:pict>
              <v:shape id="Quad Arrow 24"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7Mvg0wAAAAUBAAAPAAAAAAAAAAEA&#10;IAAAACIAAABkcnMvZG93bnJldi54bWxQSwECFAAUAAAACACHTuJAmOEt+9sBAADFAwAADgAAAAAA&#10;AAABACAAAAAiAQAAZHJzL2Uyb0RvYy54bWxQSwUGAAAAAAYABgBZAQAAbwUAAAAA&#10;">
                <v:fill on="t" focussize="0,0"/>
                <v:stroke on="f"/>
                <v:imagedata o:title=""/>
                <o:lock v:ext="edit" aspectratio="f"/>
                <v:textbox inset="0mm,0mm,0mm,0mm">
                  <w:txbxContent>
                    <w:p>
                      <w:pPr>
                        <w:pStyle w:val="85"/>
                      </w:pPr>
                      <w:r>
                        <w:t>ICS</w:t>
                      </w:r>
                      <w:r>
                        <w:rPr>
                          <w:rFonts w:hint="eastAsia"/>
                        </w:rPr>
                        <w:t xml:space="preserve"> </w:t>
                      </w:r>
                      <w:r>
                        <w:rPr>
                          <w:rFonts w:hint="eastAsia"/>
                          <w:szCs w:val="22"/>
                        </w:rPr>
                        <w:t>77.150.10</w:t>
                      </w:r>
                    </w:p>
                    <w:p>
                      <w:pPr>
                        <w:pStyle w:val="85"/>
                      </w:pPr>
                      <w:r>
                        <w:rPr>
                          <w:rFonts w:hint="eastAsia"/>
                        </w:rPr>
                        <w:t>CCS  M 04</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p/>
                    <w:p>
                      <w:pPr>
                        <w:pStyle w:val="85"/>
                      </w:pPr>
                      <w:r>
                        <w:t xml:space="preserve">ICS </w:t>
                      </w:r>
                      <w:r>
                        <w:rPr>
                          <w:rFonts w:hint="eastAsia"/>
                        </w:rPr>
                        <w:t>77</w:t>
                      </w:r>
                      <w:r>
                        <w:t>.150.10</w:t>
                      </w:r>
                    </w:p>
                    <w:p>
                      <w:pPr>
                        <w:pStyle w:val="85"/>
                      </w:pPr>
                      <w:r>
                        <w:t>H 61</w:t>
                      </w:r>
                    </w:p>
                    <w:p>
                      <w:pPr>
                        <w:pStyle w:val="85"/>
                      </w:pPr>
                    </w:p>
                  </w:txbxContent>
                </v:textbox>
                <w10:anchorlock/>
              </v:shape>
            </w:pict>
          </mc:Fallback>
        </mc:AlternateContent>
      </w:r>
    </w:p>
    <w:p>
      <w:pPr>
        <w:pStyle w:val="101"/>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titlePg/>
          <w:docGrid w:type="linesAndChars" w:linePitch="312" w:charSpace="0"/>
        </w:sectPr>
      </w:pPr>
      <w:r>
        <mc:AlternateContent>
          <mc:Choice Requires="wps">
            <w:drawing>
              <wp:anchor distT="0" distB="0" distL="114300" distR="114300" simplePos="0" relativeHeight="251673600" behindDoc="0" locked="1" layoutInCell="1" allowOverlap="1">
                <wp:simplePos x="0" y="0"/>
                <wp:positionH relativeFrom="margin">
                  <wp:posOffset>-86995</wp:posOffset>
                </wp:positionH>
                <wp:positionV relativeFrom="margin">
                  <wp:posOffset>1395095</wp:posOffset>
                </wp:positionV>
                <wp:extent cx="6067425" cy="860425"/>
                <wp:effectExtent l="0" t="0" r="9525" b="15875"/>
                <wp:wrapNone/>
                <wp:docPr id="18" name="fmFrame3"/>
                <wp:cNvGraphicFramePr/>
                <a:graphic xmlns:a="http://schemas.openxmlformats.org/drawingml/2006/main">
                  <a:graphicData uri="http://schemas.microsoft.com/office/word/2010/wordprocessingShape">
                    <wps:wsp>
                      <wps:cNvSpPr txBox="1"/>
                      <wps:spPr>
                        <a:xfrm>
                          <a:off x="0" y="0"/>
                          <a:ext cx="6067425" cy="860425"/>
                        </a:xfrm>
                        <a:prstGeom prst="rect">
                          <a:avLst/>
                        </a:prstGeom>
                        <a:solidFill>
                          <a:srgbClr val="FFFFFF"/>
                        </a:solidFill>
                        <a:ln>
                          <a:noFill/>
                        </a:ln>
                      </wps:spPr>
                      <wps:txbx>
                        <w:txbxContent>
                          <w:p>
                            <w:pPr>
                              <w:pStyle w:val="106"/>
                            </w:pPr>
                            <w:r>
                              <w:t>T/</w:t>
                            </w:r>
                            <w:r>
                              <w:rPr>
                                <w:rFonts w:hint="eastAsia"/>
                              </w:rPr>
                              <w:t>CNIA</w:t>
                            </w:r>
                            <w:r>
                              <w:t xml:space="preserve"> </w:t>
                            </w:r>
                            <w:r>
                              <w:rPr>
                                <w:rFonts w:hint="eastAsia"/>
                              </w:rPr>
                              <w:t>×××××</w:t>
                            </w:r>
                            <w:r>
                              <w:t>—</w:t>
                            </w:r>
                            <w:r>
                              <w:rPr>
                                <w:rFonts w:hint="eastAsia"/>
                              </w:rPr>
                              <w:t>20</w:t>
                            </w:r>
                            <w:r>
                              <w:t>××</w:t>
                            </w:r>
                          </w:p>
                          <w:p/>
                          <w:p>
                            <w:pPr>
                              <w:pStyle w:val="106"/>
                            </w:pPr>
                            <w:r>
                              <w:t>GB/T XXXXX—××××</w:t>
                            </w:r>
                          </w:p>
                          <w:p>
                            <w:pPr>
                              <w:pStyle w:val="139"/>
                            </w:pPr>
                            <w:r>
                              <w:rPr>
                                <w:rFonts w:hint="eastAsia"/>
                              </w:rPr>
                              <w:t>代替GB/T XXXXX-XXXX</w:t>
                            </w:r>
                          </w:p>
                          <w:p/>
                          <w:p>
                            <w:pPr>
                              <w:pStyle w:val="106"/>
                            </w:pPr>
                            <w:r>
                              <w:t>GB/T XXXXX—××××</w:t>
                            </w:r>
                          </w:p>
                          <w:p>
                            <w:pPr>
                              <w:pStyle w:val="139"/>
                            </w:pPr>
                            <w:r>
                              <w:rPr>
                                <w:rFonts w:hint="eastAsia"/>
                              </w:rPr>
                              <w:t>代替GB/T XXXXX-XXXX</w:t>
                            </w:r>
                          </w:p>
                          <w:p/>
                          <w:p>
                            <w:pPr>
                              <w:pStyle w:val="106"/>
                            </w:pPr>
                            <w:r>
                              <w:t>GB/T XXXXX—××××</w:t>
                            </w:r>
                          </w:p>
                          <w:p>
                            <w:pPr>
                              <w:pStyle w:val="139"/>
                            </w:pPr>
                            <w:r>
                              <w:rPr>
                                <w:rFonts w:hint="eastAsia"/>
                              </w:rPr>
                              <w:t>代替GB/T XXXXX-XXXX</w:t>
                            </w:r>
                          </w:p>
                        </w:txbxContent>
                      </wps:txbx>
                      <wps:bodyPr wrap="square" lIns="0" tIns="0" rIns="0" bIns="0" anchor="t" anchorCtr="0" upright="1"/>
                    </wps:wsp>
                  </a:graphicData>
                </a:graphic>
              </wp:anchor>
            </w:drawing>
          </mc:Choice>
          <mc:Fallback>
            <w:pict>
              <v:shape id="fmFrame3" o:spid="_x0000_s1026" o:spt="202" type="#_x0000_t202" style="position:absolute;left:0pt;margin-left:-6.85pt;margin-top:109.85pt;height:67.75pt;width:477.75pt;mso-position-horizontal-relative:margin;mso-position-vertical-relative:margin;z-index:251673600;mso-width-relative:page;mso-height-relative:page;" fillcolor="#FFFFFF" filled="t" stroked="f" coordsize="21600,21600" o:gfxdata="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LQ7C2wAAAAsBAAAPAAAAAAAAAAEA&#10;IAAAACIAAABkcnMvZG93bnJldi54bWxQSwECFAAUAAAACACHTuJAoJ+Wp9MBAADAAwAADgAAAAAA&#10;AAABACAAAAAqAQAAZHJzL2Uyb0RvYy54bWxQSwUGAAAAAAYABgBZAQAAbwUAAAAA&#10;">
                <v:fill on="t" focussize="0,0"/>
                <v:stroke on="f"/>
                <v:imagedata o:title=""/>
                <o:lock v:ext="edit" aspectratio="f"/>
                <v:textbox inset="0mm,0mm,0mm,0mm">
                  <w:txbxContent>
                    <w:p>
                      <w:pPr>
                        <w:pStyle w:val="106"/>
                      </w:pPr>
                      <w:r>
                        <w:t>T/</w:t>
                      </w:r>
                      <w:r>
                        <w:rPr>
                          <w:rFonts w:hint="eastAsia"/>
                        </w:rPr>
                        <w:t>CNIA</w:t>
                      </w:r>
                      <w:r>
                        <w:t xml:space="preserve"> </w:t>
                      </w:r>
                      <w:r>
                        <w:rPr>
                          <w:rFonts w:hint="eastAsia"/>
                        </w:rPr>
                        <w:t>×××××</w:t>
                      </w:r>
                      <w:r>
                        <w:t>—</w:t>
                      </w:r>
                      <w:r>
                        <w:rPr>
                          <w:rFonts w:hint="eastAsia"/>
                        </w:rPr>
                        <w:t>20</w:t>
                      </w:r>
                      <w:r>
                        <w:t>××</w:t>
                      </w:r>
                    </w:p>
                    <w:p/>
                    <w:p>
                      <w:pPr>
                        <w:pStyle w:val="106"/>
                      </w:pPr>
                      <w:r>
                        <w:t>GB/T XXXXX—××××</w:t>
                      </w:r>
                    </w:p>
                    <w:p>
                      <w:pPr>
                        <w:pStyle w:val="139"/>
                      </w:pPr>
                      <w:r>
                        <w:rPr>
                          <w:rFonts w:hint="eastAsia"/>
                        </w:rPr>
                        <w:t>代替GB/T XXXXX-XXXX</w:t>
                      </w:r>
                    </w:p>
                    <w:p/>
                    <w:p>
                      <w:pPr>
                        <w:pStyle w:val="106"/>
                      </w:pPr>
                      <w:r>
                        <w:t>GB/T XXXXX—××××</w:t>
                      </w:r>
                    </w:p>
                    <w:p>
                      <w:pPr>
                        <w:pStyle w:val="139"/>
                      </w:pPr>
                      <w:r>
                        <w:rPr>
                          <w:rFonts w:hint="eastAsia"/>
                        </w:rPr>
                        <w:t>代替GB/T XXXXX-XXXX</w:t>
                      </w:r>
                    </w:p>
                    <w:p/>
                    <w:p>
                      <w:pPr>
                        <w:pStyle w:val="106"/>
                      </w:pPr>
                      <w:r>
                        <w:t>GB/T XXXXX—××××</w:t>
                      </w:r>
                    </w:p>
                    <w:p>
                      <w:pPr>
                        <w:pStyle w:val="139"/>
                      </w:pPr>
                      <w:r>
                        <w:rPr>
                          <w:rFonts w:hint="eastAsia"/>
                        </w:rPr>
                        <w:t>代替GB/T XXXXX-XXXX</w:t>
                      </w:r>
                    </w:p>
                  </w:txbxContent>
                </v:textbox>
                <w10:anchorlock/>
              </v:shape>
            </w:pict>
          </mc:Fallback>
        </mc:AlternateContent>
      </w:r>
      <w:r>
        <w:rPr>
          <w:rFonts w:hint="eastAsia"/>
        </w:rPr>
        <w:t xml:space="preserve">                      </w:t>
      </w:r>
      <w:r>
        <mc:AlternateContent>
          <mc:Choice Requires="wps">
            <w:drawing>
              <wp:anchor distT="0" distB="0" distL="114300" distR="114300" simplePos="0" relativeHeight="251678720" behindDoc="0" locked="1" layoutInCell="1" allowOverlap="1">
                <wp:simplePos x="0" y="0"/>
                <wp:positionH relativeFrom="margin">
                  <wp:posOffset>-330200</wp:posOffset>
                </wp:positionH>
                <wp:positionV relativeFrom="margin">
                  <wp:posOffset>9024620</wp:posOffset>
                </wp:positionV>
                <wp:extent cx="6120130" cy="970915"/>
                <wp:effectExtent l="0" t="0" r="0" b="0"/>
                <wp:wrapNone/>
                <wp:docPr id="23" name="fmFrame7"/>
                <wp:cNvGraphicFramePr/>
                <a:graphic xmlns:a="http://schemas.openxmlformats.org/drawingml/2006/main">
                  <a:graphicData uri="http://schemas.microsoft.com/office/word/2010/wordprocessingShape">
                    <wps:wsp>
                      <wps:cNvSpPr txBox="1"/>
                      <wps:spPr>
                        <a:xfrm>
                          <a:off x="0" y="0"/>
                          <a:ext cx="6120130" cy="970915"/>
                        </a:xfrm>
                        <a:prstGeom prst="rect">
                          <a:avLst/>
                        </a:prstGeom>
                        <a:noFill/>
                        <a:ln>
                          <a:noFill/>
                        </a:ln>
                      </wps:spPr>
                      <wps:txbx>
                        <w:txbxContent>
                          <w:p>
                            <w:pPr>
                              <w:spacing w:line="0" w:lineRule="atLeast"/>
                              <w:ind w:firstLine="1050"/>
                              <w:jc w:val="center"/>
                              <w:rPr>
                                <w:rFonts w:ascii="黑体" w:eastAsia="黑体"/>
                                <w:spacing w:val="20"/>
                                <w:w w:val="135"/>
                                <w:kern w:val="0"/>
                                <w:sz w:val="36"/>
                                <w:szCs w:val="20"/>
                              </w:rPr>
                            </w:pPr>
                            <w:bookmarkStart w:id="171" w:name="_Hlk480576895"/>
                            <w:bookmarkEnd w:id="171"/>
                            <w:r>
                              <w:rPr>
                                <w:rFonts w:hint="eastAsia" w:ascii="黑体" w:eastAsia="黑体"/>
                                <w:spacing w:val="20"/>
                                <w:w w:val="135"/>
                                <w:kern w:val="0"/>
                                <w:sz w:val="36"/>
                                <w:szCs w:val="20"/>
                              </w:rPr>
                              <w:t>中国有色金属工业协会</w:t>
                            </w:r>
                          </w:p>
                          <w:p>
                            <w:pPr>
                              <w:spacing w:line="0" w:lineRule="atLeast"/>
                              <w:ind w:firstLine="1050"/>
                              <w:jc w:val="center"/>
                              <w:rPr>
                                <w:rFonts w:ascii="黑体" w:eastAsia="黑体"/>
                                <w:spacing w:val="20"/>
                                <w:w w:val="135"/>
                                <w:kern w:val="0"/>
                                <w:sz w:val="36"/>
                                <w:szCs w:val="20"/>
                              </w:rPr>
                            </w:pPr>
                            <w:r>
                              <w:rPr>
                                <w:rFonts w:hint="eastAsia" w:ascii="黑体" w:eastAsia="黑体"/>
                                <w:spacing w:val="20"/>
                                <w:w w:val="135"/>
                                <w:kern w:val="0"/>
                                <w:sz w:val="36"/>
                                <w:szCs w:val="20"/>
                              </w:rPr>
                              <w:t xml:space="preserve">       中国有色金属学会    </w:t>
                            </w:r>
                            <w:r>
                              <w:rPr>
                                <w:rFonts w:hint="eastAsia"/>
                                <w:sz w:val="28"/>
                                <w:szCs w:val="28"/>
                              </w:rPr>
                              <w:drawing>
                                <wp:inline distT="0" distB="0" distL="0" distR="0">
                                  <wp:extent cx="586740" cy="51054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pPr>
                              <w:spacing w:line="0" w:lineRule="atLeast"/>
                              <w:ind w:right="2127" w:rightChars="1013" w:firstLine="2130" w:firstLineChars="405"/>
                              <w:jc w:val="distribute"/>
                              <w:rPr>
                                <w:rFonts w:ascii="黑体" w:eastAsia="黑体"/>
                                <w:spacing w:val="20"/>
                                <w:w w:val="135"/>
                                <w:kern w:val="0"/>
                                <w:sz w:val="36"/>
                                <w:szCs w:val="20"/>
                              </w:rPr>
                            </w:pPr>
                          </w:p>
                        </w:txbxContent>
                      </wps:txbx>
                      <wps:bodyPr wrap="square" lIns="0" tIns="0" rIns="0" bIns="0" anchor="t" anchorCtr="0" upright="1"/>
                    </wps:wsp>
                  </a:graphicData>
                </a:graphic>
              </wp:anchor>
            </w:drawing>
          </mc:Choice>
          <mc:Fallback>
            <w:pict>
              <v:shape id="fmFrame7" o:spid="_x0000_s1026" o:spt="202" type="#_x0000_t202" style="position:absolute;left:0pt;margin-left:-26pt;margin-top:710.6pt;height:76.45pt;width:481.9pt;mso-position-horizontal-relative:margin;mso-position-vertical-relative:margin;z-index:251678720;mso-width-relative:page;mso-height-relative:page;" filled="f" stroked="f" coordsize="21600,21600" o:gfxdata="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HZqt2wAAAA0BAAAPAAAAAAAAAAEAIAAAACIAAABkcnMvZG93bnJl&#10;di54bWxQSwECFAAUAAAACACHTuJAFOHpQMEBAACXAwAADgAAAAAAAAABACAAAAAqAQAAZHJzL2Uy&#10;b0RvYy54bWxQSwUGAAAAAAYABgBZAQAAXQUAAAAA&#10;">
                <v:fill on="f" focussize="0,0"/>
                <v:stroke on="f"/>
                <v:imagedata o:title=""/>
                <o:lock v:ext="edit" aspectratio="f"/>
                <v:textbox inset="0mm,0mm,0mm,0mm">
                  <w:txbxContent>
                    <w:p>
                      <w:pPr>
                        <w:spacing w:line="0" w:lineRule="atLeast"/>
                        <w:ind w:firstLine="1050"/>
                        <w:jc w:val="center"/>
                        <w:rPr>
                          <w:rFonts w:ascii="黑体" w:eastAsia="黑体"/>
                          <w:spacing w:val="20"/>
                          <w:w w:val="135"/>
                          <w:kern w:val="0"/>
                          <w:sz w:val="36"/>
                          <w:szCs w:val="20"/>
                        </w:rPr>
                      </w:pPr>
                      <w:bookmarkStart w:id="171" w:name="_Hlk480576895"/>
                      <w:bookmarkEnd w:id="171"/>
                      <w:r>
                        <w:rPr>
                          <w:rFonts w:hint="eastAsia" w:ascii="黑体" w:eastAsia="黑体"/>
                          <w:spacing w:val="20"/>
                          <w:w w:val="135"/>
                          <w:kern w:val="0"/>
                          <w:sz w:val="36"/>
                          <w:szCs w:val="20"/>
                        </w:rPr>
                        <w:t>中国有色金属工业协会</w:t>
                      </w:r>
                    </w:p>
                    <w:p>
                      <w:pPr>
                        <w:spacing w:line="0" w:lineRule="atLeast"/>
                        <w:ind w:firstLine="1050"/>
                        <w:jc w:val="center"/>
                        <w:rPr>
                          <w:rFonts w:ascii="黑体" w:eastAsia="黑体"/>
                          <w:spacing w:val="20"/>
                          <w:w w:val="135"/>
                          <w:kern w:val="0"/>
                          <w:sz w:val="36"/>
                          <w:szCs w:val="20"/>
                        </w:rPr>
                      </w:pPr>
                      <w:r>
                        <w:rPr>
                          <w:rFonts w:hint="eastAsia" w:ascii="黑体" w:eastAsia="黑体"/>
                          <w:spacing w:val="20"/>
                          <w:w w:val="135"/>
                          <w:kern w:val="0"/>
                          <w:sz w:val="36"/>
                          <w:szCs w:val="20"/>
                        </w:rPr>
                        <w:t xml:space="preserve">       中国有色金属学会    </w:t>
                      </w:r>
                      <w:r>
                        <w:rPr>
                          <w:rFonts w:hint="eastAsia"/>
                          <w:sz w:val="28"/>
                          <w:szCs w:val="28"/>
                        </w:rPr>
                        <w:drawing>
                          <wp:inline distT="0" distB="0" distL="0" distR="0">
                            <wp:extent cx="586740" cy="51054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pPr>
                        <w:spacing w:line="0" w:lineRule="atLeast"/>
                        <w:ind w:right="2127" w:rightChars="1013" w:firstLine="2130" w:firstLineChars="405"/>
                        <w:jc w:val="distribute"/>
                        <w:rPr>
                          <w:rFonts w:ascii="黑体" w:eastAsia="黑体"/>
                          <w:spacing w:val="20"/>
                          <w:w w:val="135"/>
                          <w:kern w:val="0"/>
                          <w:sz w:val="36"/>
                          <w:szCs w:val="20"/>
                        </w:rPr>
                      </w:pPr>
                    </w:p>
                  </w:txbxContent>
                </v:textbox>
                <w10:anchorlock/>
              </v:shape>
            </w:pict>
          </mc:Fallback>
        </mc:AlternateContent>
      </w:r>
      <w:r>
        <w:rPr>
          <w:rFonts w:hint="eastAsia"/>
        </w:rPr>
        <w:t xml:space="preserve">                                                                                          </w:t>
      </w:r>
    </w:p>
    <w:bookmarkEnd w:id="0"/>
    <w:p>
      <w:pPr>
        <w:pStyle w:val="32"/>
        <w:tabs>
          <w:tab w:val="right" w:leader="dot" w:pos="8400"/>
        </w:tabs>
        <w:spacing w:line="400" w:lineRule="exact"/>
        <w:jc w:val="center"/>
        <w:rPr>
          <w:rFonts w:ascii="Times New Roman" w:eastAsia="仿宋_GB2312"/>
          <w:sz w:val="28"/>
          <w:szCs w:val="28"/>
        </w:rPr>
      </w:pPr>
      <w:r>
        <w:rPr>
          <w:rFonts w:hint="eastAsia" w:ascii="Times New Roman" w:eastAsia="仿宋_GB2312"/>
          <w:sz w:val="28"/>
          <w:szCs w:val="28"/>
        </w:rPr>
        <w:t>目录</w:t>
      </w:r>
    </w:p>
    <w:sdt>
      <w:sdtPr>
        <w:rPr>
          <w:rFonts w:ascii="Times New Roman" w:eastAsia="仿宋_GB2312"/>
          <w:kern w:val="0"/>
          <w:sz w:val="28"/>
          <w:szCs w:val="28"/>
          <w:lang w:val="zh-CN"/>
        </w:rPr>
        <w:id w:val="1797332664"/>
        <w:docPartObj>
          <w:docPartGallery w:val="Table of Contents"/>
          <w:docPartUnique/>
        </w:docPartObj>
      </w:sdtPr>
      <w:sdtEndPr>
        <w:rPr>
          <w:rFonts w:ascii="Times New Roman" w:eastAsia="仿宋_GB2312"/>
          <w:kern w:val="0"/>
          <w:sz w:val="28"/>
          <w:szCs w:val="28"/>
          <w:lang w:val="zh-CN"/>
        </w:rPr>
      </w:sdtEndPr>
      <w:sdtContent>
        <w:p>
          <w:pPr>
            <w:pStyle w:val="32"/>
            <w:tabs>
              <w:tab w:val="right" w:leader="dot" w:pos="8400"/>
            </w:tabs>
            <w:spacing w:line="400" w:lineRule="exact"/>
            <w:rPr>
              <w:rFonts w:ascii="Times New Roman" w:eastAsia="仿宋_GB2312"/>
              <w:sz w:val="28"/>
              <w:szCs w:val="28"/>
            </w:rPr>
          </w:pPr>
          <w:bookmarkStart w:id="1" w:name="_Toc16197"/>
          <w:r>
            <w:rPr>
              <w:rFonts w:ascii="Times New Roman" w:eastAsia="仿宋_GB2312"/>
              <w:sz w:val="28"/>
              <w:szCs w:val="28"/>
            </w:rPr>
            <w:fldChar w:fldCharType="begin"/>
          </w:r>
          <w:r>
            <w:rPr>
              <w:rFonts w:ascii="Times New Roman" w:eastAsia="仿宋_GB2312"/>
              <w:sz w:val="28"/>
              <w:szCs w:val="28"/>
            </w:rPr>
            <w:instrText xml:space="preserve"> TOC \o "1-3" \h \z \u </w:instrText>
          </w:r>
          <w:r>
            <w:rPr>
              <w:rFonts w:ascii="Times New Roman" w:eastAsia="仿宋_GB2312"/>
              <w:sz w:val="28"/>
              <w:szCs w:val="28"/>
            </w:rPr>
            <w:fldChar w:fldCharType="separate"/>
          </w:r>
          <w:r>
            <w:rPr>
              <w:rFonts w:ascii="Times New Roman" w:eastAsia="仿宋_GB2312"/>
              <w:sz w:val="28"/>
              <w:szCs w:val="28"/>
            </w:rPr>
            <w:t>1 范围</w:t>
          </w:r>
          <w:r>
            <w:rPr>
              <w:rFonts w:ascii="Times New Roman" w:eastAsia="仿宋_GB2312"/>
              <w:sz w:val="28"/>
              <w:szCs w:val="28"/>
            </w:rPr>
            <w:tab/>
          </w:r>
          <w:r>
            <w:rPr>
              <w:rFonts w:ascii="Times New Roman" w:eastAsia="仿宋_GB2312"/>
              <w:sz w:val="28"/>
              <w:szCs w:val="28"/>
            </w:rPr>
            <w:t>1</w:t>
          </w:r>
        </w:p>
        <w:p>
          <w:pPr>
            <w:pStyle w:val="2"/>
            <w:adjustRightInd w:val="0"/>
            <w:snapToGrid w:val="0"/>
            <w:spacing w:line="400" w:lineRule="exact"/>
            <w:ind w:firstLine="280" w:firstLineChars="100"/>
            <w:rPr>
              <w:rFonts w:eastAsia="仿宋_GB2312"/>
              <w:sz w:val="28"/>
              <w:szCs w:val="28"/>
            </w:rPr>
          </w:pPr>
          <w:r>
            <w:rPr>
              <w:rFonts w:eastAsia="仿宋_GB2312"/>
              <w:snapToGrid w:val="0"/>
              <w:sz w:val="28"/>
              <w:szCs w:val="28"/>
            </w:rPr>
            <w:t>——</w:t>
          </w:r>
          <w:r>
            <w:rPr>
              <w:rFonts w:eastAsia="仿宋_GB2312"/>
              <w:sz w:val="28"/>
              <w:szCs w:val="28"/>
            </w:rPr>
            <w:t>标准的主要内容；</w:t>
          </w:r>
        </w:p>
        <w:p>
          <w:pPr>
            <w:pStyle w:val="2"/>
            <w:adjustRightInd w:val="0"/>
            <w:snapToGrid w:val="0"/>
            <w:spacing w:line="400" w:lineRule="exact"/>
            <w:ind w:firstLine="280" w:firstLineChars="100"/>
            <w:rPr>
              <w:rFonts w:eastAsia="仿宋_GB2312"/>
              <w:sz w:val="28"/>
              <w:szCs w:val="28"/>
            </w:rPr>
          </w:pPr>
          <w:r>
            <w:rPr>
              <w:rFonts w:eastAsia="仿宋_GB2312"/>
              <w:snapToGrid w:val="0"/>
              <w:sz w:val="28"/>
              <w:szCs w:val="28"/>
            </w:rPr>
            <w:t>——</w:t>
          </w:r>
          <w:r>
            <w:rPr>
              <w:rFonts w:eastAsia="仿宋_GB2312"/>
              <w:sz w:val="28"/>
              <w:szCs w:val="28"/>
            </w:rPr>
            <w:t>适用的产品范围；</w:t>
          </w:r>
        </w:p>
        <w:p>
          <w:pPr>
            <w:pStyle w:val="17"/>
            <w:tabs>
              <w:tab w:val="right" w:leader="dot" w:pos="8400"/>
            </w:tabs>
            <w:spacing w:line="400" w:lineRule="exact"/>
            <w:rPr>
              <w:rFonts w:eastAsia="仿宋_GB2312"/>
              <w:sz w:val="28"/>
              <w:szCs w:val="28"/>
              <w14:ligatures w14:val="standardContextual"/>
            </w:rPr>
          </w:pPr>
          <w:r>
            <w:rPr>
              <w:rFonts w:eastAsia="仿宋_GB2312"/>
              <w:sz w:val="28"/>
              <w:szCs w:val="28"/>
            </w:rPr>
            <w:t>2 规范性引用文件</w:t>
          </w:r>
          <w:r>
            <w:rPr>
              <w:rFonts w:eastAsia="仿宋_GB2312"/>
              <w:sz w:val="28"/>
              <w:szCs w:val="28"/>
            </w:rPr>
            <w:tab/>
          </w:r>
          <w:r>
            <w:rPr>
              <w:rFonts w:eastAsia="仿宋_GB2312"/>
              <w:sz w:val="28"/>
              <w:szCs w:val="28"/>
            </w:rPr>
            <w:t>1</w:t>
          </w:r>
        </w:p>
        <w:p>
          <w:pPr>
            <w:pStyle w:val="17"/>
            <w:tabs>
              <w:tab w:val="right" w:leader="dot" w:pos="8400"/>
            </w:tabs>
            <w:spacing w:line="400" w:lineRule="exact"/>
            <w:rPr>
              <w:rFonts w:eastAsia="仿宋_GB2312"/>
              <w:sz w:val="28"/>
              <w:szCs w:val="28"/>
              <w14:ligatures w14:val="standardContextual"/>
            </w:rPr>
          </w:pPr>
          <w:r>
            <w:rPr>
              <w:rFonts w:eastAsia="仿宋_GB2312"/>
              <w:sz w:val="28"/>
              <w:szCs w:val="28"/>
            </w:rPr>
            <w:t>3 术语和定义</w:t>
          </w:r>
          <w:r>
            <w:rPr>
              <w:rFonts w:eastAsia="仿宋_GB2312"/>
              <w:sz w:val="28"/>
              <w:szCs w:val="28"/>
            </w:rPr>
            <w:tab/>
          </w:r>
          <w:r>
            <w:rPr>
              <w:rFonts w:eastAsia="仿宋_GB2312"/>
              <w:sz w:val="28"/>
              <w:szCs w:val="28"/>
            </w:rPr>
            <w:t>2</w:t>
          </w:r>
        </w:p>
        <w:p>
          <w:pPr>
            <w:pStyle w:val="17"/>
            <w:tabs>
              <w:tab w:val="right" w:leader="dot" w:pos="8400"/>
            </w:tabs>
            <w:spacing w:line="400" w:lineRule="exact"/>
            <w:rPr>
              <w:rFonts w:eastAsia="仿宋_GB2312"/>
              <w:sz w:val="28"/>
              <w:szCs w:val="28"/>
            </w:rPr>
          </w:pPr>
          <w:r>
            <w:rPr>
              <w:rFonts w:eastAsia="仿宋_GB2312"/>
              <w:sz w:val="28"/>
              <w:szCs w:val="28"/>
            </w:rPr>
            <w:t>4 量化目的</w:t>
          </w:r>
          <w:r>
            <w:rPr>
              <w:rFonts w:eastAsia="仿宋_GB2312"/>
              <w:sz w:val="28"/>
              <w:szCs w:val="28"/>
            </w:rPr>
            <w:tab/>
          </w:r>
          <w:r>
            <w:rPr>
              <w:rFonts w:eastAsia="仿宋_GB2312"/>
              <w:sz w:val="28"/>
              <w:szCs w:val="28"/>
            </w:rPr>
            <w:t>13</w:t>
          </w:r>
        </w:p>
        <w:p>
          <w:pPr>
            <w:pStyle w:val="21"/>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——应用意图；</w:t>
          </w:r>
        </w:p>
        <w:p>
          <w:pPr>
            <w:pStyle w:val="21"/>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——开展产品碳足迹研究的理由；</w:t>
          </w:r>
        </w:p>
        <w:p>
          <w:pPr>
            <w:pStyle w:val="21"/>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——目标受众（即研究结果的接收者）；</w:t>
          </w:r>
        </w:p>
        <w:p>
          <w:pPr>
            <w:pStyle w:val="21"/>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——符合ISO 14026要求，计划交流的产品碳足迹信息（如有）；</w:t>
          </w:r>
        </w:p>
        <w:p>
          <w:pPr>
            <w:pStyle w:val="17"/>
            <w:tabs>
              <w:tab w:val="right" w:leader="dot" w:pos="8400"/>
            </w:tabs>
            <w:spacing w:line="400" w:lineRule="exact"/>
            <w:rPr>
              <w:rFonts w:eastAsia="仿宋_GB2312"/>
              <w:sz w:val="28"/>
              <w:szCs w:val="28"/>
            </w:rPr>
          </w:pPr>
          <w:r>
            <w:rPr>
              <w:rFonts w:eastAsia="仿宋_GB2312"/>
              <w:sz w:val="28"/>
              <w:szCs w:val="28"/>
            </w:rPr>
            <w:t>5 量化范围</w:t>
          </w:r>
          <w:r>
            <w:rPr>
              <w:rFonts w:eastAsia="仿宋_GB2312"/>
              <w:sz w:val="28"/>
              <w:szCs w:val="28"/>
            </w:rPr>
            <w:tab/>
          </w:r>
          <w:r>
            <w:rPr>
              <w:rFonts w:eastAsia="仿宋_GB2312"/>
              <w:sz w:val="28"/>
              <w:szCs w:val="28"/>
            </w:rPr>
            <w:t>13</w:t>
          </w:r>
        </w:p>
        <w:p>
          <w:pPr>
            <w:pStyle w:val="17"/>
            <w:tabs>
              <w:tab w:val="right" w:leader="dot" w:pos="8400"/>
            </w:tabs>
            <w:spacing w:line="400" w:lineRule="exact"/>
            <w:ind w:firstLine="280" w:firstLineChars="100"/>
            <w:rPr>
              <w:rFonts w:eastAsia="仿宋_GB2312"/>
              <w:sz w:val="28"/>
              <w:szCs w:val="28"/>
            </w:rPr>
          </w:pPr>
          <w:r>
            <w:rPr>
              <w:rFonts w:hint="eastAsia"/>
              <w:sz w:val="28"/>
              <w:szCs w:val="28"/>
            </w:rPr>
            <w:t xml:space="preserve">  </w:t>
          </w:r>
          <w:r>
            <w:rPr>
              <w:rFonts w:eastAsia="仿宋_GB2312"/>
              <w:sz w:val="28"/>
              <w:szCs w:val="28"/>
            </w:rPr>
            <w:t>5.1 功能单位或声明单位</w:t>
          </w:r>
          <w:r>
            <w:rPr>
              <w:rFonts w:eastAsia="仿宋_GB2312"/>
              <w:sz w:val="28"/>
              <w:szCs w:val="28"/>
            </w:rPr>
            <w:tab/>
          </w:r>
          <w:r>
            <w:rPr>
              <w:rFonts w:eastAsia="仿宋_GB2312"/>
              <w:sz w:val="28"/>
              <w:szCs w:val="28"/>
            </w:rPr>
            <w:t>13</w:t>
          </w:r>
        </w:p>
        <w:p>
          <w:pPr>
            <w:pStyle w:val="2"/>
            <w:adjustRightInd w:val="0"/>
            <w:snapToGrid w:val="0"/>
            <w:spacing w:line="400" w:lineRule="exact"/>
            <w:ind w:firstLine="560"/>
            <w:rPr>
              <w:rFonts w:eastAsia="仿宋_GB2312"/>
              <w:snapToGrid w:val="0"/>
              <w:sz w:val="28"/>
              <w:szCs w:val="28"/>
            </w:rPr>
          </w:pPr>
          <w:r>
            <w:rPr>
              <w:rFonts w:eastAsia="仿宋_GB2312"/>
              <w:snapToGrid w:val="0"/>
              <w:sz w:val="28"/>
              <w:szCs w:val="28"/>
            </w:rPr>
            <w:t>——产品说明，包括功能和技术参数；</w:t>
          </w:r>
        </w:p>
        <w:p>
          <w:pPr>
            <w:pStyle w:val="2"/>
            <w:adjustRightInd w:val="0"/>
            <w:snapToGrid w:val="0"/>
            <w:spacing w:line="400" w:lineRule="exact"/>
            <w:ind w:firstLine="560"/>
            <w:rPr>
              <w:rFonts w:eastAsia="仿宋_GB2312"/>
              <w:snapToGrid w:val="0"/>
              <w:sz w:val="28"/>
              <w:szCs w:val="28"/>
            </w:rPr>
          </w:pPr>
          <w:r>
            <w:rPr>
              <w:rFonts w:eastAsia="仿宋_GB2312"/>
              <w:snapToGrid w:val="0"/>
              <w:sz w:val="28"/>
              <w:szCs w:val="28"/>
            </w:rPr>
            <w:t>——功能单位或声明单位以及基准流（见6.3.4）；</w:t>
          </w:r>
        </w:p>
        <w:p>
          <w:pPr>
            <w:pStyle w:val="17"/>
            <w:tabs>
              <w:tab w:val="right" w:leader="dot" w:pos="8400"/>
            </w:tabs>
            <w:spacing w:line="400" w:lineRule="exact"/>
            <w:ind w:right="-92" w:rightChars="-44" w:firstLine="280" w:firstLineChars="100"/>
            <w:rPr>
              <w:rFonts w:eastAsia="仿宋_GB2312"/>
              <w:sz w:val="28"/>
              <w:szCs w:val="28"/>
            </w:rPr>
          </w:pPr>
          <w:r>
            <w:rPr>
              <w:rFonts w:hint="eastAsia"/>
              <w:sz w:val="28"/>
              <w:szCs w:val="28"/>
            </w:rPr>
            <w:t xml:space="preserve">  </w:t>
          </w:r>
          <w:r>
            <w:rPr>
              <w:rFonts w:eastAsia="仿宋_GB2312"/>
              <w:sz w:val="28"/>
              <w:szCs w:val="28"/>
            </w:rPr>
            <w:t>5.2 系统边界</w:t>
          </w:r>
          <w:r>
            <w:rPr>
              <w:rFonts w:eastAsia="仿宋_GB2312"/>
              <w:sz w:val="28"/>
              <w:szCs w:val="28"/>
            </w:rPr>
            <w:tab/>
          </w:r>
          <w:r>
            <w:rPr>
              <w:rFonts w:eastAsia="仿宋_GB2312"/>
              <w:sz w:val="28"/>
              <w:szCs w:val="28"/>
            </w:rPr>
            <w:t>13</w:t>
          </w:r>
        </w:p>
        <w:p>
          <w:pPr>
            <w:pStyle w:val="2"/>
            <w:adjustRightInd w:val="0"/>
            <w:snapToGrid w:val="0"/>
            <w:spacing w:line="400" w:lineRule="exact"/>
            <w:ind w:firstLine="560"/>
            <w:rPr>
              <w:rFonts w:eastAsia="仿宋_GB2312"/>
              <w:snapToGrid w:val="0"/>
              <w:sz w:val="28"/>
              <w:szCs w:val="28"/>
            </w:rPr>
          </w:pPr>
          <w:r>
            <w:rPr>
              <w:rFonts w:eastAsia="仿宋_GB2312"/>
              <w:snapToGrid w:val="0"/>
              <w:sz w:val="28"/>
              <w:szCs w:val="28"/>
            </w:rPr>
            <w:t>——</w:t>
          </w:r>
          <w:r>
            <w:rPr>
              <w:rFonts w:eastAsia="仿宋_GB2312"/>
              <w:sz w:val="28"/>
              <w:szCs w:val="28"/>
            </w:rPr>
            <w:t>产品的系统边界涵盖其生命周期阶段及产品系统边界图</w:t>
          </w:r>
          <w:r>
            <w:rPr>
              <w:rFonts w:eastAsia="仿宋_GB2312"/>
              <w:snapToGrid w:val="0"/>
              <w:sz w:val="28"/>
              <w:szCs w:val="28"/>
            </w:rPr>
            <w:t>；</w:t>
          </w:r>
        </w:p>
        <w:p>
          <w:pPr>
            <w:pStyle w:val="2"/>
            <w:adjustRightInd w:val="0"/>
            <w:snapToGrid w:val="0"/>
            <w:spacing w:line="400" w:lineRule="exact"/>
            <w:ind w:firstLine="560"/>
            <w:rPr>
              <w:rFonts w:eastAsia="仿宋_GB2312"/>
              <w:snapToGrid w:val="0"/>
              <w:sz w:val="28"/>
              <w:szCs w:val="28"/>
            </w:rPr>
          </w:pPr>
          <w:r>
            <w:rPr>
              <w:rFonts w:eastAsia="仿宋_GB2312"/>
              <w:snapToGrid w:val="0"/>
              <w:sz w:val="28"/>
              <w:szCs w:val="28"/>
            </w:rPr>
            <w:t>——取舍准则（如适用，见6.3.5.3）；</w:t>
          </w:r>
        </w:p>
        <w:p>
          <w:pPr>
            <w:spacing w:line="400" w:lineRule="exact"/>
            <w:ind w:firstLine="560" w:firstLineChars="200"/>
            <w:rPr>
              <w:rFonts w:eastAsia="仿宋_GB2312"/>
              <w:sz w:val="28"/>
              <w:szCs w:val="28"/>
            </w:rPr>
          </w:pPr>
          <w:r>
            <w:rPr>
              <w:rFonts w:eastAsia="仿宋_GB2312"/>
              <w:snapToGrid w:val="0"/>
              <w:sz w:val="28"/>
              <w:szCs w:val="28"/>
            </w:rPr>
            <w:t>——生命周期各阶段的描述，包括对选定的使用阶段和生命末期阶段假设情景的描（如适用）；</w:t>
          </w:r>
        </w:p>
        <w:p>
          <w:pPr>
            <w:pStyle w:val="17"/>
            <w:tabs>
              <w:tab w:val="right" w:leader="dot" w:pos="8400"/>
            </w:tabs>
            <w:spacing w:line="400" w:lineRule="exact"/>
            <w:rPr>
              <w:rFonts w:eastAsia="仿宋_GB2312"/>
              <w:sz w:val="28"/>
              <w:szCs w:val="28"/>
            </w:rPr>
          </w:pPr>
          <w:r>
            <w:rPr>
              <w:rFonts w:eastAsia="仿宋_GB2312"/>
              <w:sz w:val="28"/>
              <w:szCs w:val="28"/>
            </w:rPr>
            <w:t>6 清单分析</w:t>
          </w:r>
          <w:r>
            <w:rPr>
              <w:rFonts w:eastAsia="仿宋_GB2312"/>
              <w:sz w:val="28"/>
              <w:szCs w:val="28"/>
            </w:rPr>
            <w:tab/>
          </w:r>
          <w:r>
            <w:rPr>
              <w:rFonts w:eastAsia="仿宋_GB2312"/>
              <w:sz w:val="28"/>
              <w:szCs w:val="28"/>
            </w:rPr>
            <w:t>14</w:t>
          </w:r>
        </w:p>
        <w:p>
          <w:pPr>
            <w:pStyle w:val="17"/>
            <w:tabs>
              <w:tab w:val="right" w:leader="dot" w:pos="8400"/>
            </w:tabs>
            <w:spacing w:line="400" w:lineRule="exact"/>
            <w:ind w:firstLine="280" w:firstLineChars="100"/>
            <w:rPr>
              <w:rFonts w:eastAsia="仿宋_GB2312"/>
              <w:sz w:val="28"/>
              <w:szCs w:val="28"/>
            </w:rPr>
          </w:pPr>
          <w:r>
            <w:rPr>
              <w:rFonts w:hint="eastAsia"/>
              <w:sz w:val="28"/>
              <w:szCs w:val="28"/>
            </w:rPr>
            <w:t xml:space="preserve">  </w:t>
          </w:r>
          <w:r>
            <w:rPr>
              <w:rFonts w:eastAsia="仿宋_GB2312"/>
              <w:sz w:val="28"/>
              <w:szCs w:val="28"/>
            </w:rPr>
            <w:t>6.1 数据收集和确认</w:t>
          </w:r>
          <w:r>
            <w:rPr>
              <w:rFonts w:eastAsia="仿宋_GB2312"/>
              <w:sz w:val="28"/>
              <w:szCs w:val="28"/>
            </w:rPr>
            <w:tab/>
          </w:r>
          <w:r>
            <w:rPr>
              <w:rFonts w:eastAsia="仿宋_GB2312"/>
              <w:sz w:val="28"/>
              <w:szCs w:val="28"/>
            </w:rPr>
            <w:t>14</w:t>
          </w:r>
        </w:p>
        <w:p>
          <w:pPr>
            <w:pStyle w:val="2"/>
            <w:adjustRightInd w:val="0"/>
            <w:snapToGrid w:val="0"/>
            <w:spacing w:line="400" w:lineRule="exact"/>
            <w:ind w:firstLine="560"/>
            <w:rPr>
              <w:rFonts w:eastAsia="仿宋_GB2312"/>
              <w:snapToGrid w:val="0"/>
              <w:sz w:val="28"/>
              <w:szCs w:val="28"/>
            </w:rPr>
          </w:pPr>
          <w:r>
            <w:rPr>
              <w:rFonts w:eastAsia="仿宋_GB2312"/>
              <w:snapToGrid w:val="0"/>
              <w:sz w:val="28"/>
              <w:szCs w:val="28"/>
            </w:rPr>
            <w:t>——初级数据收集和数据质量确认；</w:t>
          </w:r>
        </w:p>
        <w:p>
          <w:pPr>
            <w:pStyle w:val="2"/>
            <w:adjustRightInd w:val="0"/>
            <w:snapToGrid w:val="0"/>
            <w:spacing w:line="400" w:lineRule="exact"/>
            <w:ind w:firstLine="560"/>
            <w:rPr>
              <w:rFonts w:eastAsia="仿宋_GB2312"/>
              <w:snapToGrid w:val="0"/>
              <w:sz w:val="28"/>
              <w:szCs w:val="28"/>
            </w:rPr>
          </w:pPr>
          <w:r>
            <w:rPr>
              <w:rFonts w:eastAsia="仿宋_GB2312"/>
              <w:snapToGrid w:val="0"/>
              <w:sz w:val="28"/>
              <w:szCs w:val="28"/>
            </w:rPr>
            <w:t>——次级数据收集和数据质量确认；</w:t>
          </w:r>
        </w:p>
        <w:p>
          <w:pPr>
            <w:pStyle w:val="17"/>
            <w:tabs>
              <w:tab w:val="right" w:leader="dot" w:pos="8400"/>
            </w:tabs>
            <w:spacing w:line="400" w:lineRule="exact"/>
            <w:ind w:firstLine="280" w:firstLineChars="100"/>
            <w:rPr>
              <w:rFonts w:eastAsia="仿宋_GB2312"/>
              <w:sz w:val="28"/>
              <w:szCs w:val="28"/>
            </w:rPr>
          </w:pPr>
          <w:r>
            <w:rPr>
              <w:rFonts w:hint="eastAsia"/>
              <w:sz w:val="28"/>
              <w:szCs w:val="28"/>
            </w:rPr>
            <w:t xml:space="preserve">  </w:t>
          </w:r>
          <w:r>
            <w:rPr>
              <w:rFonts w:eastAsia="仿宋_GB2312"/>
              <w:sz w:val="28"/>
              <w:szCs w:val="28"/>
            </w:rPr>
            <w:t>6.2 数据分配</w:t>
          </w:r>
          <w:r>
            <w:rPr>
              <w:rFonts w:eastAsia="仿宋_GB2312"/>
              <w:sz w:val="28"/>
              <w:szCs w:val="28"/>
            </w:rPr>
            <w:tab/>
          </w:r>
          <w:r>
            <w:rPr>
              <w:rFonts w:eastAsia="仿宋_GB2312"/>
              <w:sz w:val="28"/>
              <w:szCs w:val="28"/>
            </w:rPr>
            <w:t>14</w:t>
          </w:r>
        </w:p>
        <w:p>
          <w:pPr>
            <w:pStyle w:val="17"/>
            <w:tabs>
              <w:tab w:val="right" w:leader="dot" w:pos="8400"/>
            </w:tabs>
            <w:spacing w:line="400" w:lineRule="exact"/>
            <w:ind w:firstLine="280" w:firstLineChars="100"/>
            <w:rPr>
              <w:rFonts w:eastAsia="仿宋_GB2312"/>
              <w:sz w:val="28"/>
              <w:szCs w:val="28"/>
            </w:rPr>
          </w:pPr>
          <w:r>
            <w:rPr>
              <w:rFonts w:hint="eastAsia"/>
              <w:sz w:val="28"/>
              <w:szCs w:val="28"/>
            </w:rPr>
            <w:t xml:space="preserve">  </w:t>
          </w:r>
          <w:r>
            <w:rPr>
              <w:rFonts w:eastAsia="仿宋_GB2312"/>
              <w:sz w:val="28"/>
              <w:szCs w:val="28"/>
            </w:rPr>
            <w:t>6.3 取舍准则</w:t>
          </w:r>
          <w:r>
            <w:rPr>
              <w:rFonts w:eastAsia="仿宋_GB2312"/>
              <w:sz w:val="28"/>
              <w:szCs w:val="28"/>
            </w:rPr>
            <w:tab/>
          </w:r>
          <w:r>
            <w:rPr>
              <w:rFonts w:eastAsia="仿宋_GB2312"/>
              <w:sz w:val="28"/>
              <w:szCs w:val="28"/>
            </w:rPr>
            <w:t>14</w:t>
          </w:r>
        </w:p>
        <w:p>
          <w:pPr>
            <w:pStyle w:val="17"/>
            <w:tabs>
              <w:tab w:val="right" w:leader="dot" w:pos="8400"/>
            </w:tabs>
            <w:spacing w:line="400" w:lineRule="exact"/>
            <w:ind w:firstLine="280" w:firstLineChars="100"/>
            <w:rPr>
              <w:rFonts w:eastAsia="仿宋_GB2312"/>
              <w:sz w:val="28"/>
              <w:szCs w:val="28"/>
            </w:rPr>
          </w:pPr>
          <w:r>
            <w:rPr>
              <w:rFonts w:hint="eastAsia"/>
              <w:sz w:val="28"/>
              <w:szCs w:val="28"/>
            </w:rPr>
            <w:t xml:space="preserve">  </w:t>
          </w:r>
          <w:r>
            <w:rPr>
              <w:rFonts w:eastAsia="仿宋_GB2312"/>
              <w:sz w:val="28"/>
              <w:szCs w:val="28"/>
            </w:rPr>
            <w:t>6.4 清单计算</w:t>
          </w:r>
          <w:r>
            <w:rPr>
              <w:rFonts w:eastAsia="仿宋_GB2312"/>
              <w:sz w:val="28"/>
              <w:szCs w:val="28"/>
            </w:rPr>
            <w:tab/>
          </w:r>
          <w:r>
            <w:rPr>
              <w:rFonts w:eastAsia="仿宋_GB2312"/>
              <w:sz w:val="28"/>
              <w:szCs w:val="28"/>
            </w:rPr>
            <w:t>14</w:t>
          </w:r>
        </w:p>
        <w:p>
          <w:pPr>
            <w:pStyle w:val="17"/>
            <w:tabs>
              <w:tab w:val="right" w:leader="dot" w:pos="8400"/>
            </w:tabs>
            <w:spacing w:line="400" w:lineRule="exact"/>
            <w:rPr>
              <w:rFonts w:eastAsia="仿宋_GB2312"/>
              <w:sz w:val="28"/>
              <w:szCs w:val="28"/>
            </w:rPr>
          </w:pPr>
          <w:r>
            <w:rPr>
              <w:rFonts w:eastAsia="仿宋_GB2312"/>
              <w:sz w:val="28"/>
              <w:szCs w:val="28"/>
            </w:rPr>
            <w:t>7 影响评价</w:t>
          </w:r>
          <w:r>
            <w:rPr>
              <w:rFonts w:eastAsia="仿宋_GB2312"/>
              <w:sz w:val="28"/>
              <w:szCs w:val="28"/>
            </w:rPr>
            <w:tab/>
          </w:r>
          <w:r>
            <w:rPr>
              <w:rFonts w:eastAsia="仿宋_GB2312"/>
              <w:sz w:val="28"/>
              <w:szCs w:val="28"/>
            </w:rPr>
            <w:t>31</w:t>
          </w:r>
        </w:p>
        <w:p>
          <w:pPr>
            <w:pStyle w:val="2"/>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——CFP计算方法；</w:t>
          </w:r>
        </w:p>
        <w:p>
          <w:pPr>
            <w:pStyle w:val="2"/>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——特征化因子和GWP等参数的选取；</w:t>
          </w:r>
        </w:p>
        <w:p>
          <w:pPr>
            <w:pStyle w:val="17"/>
            <w:tabs>
              <w:tab w:val="right" w:leader="dot" w:pos="8400"/>
            </w:tabs>
            <w:spacing w:line="400" w:lineRule="exact"/>
            <w:rPr>
              <w:rFonts w:eastAsia="仿宋_GB2312"/>
              <w:sz w:val="28"/>
              <w:szCs w:val="28"/>
            </w:rPr>
          </w:pPr>
          <w:r>
            <w:rPr>
              <w:rFonts w:eastAsia="仿宋_GB2312"/>
              <w:sz w:val="28"/>
              <w:szCs w:val="28"/>
            </w:rPr>
            <w:t>8 结果解释</w:t>
          </w:r>
          <w:r>
            <w:rPr>
              <w:rFonts w:eastAsia="仿宋_GB2312"/>
              <w:sz w:val="28"/>
              <w:szCs w:val="28"/>
            </w:rPr>
            <w:tab/>
          </w:r>
          <w:r>
            <w:rPr>
              <w:rFonts w:eastAsia="仿宋_GB2312"/>
              <w:sz w:val="28"/>
              <w:szCs w:val="28"/>
            </w:rPr>
            <w:t>32</w:t>
          </w:r>
        </w:p>
        <w:p>
          <w:pPr>
            <w:pStyle w:val="2"/>
            <w:adjustRightInd w:val="0"/>
            <w:snapToGrid w:val="0"/>
            <w:spacing w:line="400" w:lineRule="exact"/>
            <w:ind w:firstLine="280" w:firstLineChars="100"/>
            <w:rPr>
              <w:rFonts w:eastAsia="仿宋_GB2312"/>
              <w:snapToGrid w:val="0"/>
              <w:sz w:val="28"/>
              <w:szCs w:val="28"/>
            </w:rPr>
          </w:pPr>
          <w:r>
            <w:rPr>
              <w:rFonts w:eastAsia="仿宋_GB2312"/>
              <w:snapToGrid w:val="0"/>
              <w:sz w:val="28"/>
              <w:szCs w:val="28"/>
            </w:rPr>
            <w:t>——具体产品碳足迹研究结果解释阶段的步骤和内容要求；</w:t>
          </w:r>
        </w:p>
        <w:p>
          <w:pPr>
            <w:pStyle w:val="17"/>
            <w:tabs>
              <w:tab w:val="right" w:leader="dot" w:pos="8400"/>
            </w:tabs>
            <w:spacing w:line="400" w:lineRule="exact"/>
            <w:rPr>
              <w:rFonts w:eastAsia="仿宋_GB2312"/>
              <w:sz w:val="28"/>
              <w:szCs w:val="28"/>
              <w14:ligatures w14:val="standardContextual"/>
            </w:rPr>
          </w:pPr>
          <w:r>
            <w:rPr>
              <w:rFonts w:eastAsia="仿宋_GB2312"/>
              <w:sz w:val="28"/>
              <w:szCs w:val="28"/>
            </w:rPr>
            <w:t>9 产品碳足迹报告</w:t>
          </w:r>
          <w:r>
            <w:rPr>
              <w:rFonts w:eastAsia="仿宋_GB2312"/>
              <w:sz w:val="28"/>
              <w:szCs w:val="28"/>
            </w:rPr>
            <w:tab/>
          </w:r>
          <w:r>
            <w:rPr>
              <w:rFonts w:eastAsia="仿宋_GB2312"/>
              <w:sz w:val="28"/>
              <w:szCs w:val="28"/>
            </w:rPr>
            <w:t>33</w:t>
          </w:r>
        </w:p>
        <w:p>
          <w:pPr>
            <w:pStyle w:val="17"/>
            <w:tabs>
              <w:tab w:val="right" w:leader="dot" w:pos="8400"/>
            </w:tabs>
            <w:spacing w:line="400" w:lineRule="exact"/>
            <w:rPr>
              <w:rFonts w:eastAsia="仿宋_GB2312"/>
              <w:sz w:val="28"/>
              <w:szCs w:val="28"/>
              <w14:ligatures w14:val="standardContextual"/>
            </w:rPr>
          </w:pPr>
          <w:r>
            <w:rPr>
              <w:rFonts w:eastAsia="仿宋_GB2312"/>
              <w:sz w:val="28"/>
              <w:szCs w:val="28"/>
            </w:rPr>
            <w:t>10 产品碳足迹声明</w:t>
          </w:r>
          <w:r>
            <w:rPr>
              <w:rFonts w:eastAsia="仿宋_GB2312"/>
              <w:sz w:val="28"/>
              <w:szCs w:val="28"/>
            </w:rPr>
            <w:tab/>
          </w:r>
          <w:r>
            <w:rPr>
              <w:rFonts w:eastAsia="仿宋_GB2312"/>
              <w:sz w:val="28"/>
              <w:szCs w:val="28"/>
            </w:rPr>
            <w:t>33</w:t>
          </w:r>
        </w:p>
        <w:p>
          <w:pPr>
            <w:pStyle w:val="32"/>
            <w:tabs>
              <w:tab w:val="right" w:leader="dot" w:pos="8400"/>
            </w:tabs>
            <w:spacing w:line="400" w:lineRule="exact"/>
            <w:rPr>
              <w:rFonts w:ascii="Times New Roman" w:eastAsia="仿宋_GB2312"/>
              <w:sz w:val="28"/>
              <w:szCs w:val="28"/>
              <w14:ligatures w14:val="standardContextual"/>
            </w:rPr>
          </w:pPr>
          <w:r>
            <w:rPr>
              <w:rFonts w:ascii="Times New Roman" w:eastAsia="仿宋_GB2312"/>
              <w:sz w:val="28"/>
              <w:szCs w:val="28"/>
            </w:rPr>
            <w:t xml:space="preserve">附　录　A （资料性） </w:t>
          </w:r>
          <w:r>
            <w:rPr>
              <w:rFonts w:ascii="Times New Roman" w:eastAsia="仿宋_GB2312"/>
              <w:bCs/>
              <w:sz w:val="28"/>
              <w:szCs w:val="28"/>
            </w:rPr>
            <w:t>产品碳足迹量化</w:t>
          </w:r>
          <w:r>
            <w:rPr>
              <w:rFonts w:ascii="Times New Roman" w:eastAsia="仿宋_GB2312"/>
              <w:sz w:val="28"/>
              <w:szCs w:val="28"/>
            </w:rPr>
            <w:t>数据收集表</w:t>
          </w:r>
          <w:r>
            <w:rPr>
              <w:rFonts w:ascii="Times New Roman" w:eastAsia="仿宋_GB2312"/>
              <w:sz w:val="28"/>
              <w:szCs w:val="28"/>
            </w:rPr>
            <w:tab/>
          </w:r>
          <w:r>
            <w:rPr>
              <w:rFonts w:ascii="Times New Roman" w:eastAsia="仿宋_GB2312"/>
              <w:sz w:val="28"/>
              <w:szCs w:val="28"/>
            </w:rPr>
            <w:t>44</w:t>
          </w:r>
        </w:p>
        <w:p>
          <w:pPr>
            <w:pStyle w:val="32"/>
            <w:tabs>
              <w:tab w:val="right" w:leader="dot" w:pos="8400"/>
            </w:tabs>
            <w:spacing w:line="400" w:lineRule="exact"/>
            <w:rPr>
              <w:rFonts w:ascii="Times New Roman" w:eastAsia="仿宋_GB2312"/>
              <w:sz w:val="28"/>
              <w:szCs w:val="28"/>
            </w:rPr>
          </w:pPr>
          <w:r>
            <w:rPr>
              <w:rFonts w:ascii="Times New Roman" w:eastAsia="仿宋_GB2312"/>
              <w:sz w:val="28"/>
              <w:szCs w:val="28"/>
            </w:rPr>
            <w:t>附　录　B （资料性） 产品碳足迹报告（模板）</w:t>
          </w:r>
          <w:r>
            <w:rPr>
              <w:rFonts w:ascii="Times New Roman" w:eastAsia="仿宋_GB2312"/>
              <w:sz w:val="28"/>
              <w:szCs w:val="28"/>
            </w:rPr>
            <w:tab/>
          </w:r>
          <w:r>
            <w:rPr>
              <w:rFonts w:ascii="Times New Roman" w:eastAsia="仿宋_GB2312"/>
              <w:sz w:val="28"/>
              <w:szCs w:val="28"/>
            </w:rPr>
            <w:t>45</w:t>
          </w:r>
        </w:p>
        <w:p>
          <w:pPr>
            <w:pStyle w:val="32"/>
            <w:tabs>
              <w:tab w:val="right" w:leader="dot" w:pos="8400"/>
            </w:tabs>
            <w:spacing w:line="400" w:lineRule="exact"/>
            <w:rPr>
              <w:rFonts w:ascii="Times New Roman" w:eastAsia="仿宋_GB2312"/>
              <w:sz w:val="28"/>
              <w:szCs w:val="28"/>
            </w:rPr>
          </w:pPr>
          <w:r>
            <w:rPr>
              <w:rFonts w:ascii="Times New Roman" w:eastAsia="仿宋_GB2312"/>
              <w:sz w:val="28"/>
              <w:szCs w:val="28"/>
            </w:rPr>
            <w:t>附　录　C （资料性） 全球变暖潜势值</w:t>
          </w:r>
          <w:r>
            <w:rPr>
              <w:rFonts w:ascii="Times New Roman" w:eastAsia="仿宋_GB2312"/>
              <w:sz w:val="28"/>
              <w:szCs w:val="28"/>
            </w:rPr>
            <w:tab/>
          </w:r>
          <w:r>
            <w:rPr>
              <w:rFonts w:ascii="Times New Roman" w:eastAsia="仿宋_GB2312"/>
              <w:sz w:val="28"/>
              <w:szCs w:val="28"/>
            </w:rPr>
            <w:t>45</w:t>
          </w:r>
        </w:p>
        <w:p>
          <w:pPr>
            <w:pStyle w:val="32"/>
            <w:tabs>
              <w:tab w:val="right" w:leader="dot" w:pos="8400"/>
            </w:tabs>
            <w:spacing w:line="400" w:lineRule="exact"/>
            <w:rPr>
              <w:rFonts w:ascii="Times New Roman" w:eastAsia="仿宋_GB2312"/>
              <w:sz w:val="28"/>
              <w:szCs w:val="28"/>
            </w:rPr>
          </w:pPr>
          <w:r>
            <w:rPr>
              <w:rFonts w:ascii="Times New Roman" w:eastAsia="仿宋_GB2312"/>
              <w:sz w:val="28"/>
              <w:szCs w:val="28"/>
            </w:rPr>
            <w:t>附　录　D （资料性） 常用参数参考值</w:t>
          </w:r>
          <w:r>
            <w:rPr>
              <w:rFonts w:ascii="Times New Roman" w:eastAsia="仿宋_GB2312"/>
              <w:sz w:val="28"/>
              <w:szCs w:val="28"/>
            </w:rPr>
            <w:tab/>
          </w:r>
          <w:r>
            <w:rPr>
              <w:rFonts w:ascii="Times New Roman" w:eastAsia="仿宋_GB2312"/>
              <w:sz w:val="28"/>
              <w:szCs w:val="28"/>
            </w:rPr>
            <w:t>45</w:t>
          </w:r>
        </w:p>
        <w:p>
          <w:pPr>
            <w:pStyle w:val="32"/>
            <w:tabs>
              <w:tab w:val="right" w:leader="dot" w:pos="8400"/>
            </w:tabs>
            <w:spacing w:line="400" w:lineRule="exact"/>
            <w:rPr>
              <w:rFonts w:ascii="Times New Roman" w:eastAsia="仿宋_GB2312"/>
              <w:sz w:val="28"/>
              <w:szCs w:val="28"/>
              <w14:ligatures w14:val="standardContextual"/>
            </w:rPr>
          </w:pPr>
          <w:r>
            <w:rPr>
              <w:rFonts w:ascii="Times New Roman" w:eastAsia="仿宋_GB2312"/>
              <w:sz w:val="28"/>
              <w:szCs w:val="28"/>
            </w:rPr>
            <w:t>参考文献</w:t>
          </w:r>
          <w:r>
            <w:rPr>
              <w:rFonts w:ascii="Times New Roman" w:eastAsia="仿宋_GB2312"/>
              <w:sz w:val="28"/>
              <w:szCs w:val="28"/>
            </w:rPr>
            <w:tab/>
          </w:r>
          <w:r>
            <w:rPr>
              <w:rFonts w:ascii="Times New Roman" w:eastAsia="仿宋_GB2312"/>
              <w:sz w:val="28"/>
              <w:szCs w:val="28"/>
            </w:rPr>
            <w:t>49</w:t>
          </w:r>
        </w:p>
        <w:p>
          <w:pPr>
            <w:pStyle w:val="98"/>
          </w:pPr>
          <w:r>
            <w:rPr>
              <w:rFonts w:ascii="Times New Roman" w:eastAsia="仿宋_GB2312"/>
              <w:sz w:val="28"/>
              <w:szCs w:val="28"/>
              <w:lang w:val="zh-CN"/>
            </w:rPr>
            <w:fldChar w:fldCharType="end"/>
          </w:r>
        </w:p>
      </w:sdtContent>
    </w:sdt>
    <w:p/>
    <w:p>
      <w:pPr>
        <w:pStyle w:val="98"/>
        <w:pageBreakBefore/>
      </w:pPr>
      <w:r>
        <w:rPr>
          <w:rFonts w:hint="eastAsia"/>
        </w:rPr>
        <w:t>前  言</w:t>
      </w:r>
      <w:bookmarkEnd w:id="1"/>
    </w:p>
    <w:p>
      <w:pPr>
        <w:ind w:firstLine="435"/>
      </w:pPr>
      <w:r>
        <w:t>本文件按照GB/T 1.1-2020《标准化工作导则第1部分：标准化文件的结构和起草规则》的规定起草。</w:t>
      </w:r>
    </w:p>
    <w:p>
      <w:pPr>
        <w:ind w:firstLine="420" w:firstLineChars="200"/>
        <w:rPr>
          <w:rFonts w:ascii="宋体" w:hAnsi="宋体" w:cs="宋体"/>
          <w:szCs w:val="21"/>
        </w:rPr>
      </w:pPr>
      <w:r>
        <w:rPr>
          <w:rFonts w:hint="eastAsia" w:ascii="宋体" w:hAnsi="宋体" w:cs="宋体"/>
          <w:szCs w:val="21"/>
        </w:rPr>
        <w:t>请注意本文件的某些内容可能涉及专利。本文件的发布机构不承担识别专利的责任。</w:t>
      </w:r>
    </w:p>
    <w:p>
      <w:pPr>
        <w:ind w:firstLine="420" w:firstLineChars="200"/>
        <w:rPr>
          <w:rFonts w:ascii="宋体" w:hAnsi="宋体"/>
          <w:szCs w:val="21"/>
        </w:rPr>
      </w:pPr>
      <w:r>
        <w:rPr>
          <w:rFonts w:hint="eastAsia" w:ascii="宋体" w:hAnsi="宋体" w:cs="宋体"/>
          <w:szCs w:val="21"/>
        </w:rPr>
        <w:t>本文件由全国有色金属标准化技术委员（TC 243）提出并</w:t>
      </w:r>
      <w:r>
        <w:rPr>
          <w:rFonts w:hint="eastAsia" w:ascii="宋体" w:hAnsi="宋体" w:cs="宋体"/>
          <w:spacing w:val="-2"/>
          <w:szCs w:val="21"/>
        </w:rPr>
        <w:t>归口</w:t>
      </w:r>
      <w:r>
        <w:rPr>
          <w:rFonts w:hint="eastAsia" w:ascii="宋体" w:hAnsi="宋体" w:cs="宋体"/>
          <w:szCs w:val="21"/>
        </w:rPr>
        <w:t>。</w:t>
      </w:r>
    </w:p>
    <w:p>
      <w:pPr>
        <w:ind w:firstLine="420" w:firstLineChars="200"/>
        <w:rPr>
          <w:rFonts w:ascii="宋体" w:hAnsi="宋体"/>
          <w:szCs w:val="21"/>
        </w:rPr>
      </w:pPr>
      <w:r>
        <w:rPr>
          <w:rFonts w:ascii="宋体" w:hAnsi="宋体"/>
          <w:szCs w:val="21"/>
        </w:rPr>
        <w:t>本文件起草单位：</w:t>
      </w:r>
      <w:r>
        <w:rPr>
          <w:rFonts w:hint="eastAsia" w:ascii="宋体" w:hAnsi="宋体"/>
          <w:szCs w:val="21"/>
        </w:rPr>
        <w:t>XXX</w:t>
      </w:r>
      <w:r>
        <w:rPr>
          <w:rFonts w:ascii="宋体" w:hAnsi="宋体"/>
          <w:szCs w:val="21"/>
        </w:rPr>
        <w:t>。</w:t>
      </w:r>
    </w:p>
    <w:p>
      <w:pPr>
        <w:ind w:firstLine="420" w:firstLineChars="200"/>
        <w:rPr>
          <w:rFonts w:ascii="宋体" w:hAnsi="宋体"/>
          <w:color w:val="000000"/>
          <w:szCs w:val="21"/>
        </w:rPr>
      </w:pPr>
      <w:r>
        <w:rPr>
          <w:rFonts w:ascii="宋体" w:hAnsi="宋体"/>
          <w:szCs w:val="21"/>
        </w:rPr>
        <w:t>本文件主要起草人：</w:t>
      </w:r>
      <w:r>
        <w:rPr>
          <w:rFonts w:hint="eastAsia" w:ascii="宋体" w:hAnsi="宋体"/>
          <w:color w:val="000000"/>
          <w:szCs w:val="21"/>
        </w:rPr>
        <w:t>XXX、XXX、XXX、XXX。</w:t>
      </w:r>
    </w:p>
    <w:p>
      <w:pPr>
        <w:pStyle w:val="123"/>
        <w:pageBreakBefore/>
      </w:pPr>
      <w:bookmarkStart w:id="2" w:name="_Toc19499"/>
      <w:bookmarkStart w:id="3" w:name="_Toc21481"/>
      <w:bookmarkStart w:id="4" w:name="_Toc23524"/>
      <w:bookmarkStart w:id="5" w:name="_Toc20085"/>
      <w:bookmarkStart w:id="6" w:name="SectionMark4"/>
      <w:r>
        <w:rPr>
          <w:rFonts w:hint="eastAsia"/>
        </w:rPr>
        <w:t xml:space="preserve">温室气体 产品碳足迹量化方法与要求 </w:t>
      </w:r>
      <w:bookmarkEnd w:id="2"/>
      <w:bookmarkEnd w:id="3"/>
      <w:bookmarkEnd w:id="4"/>
      <w:bookmarkEnd w:id="5"/>
      <w:r>
        <w:rPr>
          <w:rFonts w:hint="eastAsia"/>
        </w:rPr>
        <w:t>原生镁锭</w:t>
      </w:r>
    </w:p>
    <w:p>
      <w:pPr>
        <w:pStyle w:val="88"/>
        <w:spacing w:before="312" w:beforeLines="100" w:after="312" w:afterLines="100"/>
        <w:ind w:left="0"/>
        <w:jc w:val="left"/>
        <w:outlineLvl w:val="0"/>
      </w:pPr>
      <w:bookmarkStart w:id="7" w:name="_Toc1141"/>
      <w:r>
        <w:rPr>
          <w:rFonts w:hint="eastAsia"/>
        </w:rPr>
        <w:t>范围</w:t>
      </w:r>
      <w:bookmarkEnd w:id="7"/>
    </w:p>
    <w:p>
      <w:pPr>
        <w:pStyle w:val="80"/>
        <w:tabs>
          <w:tab w:val="center" w:pos="4201"/>
          <w:tab w:val="right" w:leader="dot" w:pos="9298"/>
        </w:tabs>
        <w:ind w:firstLine="420"/>
        <w:rPr>
          <w:rFonts w:asciiTheme="minorEastAsia" w:hAnsiTheme="minorEastAsia" w:eastAsiaTheme="minorEastAsia"/>
        </w:rPr>
      </w:pPr>
      <w:r>
        <w:rPr>
          <w:rFonts w:hint="eastAsia" w:asciiTheme="minorEastAsia" w:hAnsiTheme="minorEastAsia" w:eastAsiaTheme="minorEastAsia"/>
        </w:rPr>
        <w:t>本文件规定了原生镁锭产品碳足迹的量化方法和要求，包括量化目的、量化范围、数据和数据质量、生命周期清单分析、产品碳足迹影响评价、产品碳足迹结果解释与报告和结果声明。</w:t>
      </w:r>
    </w:p>
    <w:p>
      <w:pPr>
        <w:pStyle w:val="80"/>
        <w:tabs>
          <w:tab w:val="center" w:pos="4201"/>
          <w:tab w:val="right" w:leader="dot" w:pos="9298"/>
        </w:tabs>
        <w:ind w:firstLine="420"/>
        <w:rPr>
          <w:rFonts w:asciiTheme="minorEastAsia" w:hAnsiTheme="minorEastAsia" w:eastAsiaTheme="minorEastAsia"/>
        </w:rPr>
      </w:pPr>
      <w:r>
        <w:rPr>
          <w:rFonts w:hint="eastAsia" w:asciiTheme="minorEastAsia" w:hAnsiTheme="minorEastAsia" w:eastAsiaTheme="minorEastAsia"/>
        </w:rPr>
        <w:t>本文件适用于原生镁锭产品的碳足迹量化。</w:t>
      </w:r>
    </w:p>
    <w:p>
      <w:pPr>
        <w:pStyle w:val="88"/>
        <w:spacing w:before="312" w:beforeLines="100" w:after="312" w:afterLines="100"/>
        <w:ind w:left="0"/>
        <w:jc w:val="left"/>
        <w:outlineLvl w:val="0"/>
        <w:rPr>
          <w:szCs w:val="22"/>
        </w:rPr>
      </w:pPr>
      <w:bookmarkStart w:id="8" w:name="_Toc102652267"/>
      <w:bookmarkStart w:id="9" w:name="_Toc23266"/>
      <w:r>
        <w:rPr>
          <w:rFonts w:hint="eastAsia"/>
          <w:szCs w:val="22"/>
        </w:rPr>
        <w:t>规范性引用文件</w:t>
      </w:r>
      <w:bookmarkEnd w:id="8"/>
      <w:bookmarkEnd w:id="9"/>
    </w:p>
    <w:p>
      <w:pPr>
        <w:pStyle w:val="80"/>
        <w:tabs>
          <w:tab w:val="center" w:pos="4201"/>
          <w:tab w:val="right" w:leader="dot" w:pos="9298"/>
        </w:tabs>
        <w:ind w:firstLine="420"/>
        <w:rPr>
          <w:rFonts w:asciiTheme="minorEastAsia" w:hAnsiTheme="minorEastAsia" w:eastAsiaTheme="minorEastAsia"/>
        </w:rPr>
      </w:pPr>
      <w:r>
        <w:rPr>
          <w:rFonts w:hint="eastAsia" w:asciiTheme="minorEastAsia" w:hAnsiTheme="minorEastAsia" w:eastAsiaTheme="minorEastAsia"/>
        </w:rPr>
        <w:t>下列文件中的内容通过文中的规范性引用而构成本文件必不可少的条款。其中，注明日期的引用文件，仅该日期对应的版本适用于本文件；不注明日期的引用文件，其最新版本适用于本文件。</w:t>
      </w:r>
    </w:p>
    <w:p>
      <w:pPr>
        <w:pStyle w:val="80"/>
        <w:ind w:firstLine="420"/>
        <w:contextualSpacing/>
        <w:rPr>
          <w:rFonts w:ascii="Times New Roman"/>
          <w:szCs w:val="21"/>
        </w:rPr>
      </w:pPr>
      <w:r>
        <w:rPr>
          <w:rFonts w:ascii="Times New Roman"/>
          <w:szCs w:val="21"/>
        </w:rPr>
        <w:t>GB/T</w:t>
      </w:r>
      <w:r>
        <w:rPr>
          <w:rFonts w:hint="eastAsia" w:ascii="Times New Roman"/>
          <w:szCs w:val="21"/>
        </w:rPr>
        <w:t xml:space="preserve"> 3499  原生镁锭</w:t>
      </w:r>
    </w:p>
    <w:p>
      <w:pPr>
        <w:pStyle w:val="80"/>
        <w:ind w:firstLine="420"/>
        <w:contextualSpacing/>
        <w:rPr>
          <w:rFonts w:ascii="Times New Roman"/>
          <w:szCs w:val="21"/>
        </w:rPr>
      </w:pPr>
      <w:r>
        <w:rPr>
          <w:rFonts w:hint="eastAsia" w:ascii="Times New Roman"/>
          <w:szCs w:val="21"/>
        </w:rPr>
        <w:t>GB/T 24025  环境标志和声明 III 型环境声明 原则和程序</w:t>
      </w:r>
    </w:p>
    <w:p>
      <w:pPr>
        <w:pStyle w:val="80"/>
        <w:ind w:firstLine="420"/>
        <w:contextualSpacing/>
        <w:rPr>
          <w:rFonts w:ascii="Times New Roman"/>
          <w:szCs w:val="21"/>
        </w:rPr>
      </w:pPr>
      <w:r>
        <w:rPr>
          <w:rFonts w:hint="eastAsia" w:ascii="Times New Roman"/>
          <w:szCs w:val="21"/>
        </w:rPr>
        <w:t>GB/T 24040  环境管理 生命周期评价 原则与框架</w:t>
      </w:r>
    </w:p>
    <w:p>
      <w:pPr>
        <w:pStyle w:val="80"/>
        <w:ind w:firstLine="420"/>
        <w:contextualSpacing/>
        <w:rPr>
          <w:rFonts w:ascii="Times New Roman"/>
          <w:szCs w:val="21"/>
        </w:rPr>
      </w:pPr>
      <w:r>
        <w:rPr>
          <w:rFonts w:hint="eastAsia" w:ascii="Times New Roman"/>
          <w:szCs w:val="21"/>
        </w:rPr>
        <w:t>GB/T 24044  环境管理 生命周期评价 要求与指南</w:t>
      </w:r>
    </w:p>
    <w:p>
      <w:pPr>
        <w:pStyle w:val="80"/>
        <w:ind w:firstLine="420"/>
        <w:contextualSpacing/>
        <w:rPr>
          <w:rFonts w:ascii="Times New Roman"/>
          <w:szCs w:val="21"/>
        </w:rPr>
      </w:pPr>
      <w:r>
        <w:rPr>
          <w:rFonts w:hint="eastAsia" w:ascii="Times New Roman"/>
        </w:rPr>
        <w:t>GB/T</w:t>
      </w:r>
      <w:r>
        <w:rPr>
          <w:rFonts w:hint="eastAsia" w:ascii="Times New Roman"/>
          <w:szCs w:val="21"/>
        </w:rPr>
        <w:t xml:space="preserve"> 24067　温室气体 产品碳足迹 量化要求和指南</w:t>
      </w:r>
    </w:p>
    <w:p>
      <w:pPr>
        <w:pStyle w:val="80"/>
        <w:ind w:firstLine="420"/>
        <w:contextualSpacing/>
        <w:rPr>
          <w:rFonts w:ascii="Times New Roman"/>
          <w:szCs w:val="21"/>
        </w:rPr>
      </w:pPr>
      <w:r>
        <w:rPr>
          <w:rFonts w:ascii="Times New Roman"/>
          <w:szCs w:val="21"/>
        </w:rPr>
        <w:t>ISO 14026</w:t>
      </w:r>
      <w:r>
        <w:rPr>
          <w:rFonts w:hint="eastAsia" w:ascii="Times New Roman"/>
          <w:szCs w:val="21"/>
        </w:rPr>
        <w:t xml:space="preserve">  环境标签和声明 足迹信息通信的原则、要求和指南（</w:t>
      </w:r>
      <w:r>
        <w:rPr>
          <w:rFonts w:ascii="Times New Roman"/>
          <w:szCs w:val="21"/>
        </w:rPr>
        <w:t>Environmental labels and declarations - Principles, requirements and guidelines for communication of footprint information</w:t>
      </w:r>
      <w:r>
        <w:rPr>
          <w:rFonts w:hint="eastAsia" w:ascii="Times New Roman"/>
          <w:szCs w:val="21"/>
        </w:rPr>
        <w:t>）</w:t>
      </w:r>
    </w:p>
    <w:p>
      <w:pPr>
        <w:pStyle w:val="88"/>
        <w:spacing w:before="312" w:beforeLines="100" w:after="312" w:afterLines="100"/>
        <w:ind w:left="0"/>
        <w:jc w:val="left"/>
        <w:outlineLvl w:val="0"/>
        <w:rPr>
          <w:szCs w:val="22"/>
        </w:rPr>
      </w:pPr>
      <w:bookmarkStart w:id="10" w:name="_Toc102652268"/>
      <w:bookmarkStart w:id="11" w:name="_Toc13165"/>
      <w:r>
        <w:rPr>
          <w:rFonts w:hint="eastAsia"/>
          <w:szCs w:val="22"/>
        </w:rPr>
        <w:t>术语和定义</w:t>
      </w:r>
      <w:bookmarkEnd w:id="10"/>
      <w:bookmarkEnd w:id="11"/>
    </w:p>
    <w:p>
      <w:pPr>
        <w:pStyle w:val="80"/>
        <w:tabs>
          <w:tab w:val="left" w:pos="1108"/>
        </w:tabs>
        <w:spacing w:before="156" w:beforeLines="50" w:after="156" w:afterLines="50"/>
        <w:ind w:firstLine="420"/>
        <w:rPr>
          <w:rFonts w:ascii="黑体" w:hAnsi="黑体" w:eastAsia="黑体"/>
        </w:rPr>
      </w:pPr>
      <w:bookmarkStart w:id="12" w:name="_Toc102633462"/>
      <w:bookmarkEnd w:id="12"/>
      <w:bookmarkStart w:id="13" w:name="_Toc101623814"/>
      <w:bookmarkEnd w:id="13"/>
      <w:bookmarkStart w:id="14" w:name="_Toc101108995"/>
      <w:bookmarkEnd w:id="14"/>
      <w:bookmarkStart w:id="15" w:name="_Toc101124453"/>
      <w:bookmarkEnd w:id="15"/>
      <w:bookmarkStart w:id="16" w:name="_Toc99802626"/>
      <w:bookmarkEnd w:id="16"/>
      <w:bookmarkStart w:id="17" w:name="_Toc98145308"/>
      <w:bookmarkEnd w:id="17"/>
      <w:bookmarkStart w:id="18" w:name="_Toc101553041"/>
      <w:bookmarkEnd w:id="18"/>
      <w:bookmarkStart w:id="19" w:name="_Toc100847018"/>
      <w:bookmarkEnd w:id="19"/>
      <w:bookmarkStart w:id="20" w:name="_Toc101108905"/>
      <w:bookmarkEnd w:id="20"/>
      <w:bookmarkStart w:id="21" w:name="_Toc99801247"/>
      <w:bookmarkEnd w:id="21"/>
      <w:bookmarkStart w:id="22" w:name="_Toc99792237"/>
      <w:bookmarkEnd w:id="22"/>
      <w:bookmarkStart w:id="23" w:name="_Toc100912067"/>
      <w:bookmarkEnd w:id="23"/>
      <w:bookmarkStart w:id="24" w:name="_Toc101552985"/>
      <w:bookmarkEnd w:id="24"/>
      <w:bookmarkStart w:id="25" w:name="_Toc99789415"/>
      <w:bookmarkEnd w:id="25"/>
      <w:bookmarkStart w:id="26" w:name="_Toc100911924"/>
      <w:bookmarkEnd w:id="26"/>
      <w:bookmarkStart w:id="27" w:name="_Toc101626319"/>
      <w:bookmarkEnd w:id="27"/>
      <w:bookmarkStart w:id="28" w:name="_Toc99802763"/>
      <w:bookmarkEnd w:id="28"/>
      <w:bookmarkStart w:id="29" w:name="_Toc99792120"/>
      <w:bookmarkEnd w:id="29"/>
      <w:bookmarkStart w:id="30" w:name="_Toc99791839"/>
      <w:bookmarkEnd w:id="30"/>
      <w:bookmarkStart w:id="31" w:name="_Toc100846988"/>
      <w:bookmarkEnd w:id="31"/>
      <w:bookmarkStart w:id="32" w:name="_Toc101108950"/>
      <w:bookmarkEnd w:id="32"/>
      <w:bookmarkStart w:id="33" w:name="_Toc102652269"/>
      <w:bookmarkEnd w:id="33"/>
      <w:bookmarkStart w:id="34" w:name="_Toc101552892"/>
      <w:bookmarkEnd w:id="34"/>
      <w:bookmarkStart w:id="35" w:name="_Toc101511240"/>
      <w:bookmarkEnd w:id="35"/>
      <w:bookmarkStart w:id="36" w:name="_Toc99801977"/>
      <w:bookmarkEnd w:id="36"/>
      <w:bookmarkStart w:id="37" w:name="_Toc101624473"/>
      <w:bookmarkEnd w:id="37"/>
      <w:bookmarkStart w:id="38" w:name="_Toc99803831"/>
      <w:bookmarkEnd w:id="38"/>
      <w:bookmarkStart w:id="39" w:name="_Toc100913285"/>
      <w:bookmarkEnd w:id="39"/>
      <w:bookmarkStart w:id="40" w:name="_Toc98144723"/>
      <w:bookmarkEnd w:id="40"/>
      <w:r>
        <w:rPr>
          <w:rFonts w:hint="eastAsia" w:ascii="Times New Roman"/>
          <w:szCs w:val="21"/>
        </w:rPr>
        <w:t>GB/T 24025、</w:t>
      </w:r>
      <w:r>
        <w:rPr>
          <w:rFonts w:hint="eastAsia" w:ascii="Times New Roman"/>
        </w:rPr>
        <w:t>GB/T 24040、GB/T 24044和GB/T</w:t>
      </w:r>
      <w:r>
        <w:rPr>
          <w:rFonts w:hint="eastAsia" w:ascii="Times New Roman"/>
          <w:szCs w:val="21"/>
        </w:rPr>
        <w:t xml:space="preserve"> 24067</w:t>
      </w:r>
      <w:r>
        <w:rPr>
          <w:rFonts w:hint="eastAsia" w:ascii="Times New Roman"/>
        </w:rPr>
        <w:t>界定的术语和定义适用于本文件。</w:t>
      </w:r>
    </w:p>
    <w:p>
      <w:pPr>
        <w:pStyle w:val="88"/>
        <w:spacing w:before="312" w:beforeLines="100" w:after="312" w:afterLines="100"/>
        <w:ind w:left="0"/>
        <w:jc w:val="left"/>
        <w:outlineLvl w:val="0"/>
        <w:rPr>
          <w:szCs w:val="22"/>
        </w:rPr>
      </w:pPr>
      <w:bookmarkStart w:id="41" w:name="_Toc28888"/>
      <w:bookmarkStart w:id="42" w:name="_Toc102652272"/>
      <w:r>
        <w:rPr>
          <w:rFonts w:hint="eastAsia"/>
          <w:szCs w:val="22"/>
        </w:rPr>
        <w:t>量化目的</w:t>
      </w:r>
    </w:p>
    <w:p>
      <w:pPr>
        <w:ind w:firstLine="420" w:firstLineChars="200"/>
        <w:rPr>
          <w:rFonts w:ascii="宋体" w:hAnsi="宋体" w:eastAsia="Arial" w:cs="Arial"/>
          <w:snapToGrid w:val="0"/>
          <w:color w:val="000000"/>
          <w:szCs w:val="21"/>
        </w:rPr>
      </w:pPr>
      <w:r>
        <w:rPr>
          <w:rFonts w:hint="eastAsia" w:ascii="宋体" w:hAnsi="宋体" w:eastAsia="Arial" w:cs="Arial"/>
          <w:snapToGrid w:val="0"/>
          <w:color w:val="000000"/>
          <w:szCs w:val="21"/>
        </w:rPr>
        <w:t>开展原生镁锭产品碳足迹量化的总体目的是结合取舍准则（见5.3），通过量化</w:t>
      </w:r>
      <w:r>
        <w:rPr>
          <w:rFonts w:hint="eastAsia"/>
        </w:rPr>
        <w:t>原生镁锭</w:t>
      </w:r>
      <w:r>
        <w:rPr>
          <w:rFonts w:hint="eastAsia" w:ascii="宋体" w:hAnsi="宋体" w:eastAsia="Arial" w:cs="Arial"/>
          <w:snapToGrid w:val="0"/>
          <w:color w:val="000000"/>
          <w:szCs w:val="21"/>
        </w:rPr>
        <w:t>产品系统边界内中所有显著的温室气体排放量和清除量，计算1t</w:t>
      </w:r>
      <w:r>
        <w:rPr>
          <w:rFonts w:hint="eastAsia"/>
        </w:rPr>
        <w:t>原生镁锭</w:t>
      </w:r>
      <w:r>
        <w:rPr>
          <w:rFonts w:hint="eastAsia" w:ascii="宋体" w:hAnsi="宋体" w:eastAsia="Arial" w:cs="Arial"/>
          <w:snapToGrid w:val="0"/>
          <w:color w:val="000000"/>
          <w:szCs w:val="21"/>
        </w:rPr>
        <w:t>对全球变暖的潜在贡献[以二氧化碳当量（CO</w:t>
      </w:r>
      <w:r>
        <w:rPr>
          <w:rFonts w:hint="eastAsia" w:ascii="宋体" w:hAnsi="宋体" w:eastAsia="Arial" w:cs="Arial"/>
          <w:snapToGrid w:val="0"/>
          <w:color w:val="000000"/>
          <w:szCs w:val="21"/>
          <w:vertAlign w:val="subscript"/>
        </w:rPr>
        <w:t>2</w:t>
      </w:r>
      <w:r>
        <w:rPr>
          <w:rFonts w:hint="eastAsia" w:ascii="宋体" w:hAnsi="宋体" w:eastAsia="Arial" w:cs="Arial"/>
          <w:snapToGrid w:val="0"/>
          <w:color w:val="000000"/>
          <w:szCs w:val="21"/>
        </w:rPr>
        <w:t>e）表示]。</w:t>
      </w:r>
    </w:p>
    <w:p>
      <w:pPr>
        <w:ind w:firstLine="420" w:firstLineChars="200"/>
        <w:rPr>
          <w:rFonts w:ascii="宋体" w:hAnsi="宋体" w:eastAsia="Arial" w:cs="Arial"/>
          <w:snapToGrid w:val="0"/>
          <w:color w:val="000000"/>
          <w:szCs w:val="21"/>
        </w:rPr>
      </w:pPr>
      <w:r>
        <w:rPr>
          <w:rFonts w:hint="eastAsia" w:ascii="宋体" w:hAnsi="宋体" w:eastAsia="Arial" w:cs="Arial"/>
          <w:snapToGrid w:val="0"/>
          <w:color w:val="000000"/>
          <w:szCs w:val="21"/>
        </w:rPr>
        <w:t>开展</w:t>
      </w:r>
      <w:r>
        <w:rPr>
          <w:rFonts w:hint="eastAsia"/>
        </w:rPr>
        <w:t>原生镁锭</w:t>
      </w:r>
      <w:r>
        <w:rPr>
          <w:rFonts w:hint="eastAsia" w:ascii="宋体" w:hAnsi="宋体" w:eastAsia="Arial" w:cs="Arial"/>
          <w:snapToGrid w:val="0"/>
          <w:color w:val="000000"/>
          <w:szCs w:val="21"/>
        </w:rPr>
        <w:t>产品碳足迹量化研究时，应明确说明以下问题：</w:t>
      </w:r>
    </w:p>
    <w:p>
      <w:pPr>
        <w:ind w:firstLine="420" w:firstLineChars="200"/>
        <w:rPr>
          <w:rFonts w:ascii="宋体" w:hAnsi="宋体" w:eastAsia="Arial" w:cs="Arial"/>
          <w:snapToGrid w:val="0"/>
          <w:color w:val="000000"/>
          <w:szCs w:val="21"/>
        </w:rPr>
      </w:pPr>
      <w:r>
        <w:rPr>
          <w:rFonts w:hint="eastAsia" w:ascii="宋体" w:hAnsi="宋体" w:eastAsia="Arial" w:cs="Arial"/>
          <w:snapToGrid w:val="0"/>
          <w:color w:val="000000"/>
          <w:szCs w:val="21"/>
        </w:rPr>
        <w:t>——应用意图；</w:t>
      </w:r>
    </w:p>
    <w:p>
      <w:pPr>
        <w:ind w:firstLine="420" w:firstLineChars="200"/>
        <w:rPr>
          <w:rFonts w:ascii="宋体" w:hAnsi="宋体" w:eastAsia="Arial" w:cs="Arial"/>
          <w:snapToGrid w:val="0"/>
          <w:color w:val="000000"/>
          <w:szCs w:val="21"/>
        </w:rPr>
      </w:pPr>
      <w:r>
        <w:rPr>
          <w:rFonts w:hint="eastAsia" w:ascii="宋体" w:hAnsi="宋体" w:eastAsia="Arial" w:cs="Arial"/>
          <w:snapToGrid w:val="0"/>
          <w:color w:val="000000"/>
          <w:szCs w:val="21"/>
        </w:rPr>
        <w:t>——开展该项研究的理由；</w:t>
      </w:r>
    </w:p>
    <w:p>
      <w:pPr>
        <w:ind w:firstLine="420" w:firstLineChars="200"/>
        <w:rPr>
          <w:rFonts w:ascii="宋体" w:hAnsi="宋体" w:eastAsia="Arial" w:cs="Arial"/>
          <w:snapToGrid w:val="0"/>
          <w:color w:val="000000"/>
          <w:szCs w:val="21"/>
        </w:rPr>
      </w:pPr>
      <w:r>
        <w:rPr>
          <w:rFonts w:hint="eastAsia" w:ascii="宋体" w:hAnsi="宋体" w:eastAsia="Arial" w:cs="Arial"/>
          <w:snapToGrid w:val="0"/>
          <w:color w:val="000000"/>
          <w:szCs w:val="21"/>
        </w:rPr>
        <w:t>——目标受众（即研究结果的接收者）；</w:t>
      </w:r>
    </w:p>
    <w:p>
      <w:pPr>
        <w:ind w:firstLine="420" w:firstLineChars="200"/>
      </w:pPr>
      <w:r>
        <w:rPr>
          <w:rFonts w:hint="eastAsia" w:ascii="宋体" w:hAnsi="宋体" w:eastAsia="Arial" w:cs="Arial"/>
          <w:snapToGrid w:val="0"/>
          <w:color w:val="000000"/>
          <w:szCs w:val="21"/>
        </w:rPr>
        <w:t>——符合ISO 14026要求，提供产品碳足迹交流信息（如有）。</w:t>
      </w:r>
    </w:p>
    <w:bookmarkEnd w:id="41"/>
    <w:bookmarkEnd w:id="42"/>
    <w:p>
      <w:pPr>
        <w:pStyle w:val="88"/>
        <w:spacing w:before="312" w:beforeLines="100" w:after="312" w:afterLines="100"/>
        <w:ind w:left="0"/>
        <w:jc w:val="left"/>
        <w:outlineLvl w:val="0"/>
        <w:rPr>
          <w:szCs w:val="22"/>
        </w:rPr>
      </w:pPr>
      <w:r>
        <w:rPr>
          <w:rFonts w:hint="eastAsia"/>
          <w:szCs w:val="22"/>
        </w:rPr>
        <w:t>量化范围</w:t>
      </w:r>
    </w:p>
    <w:p>
      <w:pPr>
        <w:pStyle w:val="80"/>
        <w:numPr>
          <w:ilvl w:val="1"/>
          <w:numId w:val="13"/>
        </w:numPr>
        <w:spacing w:before="156" w:beforeLines="50" w:after="156" w:afterLines="50"/>
        <w:ind w:firstLineChars="0"/>
        <w:outlineLvl w:val="1"/>
        <w:rPr>
          <w:rFonts w:ascii="黑体" w:hAnsi="黑体" w:eastAsia="黑体" w:cs="黑体"/>
          <w:szCs w:val="22"/>
        </w:rPr>
      </w:pPr>
      <w:r>
        <w:rPr>
          <w:rFonts w:hint="eastAsia" w:ascii="黑体" w:hAnsi="黑体" w:eastAsia="黑体" w:cs="黑体"/>
          <w:szCs w:val="22"/>
        </w:rPr>
        <w:t>声明</w:t>
      </w:r>
      <w:r>
        <w:rPr>
          <w:rFonts w:ascii="黑体" w:hAnsi="黑体" w:eastAsia="黑体" w:cs="黑体"/>
          <w:szCs w:val="22"/>
        </w:rPr>
        <w:t>单位</w:t>
      </w:r>
    </w:p>
    <w:p>
      <w:pPr>
        <w:rPr>
          <w:szCs w:val="22"/>
        </w:rPr>
      </w:pPr>
      <w:bookmarkStart w:id="43" w:name="_Toc102652273"/>
      <w:r>
        <w:rPr>
          <w:rFonts w:hint="eastAsia" w:ascii="黑体" w:hAnsi="黑体" w:eastAsia="黑体" w:cs="黑体"/>
        </w:rPr>
        <w:t xml:space="preserve">5.1.1 </w:t>
      </w:r>
      <w:r>
        <w:rPr>
          <w:rFonts w:hint="eastAsia"/>
        </w:rPr>
        <w:t>本文件涉及产品碳足迹的声明单位为符合GB/T 3499规定的1t原生镁锭。</w:t>
      </w:r>
      <w:r>
        <w:rPr>
          <w:rFonts w:hint="eastAsia"/>
        </w:rPr>
        <w:tab/>
      </w:r>
    </w:p>
    <w:p>
      <w:r>
        <w:rPr>
          <w:rFonts w:hint="eastAsia" w:ascii="黑体" w:hAnsi="黑体" w:eastAsia="黑体" w:cs="黑体"/>
        </w:rPr>
        <w:t xml:space="preserve">5.1.2 </w:t>
      </w:r>
      <w:r>
        <w:rPr>
          <w:rFonts w:hint="eastAsia"/>
        </w:rPr>
        <w:t>产品描述应使用户能够清晰识别产品，原生镁锭按照GB/T 3499</w:t>
      </w:r>
      <w:r>
        <w:rPr>
          <w:rFonts w:hint="eastAsia"/>
          <w:szCs w:val="21"/>
        </w:rPr>
        <w:t>的要求进行描述，</w:t>
      </w:r>
      <w:r>
        <w:rPr>
          <w:rFonts w:hint="eastAsia"/>
        </w:rPr>
        <w:t>对其描述包括但不限于：</w:t>
      </w:r>
    </w:p>
    <w:p>
      <w:pPr>
        <w:pStyle w:val="2"/>
        <w:numPr>
          <w:ilvl w:val="0"/>
          <w:numId w:val="14"/>
        </w:numPr>
        <w:ind w:firstLineChars="0"/>
      </w:pPr>
      <w:r>
        <w:rPr>
          <w:rFonts w:hint="eastAsia"/>
        </w:rPr>
        <w:t>产品名称；</w:t>
      </w:r>
    </w:p>
    <w:p>
      <w:pPr>
        <w:pStyle w:val="2"/>
        <w:numPr>
          <w:ilvl w:val="0"/>
          <w:numId w:val="14"/>
        </w:numPr>
        <w:ind w:firstLineChars="0"/>
      </w:pPr>
      <w:r>
        <w:rPr>
          <w:rFonts w:hint="eastAsia"/>
        </w:rPr>
        <w:t>产品牌号；</w:t>
      </w:r>
    </w:p>
    <w:p>
      <w:pPr>
        <w:pStyle w:val="2"/>
        <w:numPr>
          <w:ilvl w:val="0"/>
          <w:numId w:val="14"/>
        </w:numPr>
        <w:ind w:firstLineChars="0"/>
      </w:pPr>
      <w:r>
        <w:rPr>
          <w:rFonts w:hint="eastAsia"/>
        </w:rPr>
        <w:t>产品批号；</w:t>
      </w:r>
    </w:p>
    <w:p>
      <w:pPr>
        <w:pStyle w:val="2"/>
        <w:numPr>
          <w:ilvl w:val="0"/>
          <w:numId w:val="14"/>
        </w:numPr>
        <w:ind w:firstLineChars="0"/>
      </w:pPr>
      <w:r>
        <w:rPr>
          <w:rFonts w:hint="eastAsia"/>
        </w:rPr>
        <w:t>生产炉型；</w:t>
      </w:r>
    </w:p>
    <w:p>
      <w:pPr>
        <w:pStyle w:val="2"/>
        <w:numPr>
          <w:ilvl w:val="0"/>
          <w:numId w:val="14"/>
        </w:numPr>
        <w:ind w:firstLineChars="0"/>
      </w:pPr>
      <w:r>
        <w:rPr>
          <w:rFonts w:hint="eastAsia"/>
        </w:rPr>
        <w:t>产品重量；</w:t>
      </w:r>
    </w:p>
    <w:p>
      <w:pPr>
        <w:pStyle w:val="2"/>
        <w:numPr>
          <w:ilvl w:val="0"/>
          <w:numId w:val="14"/>
        </w:numPr>
        <w:ind w:firstLineChars="0"/>
      </w:pPr>
      <w:r>
        <w:rPr>
          <w:rFonts w:hint="eastAsia"/>
        </w:rPr>
        <w:t>产品分析检验单；</w:t>
      </w:r>
    </w:p>
    <w:p>
      <w:pPr>
        <w:pStyle w:val="2"/>
        <w:numPr>
          <w:ilvl w:val="0"/>
          <w:numId w:val="14"/>
        </w:numPr>
        <w:ind w:firstLineChars="0"/>
      </w:pPr>
      <w:r>
        <w:rPr>
          <w:rFonts w:hint="eastAsia"/>
        </w:rPr>
        <w:t>注册商标；</w:t>
      </w:r>
    </w:p>
    <w:p>
      <w:pPr>
        <w:pStyle w:val="2"/>
        <w:numPr>
          <w:ilvl w:val="0"/>
          <w:numId w:val="14"/>
        </w:numPr>
        <w:ind w:firstLineChars="0"/>
        <w:rPr>
          <w:szCs w:val="22"/>
        </w:rPr>
      </w:pPr>
      <w:r>
        <w:rPr>
          <w:rFonts w:hint="eastAsia"/>
        </w:rPr>
        <w:t>出厂日期。</w:t>
      </w:r>
      <w:r>
        <w:rPr>
          <w:rFonts w:hint="eastAsia"/>
        </w:rPr>
        <w:tab/>
      </w:r>
      <w:bookmarkEnd w:id="43"/>
    </w:p>
    <w:p>
      <w:pPr>
        <w:pStyle w:val="2"/>
        <w:widowControl/>
        <w:numPr>
          <w:ilvl w:val="0"/>
          <w:numId w:val="15"/>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5"/>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6"/>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6"/>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6"/>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6"/>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6"/>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2"/>
        <w:widowControl/>
        <w:numPr>
          <w:ilvl w:val="0"/>
          <w:numId w:val="16"/>
        </w:numPr>
        <w:autoSpaceDE w:val="0"/>
        <w:autoSpaceDN w:val="0"/>
        <w:spacing w:before="156" w:beforeLines="50" w:after="156" w:afterLines="50"/>
        <w:ind w:firstLineChars="0"/>
        <w:rPr>
          <w:rFonts w:ascii="黑体" w:hAnsi="黑体" w:eastAsia="黑体" w:cs="黑体"/>
          <w:vanish/>
          <w:kern w:val="0"/>
          <w:szCs w:val="22"/>
          <w:highlight w:val="yellow"/>
        </w:rPr>
      </w:pPr>
    </w:p>
    <w:p>
      <w:pPr>
        <w:pStyle w:val="80"/>
        <w:numPr>
          <w:ilvl w:val="1"/>
          <w:numId w:val="13"/>
        </w:numPr>
        <w:spacing w:before="156" w:beforeLines="50" w:after="156" w:afterLines="50"/>
        <w:ind w:firstLineChars="0"/>
        <w:outlineLvl w:val="1"/>
        <w:rPr>
          <w:rFonts w:ascii="黑体" w:hAnsi="黑体" w:eastAsia="黑体" w:cs="黑体"/>
          <w:szCs w:val="22"/>
        </w:rPr>
      </w:pPr>
      <w:bookmarkStart w:id="44" w:name="_Toc25933"/>
      <w:r>
        <w:rPr>
          <w:rFonts w:hint="eastAsia" w:ascii="黑体" w:hAnsi="黑体" w:eastAsia="黑体" w:cs="黑体"/>
          <w:szCs w:val="22"/>
        </w:rPr>
        <w:t>系统边界</w:t>
      </w:r>
      <w:bookmarkEnd w:id="44"/>
    </w:p>
    <w:p>
      <w:pPr>
        <w:pStyle w:val="80"/>
        <w:numPr>
          <w:ilvl w:val="2"/>
          <w:numId w:val="13"/>
        </w:numPr>
        <w:spacing w:before="156" w:beforeLines="50" w:after="156" w:afterLines="50"/>
        <w:ind w:firstLineChars="0"/>
        <w:outlineLvl w:val="2"/>
        <w:rPr>
          <w:rFonts w:ascii="黑体" w:hAnsi="黑体" w:eastAsia="黑体" w:cs="黑体"/>
          <w:szCs w:val="22"/>
        </w:rPr>
      </w:pPr>
      <w:r>
        <w:rPr>
          <w:rFonts w:hint="eastAsia" w:ascii="黑体" w:hAnsi="黑体" w:eastAsia="黑体" w:cs="黑体"/>
          <w:szCs w:val="22"/>
        </w:rPr>
        <w:t>边界设定</w:t>
      </w:r>
    </w:p>
    <w:p>
      <w:pPr>
        <w:ind w:firstLine="420" w:firstLineChars="200"/>
      </w:pPr>
      <w:r>
        <w:rPr>
          <w:rFonts w:hint="eastAsia"/>
        </w:rPr>
        <w:t>原生镁锭“从摇篮到大门”的碳足迹量化范围，主要包含原辅材料和能源获取阶段、产品生产阶段。</w:t>
      </w:r>
    </w:p>
    <w:p>
      <w:pPr>
        <w:ind w:firstLine="420" w:firstLineChars="200"/>
      </w:pPr>
      <w:r>
        <w:rPr>
          <w:rFonts w:hint="eastAsia"/>
        </w:rPr>
        <w:t>系统边界决定产品碳足迹评价所涵盖的单元过程，应确定纳入产品碳足迹评价的单元过程，以及对这些单元过程的评价应达到的详细程度。原生镁锭生命周期的系统边界如图1所示，即从白云石等获取到原生镁锭离开制造商厂大门为止。</w:t>
      </w:r>
    </w:p>
    <w:p>
      <w:pPr>
        <w:jc w:val="center"/>
        <w:rPr>
          <w:rFonts w:ascii="黑体" w:hAnsi="黑体" w:eastAsia="黑体" w:cs="黑体"/>
          <w:kern w:val="0"/>
          <w:szCs w:val="22"/>
        </w:rPr>
      </w:pPr>
      <w:r>
        <w:rPr>
          <w:rFonts w:hint="eastAsia" w:ascii="黑体" w:hAnsi="黑体" w:eastAsia="黑体" w:cs="黑体"/>
          <w:kern w:val="0"/>
          <w:szCs w:val="22"/>
        </w:rPr>
        <w:drawing>
          <wp:inline distT="0" distB="0" distL="114300" distR="114300">
            <wp:extent cx="4626610" cy="3799205"/>
            <wp:effectExtent l="0" t="0" r="0" b="0"/>
            <wp:docPr id="4" name="ECB019B1-382A-4266-B25C-5B523AA43C14-1" descr="C:/Users/m1399/AppData/Local/Temp/wps.XjDED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m1399/AppData/Local/Temp/wps.XjDEDfwps"/>
                    <pic:cNvPicPr>
                      <a:picLocks noChangeAspect="1"/>
                    </pic:cNvPicPr>
                  </pic:nvPicPr>
                  <pic:blipFill>
                    <a:blip r:embed="rId13"/>
                    <a:srcRect l="6962" t="5201" r="4357" b="7634"/>
                    <a:stretch>
                      <a:fillRect/>
                    </a:stretch>
                  </pic:blipFill>
                  <pic:spPr>
                    <a:xfrm>
                      <a:off x="0" y="0"/>
                      <a:ext cx="4626610" cy="3799205"/>
                    </a:xfrm>
                    <a:prstGeom prst="rect">
                      <a:avLst/>
                    </a:prstGeom>
                  </pic:spPr>
                </pic:pic>
              </a:graphicData>
            </a:graphic>
          </wp:inline>
        </w:drawing>
      </w:r>
    </w:p>
    <w:p>
      <w:pPr>
        <w:ind w:firstLine="420" w:firstLineChars="200"/>
        <w:jc w:val="center"/>
        <w:rPr>
          <w:rFonts w:ascii="黑体" w:hAnsi="黑体" w:eastAsia="黑体" w:cs="黑体"/>
          <w:kern w:val="0"/>
          <w:szCs w:val="22"/>
        </w:rPr>
      </w:pPr>
      <w:r>
        <w:rPr>
          <w:rFonts w:hint="eastAsia" w:ascii="黑体" w:hAnsi="黑体" w:eastAsia="黑体" w:cs="黑体"/>
          <w:kern w:val="0"/>
          <w:szCs w:val="22"/>
        </w:rPr>
        <w:t>图1  原生镁锭产品生命周期系统边界图</w:t>
      </w:r>
    </w:p>
    <w:p>
      <w:pPr>
        <w:pStyle w:val="80"/>
        <w:numPr>
          <w:ilvl w:val="2"/>
          <w:numId w:val="13"/>
        </w:numPr>
        <w:spacing w:before="156" w:beforeLines="50" w:after="156" w:afterLines="50"/>
        <w:ind w:firstLineChars="0"/>
        <w:outlineLvl w:val="2"/>
        <w:rPr>
          <w:rFonts w:ascii="黑体" w:hAnsi="黑体" w:eastAsia="黑体" w:cs="黑体"/>
          <w:szCs w:val="22"/>
        </w:rPr>
      </w:pPr>
      <w:r>
        <w:rPr>
          <w:rFonts w:hint="eastAsia" w:ascii="黑体" w:hAnsi="黑体" w:eastAsia="黑体" w:cs="黑体"/>
          <w:szCs w:val="22"/>
        </w:rPr>
        <w:t>原辅材料和能源获取阶段</w:t>
      </w:r>
    </w:p>
    <w:p>
      <w:pPr>
        <w:ind w:firstLine="420" w:firstLineChars="200"/>
      </w:pPr>
      <w:r>
        <w:rPr>
          <w:rFonts w:hint="eastAsia"/>
        </w:rPr>
        <w:t>原辅材料和能源获取阶段从自然界材料提取时开始，在原辅材料和能源到达原生镁锭生产企业工厂时终止。</w:t>
      </w:r>
    </w:p>
    <w:p>
      <w:pPr>
        <w:ind w:firstLine="420" w:firstLineChars="200"/>
      </w:pPr>
      <w:r>
        <w:rPr>
          <w:rFonts w:hint="eastAsia"/>
        </w:rPr>
        <w:t>原辅材料和能源获取阶段包括但不限于以下过程：</w:t>
      </w:r>
    </w:p>
    <w:p>
      <w:pPr>
        <w:pStyle w:val="2"/>
        <w:numPr>
          <w:ilvl w:val="0"/>
          <w:numId w:val="17"/>
        </w:numPr>
        <w:ind w:firstLineChars="0"/>
      </w:pPr>
      <w:r>
        <w:rPr>
          <w:rFonts w:hint="eastAsia"/>
        </w:rPr>
        <w:t>原辅材料的获取与运输分销（例如：白云石、硅铁、萤石等）；</w:t>
      </w:r>
    </w:p>
    <w:p>
      <w:pPr>
        <w:pStyle w:val="2"/>
        <w:numPr>
          <w:ilvl w:val="0"/>
          <w:numId w:val="17"/>
        </w:numPr>
        <w:ind w:firstLineChars="0"/>
      </w:pPr>
      <w:r>
        <w:rPr>
          <w:rFonts w:hint="eastAsia"/>
        </w:rPr>
        <w:t>能源的获取与运输分销（例如：汽油、柴油、煤、天然气、电力、热力等）。</w:t>
      </w:r>
    </w:p>
    <w:p>
      <w:pPr>
        <w:pStyle w:val="80"/>
        <w:numPr>
          <w:ilvl w:val="2"/>
          <w:numId w:val="13"/>
        </w:numPr>
        <w:spacing w:before="156" w:beforeLines="50" w:after="156" w:afterLines="50"/>
        <w:ind w:firstLineChars="0"/>
        <w:outlineLvl w:val="2"/>
        <w:rPr>
          <w:rFonts w:ascii="黑体" w:hAnsi="黑体" w:eastAsia="黑体" w:cs="黑体"/>
          <w:szCs w:val="22"/>
        </w:rPr>
      </w:pPr>
      <w:r>
        <w:rPr>
          <w:rFonts w:hint="eastAsia" w:ascii="黑体" w:hAnsi="黑体" w:eastAsia="黑体" w:cs="黑体"/>
          <w:szCs w:val="22"/>
        </w:rPr>
        <w:t>产品生产阶段</w:t>
      </w:r>
    </w:p>
    <w:p>
      <w:pPr>
        <w:ind w:firstLine="420" w:firstLineChars="200"/>
      </w:pPr>
      <w:r>
        <w:rPr>
          <w:rFonts w:hint="eastAsia"/>
        </w:rPr>
        <w:t>原生镁锭生产的基本流程包括制气、煅烧、制备、还原、精炼等工序。</w:t>
      </w:r>
    </w:p>
    <w:p>
      <w:pPr>
        <w:ind w:firstLine="420" w:firstLineChars="200"/>
      </w:pPr>
      <w:r>
        <w:rPr>
          <w:rFonts w:hint="eastAsia"/>
        </w:rPr>
        <w:t>原生镁锭生产阶段从白云石、硅铁、萤石等原辅材料进入工厂开始，到原生镁锭产品出生产企业大门终止，包括以下过程：</w:t>
      </w:r>
    </w:p>
    <w:p>
      <w:pPr>
        <w:pStyle w:val="2"/>
        <w:numPr>
          <w:ilvl w:val="0"/>
          <w:numId w:val="18"/>
        </w:numPr>
        <w:ind w:firstLineChars="0"/>
      </w:pPr>
      <w:r>
        <w:rPr>
          <w:rFonts w:hint="eastAsia"/>
        </w:rPr>
        <w:t>白云石、硅铁、萤石等原辅料运输；</w:t>
      </w:r>
    </w:p>
    <w:p>
      <w:pPr>
        <w:pStyle w:val="2"/>
        <w:numPr>
          <w:ilvl w:val="0"/>
          <w:numId w:val="18"/>
        </w:numPr>
        <w:ind w:firstLineChars="0"/>
      </w:pPr>
      <w:r>
        <w:rPr>
          <w:rFonts w:hint="eastAsia"/>
        </w:rPr>
        <w:t>白云石煅烧；</w:t>
      </w:r>
    </w:p>
    <w:p>
      <w:pPr>
        <w:pStyle w:val="2"/>
        <w:numPr>
          <w:ilvl w:val="0"/>
          <w:numId w:val="18"/>
        </w:numPr>
        <w:ind w:firstLineChars="0"/>
      </w:pPr>
      <w:r>
        <w:rPr>
          <w:rFonts w:hint="eastAsia"/>
        </w:rPr>
        <w:t>煅白配料压球；</w:t>
      </w:r>
    </w:p>
    <w:p>
      <w:pPr>
        <w:pStyle w:val="2"/>
        <w:numPr>
          <w:ilvl w:val="0"/>
          <w:numId w:val="18"/>
        </w:numPr>
        <w:ind w:firstLineChars="0"/>
      </w:pPr>
      <w:r>
        <w:rPr>
          <w:rFonts w:hint="eastAsia"/>
        </w:rPr>
        <w:t>还原；</w:t>
      </w:r>
    </w:p>
    <w:p>
      <w:pPr>
        <w:pStyle w:val="2"/>
        <w:numPr>
          <w:ilvl w:val="0"/>
          <w:numId w:val="18"/>
        </w:numPr>
        <w:ind w:firstLineChars="0"/>
      </w:pPr>
      <w:r>
        <w:rPr>
          <w:rFonts w:hint="eastAsia"/>
        </w:rPr>
        <w:t>精炼；</w:t>
      </w:r>
    </w:p>
    <w:p>
      <w:pPr>
        <w:pStyle w:val="2"/>
        <w:numPr>
          <w:ilvl w:val="0"/>
          <w:numId w:val="18"/>
        </w:numPr>
        <w:ind w:firstLineChars="0"/>
      </w:pPr>
      <w:r>
        <w:rPr>
          <w:rFonts w:hint="eastAsia"/>
        </w:rPr>
        <w:t>铸锭；</w:t>
      </w:r>
    </w:p>
    <w:p>
      <w:pPr>
        <w:pStyle w:val="2"/>
        <w:numPr>
          <w:ilvl w:val="0"/>
          <w:numId w:val="18"/>
        </w:numPr>
        <w:ind w:firstLineChars="0"/>
      </w:pPr>
      <w:r>
        <w:rPr>
          <w:rFonts w:hint="eastAsia"/>
        </w:rPr>
        <w:t>镁渣综合利用；</w:t>
      </w:r>
    </w:p>
    <w:p>
      <w:pPr>
        <w:pStyle w:val="2"/>
        <w:numPr>
          <w:ilvl w:val="0"/>
          <w:numId w:val="18"/>
        </w:numPr>
        <w:ind w:firstLineChars="0"/>
      </w:pPr>
      <w:r>
        <w:rPr>
          <w:rFonts w:hint="eastAsia"/>
        </w:rPr>
        <w:t>辅助材料生产与运输相关过程；</w:t>
      </w:r>
    </w:p>
    <w:p>
      <w:pPr>
        <w:pStyle w:val="2"/>
        <w:numPr>
          <w:ilvl w:val="0"/>
          <w:numId w:val="18"/>
        </w:numPr>
        <w:ind w:firstLineChars="0"/>
      </w:pPr>
      <w:r>
        <w:rPr>
          <w:rFonts w:hint="eastAsia"/>
        </w:rPr>
        <w:t>燃料及电（热）力等能源消耗相关过程；</w:t>
      </w:r>
    </w:p>
    <w:p>
      <w:pPr>
        <w:pStyle w:val="2"/>
        <w:numPr>
          <w:ilvl w:val="0"/>
          <w:numId w:val="18"/>
        </w:numPr>
        <w:ind w:firstLineChars="0"/>
      </w:pPr>
      <w:r>
        <w:rPr>
          <w:rFonts w:hint="eastAsia"/>
        </w:rPr>
        <w:t>原生镁锭储运过程。</w:t>
      </w:r>
    </w:p>
    <w:p>
      <w:pPr>
        <w:pStyle w:val="80"/>
        <w:numPr>
          <w:ilvl w:val="1"/>
          <w:numId w:val="13"/>
        </w:numPr>
        <w:spacing w:before="156" w:beforeLines="50" w:after="156" w:afterLines="50"/>
        <w:ind w:firstLineChars="0"/>
        <w:outlineLvl w:val="1"/>
        <w:rPr>
          <w:rFonts w:ascii="黑体" w:hAnsi="黑体" w:eastAsia="黑体" w:cs="黑体"/>
          <w:szCs w:val="22"/>
        </w:rPr>
      </w:pPr>
      <w:bookmarkStart w:id="45" w:name="_Toc2396"/>
      <w:r>
        <w:rPr>
          <w:rFonts w:hint="eastAsia" w:ascii="黑体" w:hAnsi="黑体" w:eastAsia="黑体" w:cs="黑体"/>
          <w:szCs w:val="22"/>
        </w:rPr>
        <w:t>取舍准则</w:t>
      </w:r>
      <w:bookmarkEnd w:id="45"/>
    </w:p>
    <w:p>
      <w:pPr>
        <w:pStyle w:val="2"/>
      </w:pPr>
      <w:r>
        <w:rPr>
          <w:rFonts w:hint="eastAsia"/>
        </w:rPr>
        <w:t>产品碳足迹研究应包括所研究系统的所有单元过程和流。当个别物质流或能量流对某一单元过程的碳足迹无显著贡献时，可将其作为数据排除项排除并应进行报告。应在目的和范围界定阶段确定一致的取舍准则，所选取舍准则对研究结果的影响也应在产品碳足迹研究报告中进行评价和描述。</w:t>
      </w:r>
    </w:p>
    <w:p>
      <w:pPr>
        <w:pStyle w:val="2"/>
        <w:spacing w:line="276" w:lineRule="auto"/>
      </w:pPr>
      <w:r>
        <w:rPr>
          <w:rFonts w:hint="eastAsia"/>
        </w:rPr>
        <w:t>原生镁锭生产过程中，可舍弃产品碳足迹影响小于1%的环节，但舍弃环节总的影响不应超过产品碳足迹总量的5%。所排除单元过程舍去的温室气体排放与清除应有书面记录。</w:t>
      </w:r>
    </w:p>
    <w:p>
      <w:pPr>
        <w:pStyle w:val="2"/>
        <w:ind w:firstLine="360"/>
      </w:pPr>
      <w:r>
        <w:rPr>
          <w:rFonts w:hint="eastAsia" w:ascii="黑体" w:hAnsi="黑体" w:eastAsia="黑体" w:cs="黑体"/>
          <w:sz w:val="18"/>
          <w:szCs w:val="21"/>
        </w:rPr>
        <w:t>注：</w:t>
      </w:r>
      <w:r>
        <w:rPr>
          <w:rFonts w:hint="eastAsia"/>
          <w:sz w:val="18"/>
          <w:szCs w:val="21"/>
        </w:rPr>
        <w:t>关于取舍准则的额外指南见GB/T 24044-2008中4.2.3.3.3。</w:t>
      </w:r>
    </w:p>
    <w:p>
      <w:pPr>
        <w:pStyle w:val="88"/>
        <w:spacing w:before="312" w:beforeLines="100" w:after="312" w:afterLines="100"/>
        <w:ind w:left="0"/>
        <w:jc w:val="left"/>
        <w:outlineLvl w:val="0"/>
        <w:rPr>
          <w:szCs w:val="22"/>
        </w:rPr>
      </w:pPr>
      <w:bookmarkStart w:id="46" w:name="_Toc6277"/>
      <w:r>
        <w:rPr>
          <w:rFonts w:hint="eastAsia"/>
          <w:szCs w:val="22"/>
        </w:rPr>
        <w:t>清单分析</w:t>
      </w:r>
    </w:p>
    <w:bookmarkEnd w:id="46"/>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19"/>
        </w:numPr>
        <w:autoSpaceDE w:val="0"/>
        <w:autoSpaceDN w:val="0"/>
        <w:spacing w:before="156" w:beforeLines="50" w:after="156" w:afterLines="50"/>
        <w:ind w:firstLineChars="0"/>
        <w:rPr>
          <w:rFonts w:ascii="黑体" w:hAnsi="黑体" w:eastAsia="黑体" w:cs="黑体"/>
          <w:vanish/>
          <w:kern w:val="0"/>
          <w:szCs w:val="22"/>
        </w:rPr>
      </w:pPr>
    </w:p>
    <w:p>
      <w:pPr>
        <w:pStyle w:val="80"/>
        <w:numPr>
          <w:ilvl w:val="1"/>
          <w:numId w:val="20"/>
        </w:numPr>
        <w:spacing w:before="156" w:beforeLines="50" w:after="156" w:afterLines="50"/>
        <w:ind w:firstLineChars="0"/>
        <w:outlineLvl w:val="1"/>
        <w:rPr>
          <w:rFonts w:ascii="黑体" w:hAnsi="黑体" w:eastAsia="黑体" w:cs="黑体"/>
          <w:szCs w:val="22"/>
        </w:rPr>
      </w:pPr>
      <w:bookmarkStart w:id="47" w:name="_Toc637"/>
      <w:r>
        <w:rPr>
          <w:rFonts w:hint="eastAsia" w:ascii="黑体" w:hAnsi="黑体" w:eastAsia="黑体" w:cs="黑体"/>
          <w:szCs w:val="22"/>
        </w:rPr>
        <w:t>数据收集和确认</w:t>
      </w:r>
    </w:p>
    <w:p>
      <w:pPr>
        <w:pStyle w:val="80"/>
        <w:numPr>
          <w:ilvl w:val="2"/>
          <w:numId w:val="20"/>
        </w:numPr>
        <w:spacing w:before="156" w:beforeLines="50" w:after="156" w:afterLines="50"/>
        <w:ind w:firstLineChars="0"/>
        <w:rPr>
          <w:rFonts w:ascii="黑体" w:hAnsi="黑体" w:eastAsia="黑体"/>
        </w:rPr>
      </w:pPr>
      <w:r>
        <w:rPr>
          <w:rFonts w:hint="eastAsia" w:ascii="黑体" w:hAnsi="黑体" w:eastAsia="黑体"/>
        </w:rPr>
        <w:t>数据</w:t>
      </w:r>
      <w:bookmarkEnd w:id="47"/>
      <w:r>
        <w:rPr>
          <w:rFonts w:hint="eastAsia" w:ascii="黑体" w:hAnsi="黑体" w:eastAsia="黑体"/>
        </w:rPr>
        <w:t>收集</w:t>
      </w:r>
    </w:p>
    <w:p>
      <w:pPr>
        <w:pStyle w:val="2"/>
        <w:numPr>
          <w:ilvl w:val="255"/>
          <w:numId w:val="0"/>
        </w:numPr>
      </w:pPr>
      <w:r>
        <w:rPr>
          <w:rFonts w:hint="eastAsia" w:ascii="黑体" w:hAnsi="黑体" w:eastAsia="黑体" w:cs="黑体"/>
        </w:rPr>
        <w:t>6.1.1.1</w:t>
      </w:r>
      <w:r>
        <w:rPr>
          <w:rFonts w:hint="eastAsia"/>
        </w:rPr>
        <w:t>原生镁锭碳足迹各阶段数据收集表见表1。原生镁锭生产实物输入、输出数据列表示例见附录A。当开展产品碳足迹研究的组织拥有财务或运营控制权时，应收集现场数据。所收集的数据应具有代表性。对产品碳足迹贡献度不低于50%的单元过程，即使不在财务或运营控制下，宜使用现场数据。非现场数据可使用次级数据，次级数据宜经第三方评审，同时数据格式应满足相关标准要求。次级数据可来源于国家数据库、公开文献或其他具有代表性的数据。</w:t>
      </w:r>
    </w:p>
    <w:p>
      <w:pPr>
        <w:pStyle w:val="87"/>
        <w:numPr>
          <w:ilvl w:val="255"/>
          <w:numId w:val="0"/>
        </w:numPr>
        <w:spacing w:beforeLines="0" w:afterLines="0" w:line="276" w:lineRule="auto"/>
        <w:jc w:val="center"/>
        <w:outlineLvl w:val="9"/>
        <w:rPr>
          <w:rFonts w:ascii="Times New Roman"/>
        </w:rPr>
      </w:pPr>
      <w:bookmarkStart w:id="48" w:name="_Toc4137"/>
      <w:r>
        <w:rPr>
          <w:rFonts w:hint="eastAsia" w:hAnsi="黑体" w:cs="黑体"/>
        </w:rPr>
        <w:t>表1 各阶段数据收集表</w:t>
      </w:r>
      <w:bookmarkEnd w:id="48"/>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596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22" w:type="dxa"/>
            <w:vAlign w:val="center"/>
          </w:tcPr>
          <w:p>
            <w:pPr>
              <w:pStyle w:val="80"/>
              <w:widowControl w:val="0"/>
              <w:ind w:firstLine="0" w:firstLineChars="0"/>
              <w:jc w:val="center"/>
              <w:rPr>
                <w:rFonts w:ascii="Times New Roman"/>
                <w:sz w:val="18"/>
                <w:szCs w:val="18"/>
              </w:rPr>
            </w:pPr>
            <w:r>
              <w:rPr>
                <w:rFonts w:ascii="Times New Roman"/>
                <w:sz w:val="18"/>
                <w:szCs w:val="18"/>
              </w:rPr>
              <w:t>所属阶段</w:t>
            </w:r>
          </w:p>
        </w:tc>
        <w:tc>
          <w:tcPr>
            <w:tcW w:w="5967" w:type="dxa"/>
            <w:vAlign w:val="center"/>
          </w:tcPr>
          <w:p>
            <w:pPr>
              <w:pStyle w:val="80"/>
              <w:widowControl w:val="0"/>
              <w:ind w:firstLine="0" w:firstLineChars="0"/>
              <w:jc w:val="center"/>
              <w:rPr>
                <w:rFonts w:ascii="Times New Roman"/>
                <w:sz w:val="18"/>
                <w:szCs w:val="18"/>
              </w:rPr>
            </w:pPr>
            <w:r>
              <w:rPr>
                <w:rFonts w:ascii="Times New Roman"/>
                <w:sz w:val="18"/>
                <w:szCs w:val="18"/>
              </w:rPr>
              <w:t>数据种类</w:t>
            </w:r>
          </w:p>
        </w:tc>
        <w:tc>
          <w:tcPr>
            <w:tcW w:w="2182" w:type="dxa"/>
            <w:vAlign w:val="center"/>
          </w:tcPr>
          <w:p>
            <w:pPr>
              <w:pStyle w:val="80"/>
              <w:widowControl w:val="0"/>
              <w:ind w:firstLine="0" w:firstLineChars="0"/>
              <w:jc w:val="center"/>
              <w:rPr>
                <w:rFonts w:ascii="Times New Roman"/>
                <w:sz w:val="18"/>
                <w:szCs w:val="18"/>
              </w:rPr>
            </w:pPr>
            <w:r>
              <w:rPr>
                <w:rFonts w:ascii="Times New Roman"/>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pPr>
              <w:pStyle w:val="80"/>
              <w:widowControl w:val="0"/>
              <w:ind w:firstLine="0" w:firstLineChars="0"/>
              <w:jc w:val="center"/>
              <w:rPr>
                <w:rFonts w:ascii="Times New Roman"/>
                <w:sz w:val="18"/>
                <w:szCs w:val="18"/>
              </w:rPr>
            </w:pPr>
            <w:r>
              <w:rPr>
                <w:rFonts w:ascii="Times New Roman"/>
                <w:sz w:val="18"/>
                <w:szCs w:val="18"/>
              </w:rPr>
              <w:t>原</w:t>
            </w:r>
            <w:r>
              <w:rPr>
                <w:rFonts w:hint="eastAsia" w:ascii="Times New Roman"/>
                <w:sz w:val="18"/>
                <w:szCs w:val="18"/>
              </w:rPr>
              <w:t>辅材</w:t>
            </w:r>
            <w:r>
              <w:rPr>
                <w:rFonts w:ascii="Times New Roman"/>
                <w:sz w:val="18"/>
                <w:szCs w:val="18"/>
              </w:rPr>
              <w:t>料</w:t>
            </w:r>
            <w:r>
              <w:rPr>
                <w:rFonts w:hint="eastAsia" w:ascii="Times New Roman"/>
                <w:sz w:val="18"/>
                <w:szCs w:val="18"/>
              </w:rPr>
              <w:t>和</w:t>
            </w:r>
            <w:r>
              <w:rPr>
                <w:rFonts w:ascii="Times New Roman"/>
                <w:sz w:val="18"/>
                <w:szCs w:val="18"/>
              </w:rPr>
              <w:t>能源获取阶段</w:t>
            </w: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r>
              <w:rPr>
                <w:rFonts w:hint="eastAsia" w:ascii="Times New Roman"/>
                <w:sz w:val="18"/>
                <w:szCs w:val="18"/>
              </w:rPr>
              <w:t>主要原辅材料白云石、萤石、硅铁、洗精煤等的碳足迹排放因子</w:t>
            </w:r>
            <w:r>
              <w:rPr>
                <w:rFonts w:ascii="Times New Roman"/>
                <w:sz w:val="18"/>
                <w:szCs w:val="18"/>
              </w:rPr>
              <w:t xml:space="preserve"> </w:t>
            </w:r>
          </w:p>
        </w:tc>
        <w:tc>
          <w:tcPr>
            <w:tcW w:w="2182" w:type="dxa"/>
          </w:tcPr>
          <w:p>
            <w:pPr>
              <w:pStyle w:val="80"/>
              <w:widowControl w:val="0"/>
              <w:ind w:firstLine="0" w:firstLineChars="0"/>
              <w:rPr>
                <w:rFonts w:ascii="Times New Roman"/>
                <w:sz w:val="18"/>
                <w:szCs w:val="18"/>
              </w:rPr>
            </w:pPr>
            <w:bookmarkStart w:id="49" w:name="OLE_LINK16"/>
            <w:r>
              <w:rPr>
                <w:rFonts w:hint="eastAsia" w:ascii="Times New Roman"/>
                <w:sz w:val="18"/>
                <w:szCs w:val="18"/>
              </w:rPr>
              <w:t>宜</w:t>
            </w:r>
            <w:r>
              <w:rPr>
                <w:rFonts w:ascii="Times New Roman"/>
                <w:sz w:val="18"/>
                <w:szCs w:val="18"/>
              </w:rPr>
              <w:t>使用</w:t>
            </w:r>
            <w:bookmarkStart w:id="50" w:name="OLE_LINK15"/>
            <w:r>
              <w:rPr>
                <w:rFonts w:hint="eastAsia" w:ascii="Times New Roman"/>
                <w:sz w:val="18"/>
                <w:szCs w:val="18"/>
              </w:rPr>
              <w:t>现场</w:t>
            </w:r>
            <w:bookmarkEnd w:id="50"/>
            <w:r>
              <w:rPr>
                <w:rFonts w:ascii="Times New Roman"/>
                <w:sz w:val="18"/>
                <w:szCs w:val="18"/>
              </w:rPr>
              <w:t>数据</w:t>
            </w:r>
            <w:r>
              <w:rPr>
                <w:rFonts w:hint="eastAsia" w:ascii="Times New Roman"/>
                <w:sz w:val="18"/>
                <w:szCs w:val="18"/>
              </w:rPr>
              <w:t>，可使用</w:t>
            </w:r>
            <w:r>
              <w:rPr>
                <w:rFonts w:ascii="Times New Roman"/>
                <w:sz w:val="18"/>
                <w:szCs w:val="18"/>
              </w:rPr>
              <w:t>次级数据</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22" w:type="dxa"/>
            <w:vMerge w:val="continue"/>
            <w:vAlign w:val="center"/>
          </w:tcPr>
          <w:p>
            <w:pPr>
              <w:pStyle w:val="80"/>
              <w:widowControl w:val="0"/>
              <w:ind w:firstLine="0" w:firstLineChars="0"/>
              <w:jc w:val="center"/>
              <w:rPr>
                <w:rFonts w:ascii="Times New Roman"/>
                <w:sz w:val="18"/>
                <w:szCs w:val="18"/>
              </w:rPr>
            </w:pPr>
          </w:p>
        </w:tc>
        <w:tc>
          <w:tcPr>
            <w:tcW w:w="5967" w:type="dxa"/>
            <w:vAlign w:val="center"/>
          </w:tcPr>
          <w:p>
            <w:pPr>
              <w:pStyle w:val="80"/>
              <w:widowControl w:val="0"/>
              <w:tabs>
                <w:tab w:val="center" w:pos="420"/>
                <w:tab w:val="center" w:pos="1132"/>
                <w:tab w:val="right" w:leader="dot" w:pos="9298"/>
              </w:tabs>
              <w:ind w:left="-2" w:leftChars="-1" w:right="144" w:rightChars="69" w:firstLine="0" w:firstLineChars="0"/>
              <w:rPr>
                <w:rFonts w:ascii="Times New Roman"/>
                <w:sz w:val="18"/>
                <w:szCs w:val="18"/>
              </w:rPr>
            </w:pPr>
            <w:r>
              <w:rPr>
                <w:rFonts w:hint="eastAsia" w:ascii="Times New Roman"/>
                <w:sz w:val="18"/>
                <w:szCs w:val="18"/>
              </w:rPr>
              <w:t>汽油、柴油、煤、天然气、电力、热力等能源的碳足迹排放因子</w:t>
            </w:r>
          </w:p>
        </w:tc>
        <w:tc>
          <w:tcPr>
            <w:tcW w:w="2182" w:type="dxa"/>
          </w:tcPr>
          <w:p>
            <w:pPr>
              <w:pStyle w:val="80"/>
              <w:widowControl w:val="0"/>
              <w:ind w:firstLine="0" w:firstLineChars="0"/>
              <w:rPr>
                <w:rFonts w:ascii="Times New Roman"/>
                <w:sz w:val="18"/>
                <w:szCs w:val="18"/>
              </w:rPr>
            </w:pPr>
            <w:bookmarkStart w:id="51" w:name="OLE_LINK8"/>
            <w:r>
              <w:rPr>
                <w:rFonts w:ascii="Times New Roman"/>
                <w:sz w:val="18"/>
                <w:szCs w:val="18"/>
              </w:rPr>
              <w:t>可使用次级数据</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pStyle w:val="80"/>
              <w:widowControl w:val="0"/>
              <w:ind w:firstLine="0" w:firstLineChars="0"/>
              <w:jc w:val="center"/>
              <w:rPr>
                <w:rFonts w:ascii="Times New Roman"/>
                <w:sz w:val="18"/>
                <w:szCs w:val="18"/>
              </w:rPr>
            </w:pP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bookmarkStart w:id="52" w:name="OLE_LINK3"/>
            <w:r>
              <w:rPr>
                <w:rFonts w:hint="eastAsia" w:ascii="Times New Roman"/>
                <w:sz w:val="18"/>
                <w:szCs w:val="18"/>
              </w:rPr>
              <w:t>原辅料与能源的运输量、运输距离、运输方式</w:t>
            </w:r>
            <w:bookmarkEnd w:id="52"/>
          </w:p>
        </w:tc>
        <w:tc>
          <w:tcPr>
            <w:tcW w:w="2182" w:type="dxa"/>
          </w:tcPr>
          <w:p>
            <w:pPr>
              <w:pStyle w:val="80"/>
              <w:widowControl w:val="0"/>
              <w:ind w:firstLine="0" w:firstLineChars="0"/>
              <w:rPr>
                <w:rFonts w:ascii="Times New Roman"/>
                <w:sz w:val="18"/>
                <w:szCs w:val="18"/>
              </w:rPr>
            </w:pPr>
            <w:bookmarkStart w:id="53" w:name="OLE_LINK9"/>
            <w:r>
              <w:rPr>
                <w:rFonts w:hint="eastAsia" w:ascii="Times New Roman"/>
                <w:sz w:val="18"/>
                <w:szCs w:val="18"/>
              </w:rPr>
              <w:t>应</w:t>
            </w:r>
            <w:r>
              <w:rPr>
                <w:rFonts w:ascii="Times New Roman"/>
                <w:sz w:val="18"/>
                <w:szCs w:val="18"/>
              </w:rPr>
              <w:t>使用</w:t>
            </w:r>
            <w:r>
              <w:rPr>
                <w:rFonts w:hint="eastAsia" w:ascii="Times New Roman"/>
                <w:sz w:val="18"/>
                <w:szCs w:val="18"/>
              </w:rPr>
              <w:t>现场</w:t>
            </w:r>
            <w:r>
              <w:rPr>
                <w:rFonts w:ascii="Times New Roman"/>
                <w:sz w:val="18"/>
                <w:szCs w:val="18"/>
              </w:rPr>
              <w:t>数据</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pStyle w:val="80"/>
              <w:widowControl w:val="0"/>
              <w:ind w:firstLine="0" w:firstLineChars="0"/>
              <w:jc w:val="center"/>
              <w:rPr>
                <w:rFonts w:ascii="Times New Roman"/>
                <w:sz w:val="18"/>
                <w:szCs w:val="18"/>
              </w:rPr>
            </w:pP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r>
              <w:rPr>
                <w:rFonts w:hint="eastAsia" w:ascii="Times New Roman"/>
                <w:sz w:val="18"/>
                <w:szCs w:val="18"/>
              </w:rPr>
              <w:t>不同运输方式的碳足迹排放因子</w:t>
            </w:r>
          </w:p>
        </w:tc>
        <w:tc>
          <w:tcPr>
            <w:tcW w:w="2182" w:type="dxa"/>
          </w:tcPr>
          <w:p>
            <w:pPr>
              <w:pStyle w:val="80"/>
              <w:widowControl w:val="0"/>
              <w:ind w:firstLine="0" w:firstLineChars="0"/>
              <w:rPr>
                <w:rFonts w:ascii="Times New Roman"/>
                <w:sz w:val="18"/>
                <w:szCs w:val="18"/>
              </w:rPr>
            </w:pPr>
            <w:r>
              <w:rPr>
                <w:rFonts w:ascii="Times New Roman"/>
                <w:sz w:val="18"/>
                <w:szCs w:val="18"/>
              </w:rPr>
              <w:t>可使用次级数据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pPr>
              <w:pStyle w:val="80"/>
              <w:widowControl w:val="0"/>
              <w:ind w:firstLine="0" w:firstLineChars="0"/>
              <w:jc w:val="center"/>
              <w:rPr>
                <w:rFonts w:ascii="Times New Roman"/>
                <w:sz w:val="18"/>
                <w:szCs w:val="18"/>
              </w:rPr>
            </w:pPr>
            <w:r>
              <w:rPr>
                <w:rFonts w:ascii="Times New Roman"/>
                <w:sz w:val="18"/>
                <w:szCs w:val="18"/>
              </w:rPr>
              <w:t>产</w:t>
            </w:r>
            <w:r>
              <w:rPr>
                <w:rFonts w:hint="eastAsia" w:ascii="Times New Roman"/>
                <w:sz w:val="18"/>
                <w:szCs w:val="18"/>
              </w:rPr>
              <w:t>品</w:t>
            </w:r>
            <w:r>
              <w:rPr>
                <w:rFonts w:ascii="Times New Roman"/>
                <w:sz w:val="18"/>
                <w:szCs w:val="18"/>
              </w:rPr>
              <w:t>生产阶段</w:t>
            </w: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bookmarkStart w:id="54" w:name="OLE_LINK7"/>
            <w:r>
              <w:rPr>
                <w:rFonts w:hint="eastAsia" w:ascii="Times New Roman"/>
                <w:sz w:val="18"/>
                <w:szCs w:val="18"/>
              </w:rPr>
              <w:t>白云石、萤石、硅铁、洗精煤等原辅材料的消耗量</w:t>
            </w:r>
            <w:bookmarkEnd w:id="54"/>
          </w:p>
        </w:tc>
        <w:tc>
          <w:tcPr>
            <w:tcW w:w="2182" w:type="dxa"/>
          </w:tcPr>
          <w:p>
            <w:pPr>
              <w:pStyle w:val="80"/>
              <w:widowControl w:val="0"/>
              <w:ind w:firstLine="0" w:firstLineChars="0"/>
              <w:rPr>
                <w:rFonts w:ascii="Times New Roman"/>
                <w:sz w:val="18"/>
                <w:szCs w:val="18"/>
              </w:rPr>
            </w:pPr>
            <w:r>
              <w:rPr>
                <w:rFonts w:hint="eastAsia" w:ascii="Times New Roman"/>
                <w:sz w:val="18"/>
                <w:szCs w:val="18"/>
              </w:rPr>
              <w:t>应</w:t>
            </w:r>
            <w:r>
              <w:rPr>
                <w:rFonts w:ascii="Times New Roman"/>
                <w:sz w:val="18"/>
                <w:szCs w:val="18"/>
              </w:rPr>
              <w:t>使用</w:t>
            </w:r>
            <w:r>
              <w:rPr>
                <w:rFonts w:hint="eastAsia" w:ascii="Times New Roman"/>
                <w:sz w:val="18"/>
                <w:szCs w:val="18"/>
              </w:rPr>
              <w:t>现场</w:t>
            </w:r>
            <w:r>
              <w:rPr>
                <w:rFonts w:ascii="Times New Roman"/>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tcPr>
          <w:p>
            <w:pPr>
              <w:pStyle w:val="80"/>
              <w:widowControl w:val="0"/>
              <w:ind w:firstLine="0" w:firstLineChars="0"/>
              <w:rPr>
                <w:rFonts w:ascii="Times New Roman"/>
                <w:sz w:val="18"/>
                <w:szCs w:val="18"/>
              </w:rPr>
            </w:pP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r>
              <w:rPr>
                <w:rFonts w:hint="eastAsia" w:ascii="Times New Roman"/>
                <w:sz w:val="18"/>
                <w:szCs w:val="18"/>
              </w:rPr>
              <w:t>汽油、柴油、煤、天然气、电力、热力等能源的消耗量</w:t>
            </w:r>
          </w:p>
        </w:tc>
        <w:tc>
          <w:tcPr>
            <w:tcW w:w="2182" w:type="dxa"/>
          </w:tcPr>
          <w:p>
            <w:pPr>
              <w:pStyle w:val="80"/>
              <w:widowControl w:val="0"/>
              <w:ind w:firstLine="0" w:firstLineChars="0"/>
              <w:rPr>
                <w:rFonts w:ascii="Times New Roman"/>
                <w:sz w:val="18"/>
                <w:szCs w:val="18"/>
              </w:rPr>
            </w:pPr>
            <w:r>
              <w:rPr>
                <w:rFonts w:hint="eastAsia" w:ascii="Times New Roman"/>
                <w:sz w:val="18"/>
                <w:szCs w:val="18"/>
              </w:rPr>
              <w:t>应</w:t>
            </w:r>
            <w:r>
              <w:rPr>
                <w:rFonts w:ascii="Times New Roman"/>
                <w:sz w:val="18"/>
                <w:szCs w:val="18"/>
              </w:rPr>
              <w:t>使用</w:t>
            </w:r>
            <w:r>
              <w:rPr>
                <w:rFonts w:hint="eastAsia" w:ascii="Times New Roman"/>
                <w:sz w:val="18"/>
                <w:szCs w:val="18"/>
              </w:rPr>
              <w:t>现场</w:t>
            </w:r>
            <w:r>
              <w:rPr>
                <w:rFonts w:ascii="Times New Roman"/>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tcPr>
          <w:p>
            <w:pPr>
              <w:pStyle w:val="80"/>
              <w:widowControl w:val="0"/>
              <w:ind w:firstLine="0" w:firstLineChars="0"/>
              <w:rPr>
                <w:rFonts w:ascii="Times New Roman"/>
                <w:sz w:val="18"/>
                <w:szCs w:val="18"/>
              </w:rPr>
            </w:pP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r>
              <w:rPr>
                <w:rFonts w:hint="eastAsia" w:ascii="Times New Roman"/>
                <w:sz w:val="18"/>
                <w:szCs w:val="18"/>
              </w:rPr>
              <w:t>煤、天然气、汽油、柴油等能源的低位发热量</w:t>
            </w:r>
          </w:p>
        </w:tc>
        <w:tc>
          <w:tcPr>
            <w:tcW w:w="2182" w:type="dxa"/>
          </w:tcPr>
          <w:p>
            <w:pPr>
              <w:pStyle w:val="80"/>
              <w:widowControl w:val="0"/>
              <w:ind w:firstLine="0" w:firstLineChars="0"/>
              <w:rPr>
                <w:rFonts w:ascii="Times New Roman"/>
                <w:sz w:val="18"/>
                <w:szCs w:val="18"/>
              </w:rPr>
            </w:pPr>
            <w:r>
              <w:rPr>
                <w:rFonts w:hint="eastAsia" w:ascii="Times New Roman"/>
                <w:sz w:val="18"/>
                <w:szCs w:val="18"/>
              </w:rPr>
              <w:t>宜</w:t>
            </w:r>
            <w:r>
              <w:rPr>
                <w:rFonts w:ascii="Times New Roman"/>
                <w:sz w:val="18"/>
                <w:szCs w:val="18"/>
              </w:rPr>
              <w:t>使用</w:t>
            </w:r>
            <w:r>
              <w:rPr>
                <w:rFonts w:hint="eastAsia" w:ascii="Times New Roman"/>
                <w:sz w:val="18"/>
                <w:szCs w:val="18"/>
              </w:rPr>
              <w:t>现场</w:t>
            </w:r>
            <w:r>
              <w:rPr>
                <w:rFonts w:ascii="Times New Roman"/>
                <w:sz w:val="18"/>
                <w:szCs w:val="18"/>
              </w:rPr>
              <w:t>数据</w:t>
            </w:r>
            <w:r>
              <w:rPr>
                <w:rFonts w:hint="eastAsia" w:ascii="Times New Roman"/>
                <w:sz w:val="18"/>
                <w:szCs w:val="18"/>
              </w:rPr>
              <w:t>，可使用</w:t>
            </w:r>
            <w:r>
              <w:rPr>
                <w:rFonts w:ascii="Times New Roman"/>
                <w:sz w:val="18"/>
                <w:szCs w:val="18"/>
              </w:rPr>
              <w:t>次级数据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tcPr>
          <w:p>
            <w:pPr>
              <w:pStyle w:val="80"/>
              <w:widowControl w:val="0"/>
              <w:ind w:firstLine="0" w:firstLineChars="0"/>
              <w:rPr>
                <w:rFonts w:ascii="Times New Roman"/>
                <w:sz w:val="18"/>
                <w:szCs w:val="18"/>
              </w:rPr>
            </w:pPr>
          </w:p>
        </w:tc>
        <w:tc>
          <w:tcPr>
            <w:tcW w:w="5967" w:type="dxa"/>
            <w:vAlign w:val="center"/>
          </w:tcPr>
          <w:p>
            <w:pPr>
              <w:pStyle w:val="80"/>
              <w:widowControl w:val="0"/>
              <w:tabs>
                <w:tab w:val="center" w:pos="420"/>
                <w:tab w:val="center" w:pos="4201"/>
                <w:tab w:val="right" w:leader="dot" w:pos="9298"/>
              </w:tabs>
              <w:ind w:firstLine="0" w:firstLineChars="0"/>
              <w:rPr>
                <w:rFonts w:ascii="Times New Roman"/>
                <w:sz w:val="18"/>
                <w:szCs w:val="18"/>
              </w:rPr>
            </w:pPr>
            <w:r>
              <w:rPr>
                <w:rFonts w:hint="eastAsia" w:ascii="Times New Roman"/>
                <w:sz w:val="18"/>
                <w:szCs w:val="18"/>
              </w:rPr>
              <w:t>废（污）水及废弃物处理过程的物料消耗量</w:t>
            </w:r>
          </w:p>
        </w:tc>
        <w:tc>
          <w:tcPr>
            <w:tcW w:w="2182" w:type="dxa"/>
          </w:tcPr>
          <w:p>
            <w:pPr>
              <w:pStyle w:val="80"/>
              <w:widowControl w:val="0"/>
              <w:ind w:firstLine="0" w:firstLineChars="0"/>
              <w:rPr>
                <w:rFonts w:ascii="Times New Roman"/>
                <w:sz w:val="18"/>
                <w:szCs w:val="18"/>
              </w:rPr>
            </w:pPr>
            <w:r>
              <w:rPr>
                <w:rFonts w:hint="eastAsia" w:ascii="Times New Roman"/>
                <w:sz w:val="18"/>
                <w:szCs w:val="18"/>
              </w:rPr>
              <w:t>应</w:t>
            </w:r>
            <w:r>
              <w:rPr>
                <w:rFonts w:ascii="Times New Roman"/>
                <w:sz w:val="18"/>
                <w:szCs w:val="18"/>
              </w:rPr>
              <w:t>使用</w:t>
            </w:r>
            <w:r>
              <w:rPr>
                <w:rFonts w:hint="eastAsia" w:ascii="Times New Roman"/>
                <w:sz w:val="18"/>
                <w:szCs w:val="18"/>
              </w:rPr>
              <w:t>现场</w:t>
            </w:r>
            <w:r>
              <w:rPr>
                <w:rFonts w:ascii="Times New Roman"/>
                <w:sz w:val="18"/>
                <w:szCs w:val="18"/>
              </w:rPr>
              <w:t>数据</w:t>
            </w:r>
          </w:p>
        </w:tc>
      </w:tr>
    </w:tbl>
    <w:p>
      <w:pPr>
        <w:pStyle w:val="87"/>
        <w:numPr>
          <w:ilvl w:val="2"/>
          <w:numId w:val="0"/>
        </w:numPr>
        <w:spacing w:before="156" w:after="156" w:line="276" w:lineRule="auto"/>
        <w:jc w:val="left"/>
        <w:outlineLvl w:val="1"/>
        <w:rPr>
          <w:rFonts w:ascii="Times New Roman"/>
        </w:rPr>
      </w:pPr>
      <w:bookmarkStart w:id="55" w:name="_Toc15478"/>
      <w:r>
        <w:rPr>
          <w:rFonts w:hint="eastAsia" w:hAnsi="黑体" w:cs="黑体"/>
        </w:rPr>
        <w:t xml:space="preserve">6.1.1.2 </w:t>
      </w:r>
      <w:r>
        <w:rPr>
          <w:rFonts w:hint="eastAsia" w:ascii="Times New Roman" w:eastAsia="宋体"/>
        </w:rPr>
        <w:t>数据采集过程中，应验证数据的有效性，通过物料平衡、能量平衡、与历史数据和相近工艺数据对比等方式，确认数据的准确性与合理性。对于异常数据，应分析原因，予以替换，替换的数据应满足数据质量要求（6.1.2）。</w:t>
      </w:r>
      <w:bookmarkEnd w:id="55"/>
    </w:p>
    <w:p>
      <w:pPr>
        <w:pStyle w:val="80"/>
        <w:numPr>
          <w:ilvl w:val="2"/>
          <w:numId w:val="20"/>
        </w:numPr>
        <w:spacing w:before="156" w:beforeLines="50" w:after="156" w:afterLines="50"/>
        <w:ind w:firstLineChars="0"/>
        <w:rPr>
          <w:rFonts w:ascii="黑体" w:hAnsi="黑体" w:eastAsia="黑体"/>
        </w:rPr>
      </w:pPr>
      <w:bookmarkStart w:id="56" w:name="_Toc32043"/>
      <w:r>
        <w:rPr>
          <w:rFonts w:hint="eastAsia" w:ascii="黑体" w:hAnsi="黑体" w:eastAsia="黑体"/>
        </w:rPr>
        <w:t>数据质量要求</w:t>
      </w:r>
      <w:bookmarkEnd w:id="56"/>
    </w:p>
    <w:p>
      <w:pPr>
        <w:ind w:firstLine="420" w:firstLineChars="200"/>
      </w:pPr>
      <w:r>
        <w:rPr>
          <w:rFonts w:hint="eastAsia"/>
        </w:rPr>
        <w:t>产品碳足迹影响评价</w:t>
      </w:r>
      <w:r>
        <w:t>宜使用现有最高质量数据，数据质量的特征应包括定量和定性两个角度。数据质量的特性描述应涉及以下方面：</w:t>
      </w:r>
    </w:p>
    <w:p>
      <w:pPr>
        <w:pStyle w:val="2"/>
        <w:numPr>
          <w:ilvl w:val="0"/>
          <w:numId w:val="21"/>
        </w:numPr>
        <w:ind w:firstLineChars="0"/>
      </w:pPr>
      <w:r>
        <w:rPr>
          <w:rFonts w:hint="eastAsia"/>
        </w:rPr>
        <w:t>时间覆盖范围：数据的年份和所收集数据的最小时间跨度；</w:t>
      </w:r>
    </w:p>
    <w:p>
      <w:pPr>
        <w:pStyle w:val="2"/>
        <w:numPr>
          <w:ilvl w:val="0"/>
          <w:numId w:val="21"/>
        </w:numPr>
        <w:ind w:firstLineChars="0"/>
      </w:pPr>
      <w:r>
        <w:rPr>
          <w:rFonts w:hint="eastAsia"/>
        </w:rPr>
        <w:t>地理覆盖范围：为实现产品碳足迹研究目的，所收集的单元过程数据的地理区域；</w:t>
      </w:r>
    </w:p>
    <w:p>
      <w:pPr>
        <w:pStyle w:val="2"/>
        <w:numPr>
          <w:ilvl w:val="0"/>
          <w:numId w:val="21"/>
        </w:numPr>
        <w:ind w:firstLineChars="0"/>
      </w:pPr>
      <w:r>
        <w:rPr>
          <w:rFonts w:hint="eastAsia"/>
        </w:rPr>
        <w:t>技术覆盖范围：具体的技术或技术组合；</w:t>
      </w:r>
    </w:p>
    <w:p>
      <w:pPr>
        <w:pStyle w:val="2"/>
        <w:numPr>
          <w:ilvl w:val="0"/>
          <w:numId w:val="21"/>
        </w:numPr>
        <w:ind w:firstLineChars="0"/>
      </w:pPr>
      <w:r>
        <w:rPr>
          <w:rFonts w:hint="eastAsia"/>
        </w:rPr>
        <w:t>精度：对每个数据值的可变性的度量(例如方差)；</w:t>
      </w:r>
    </w:p>
    <w:p>
      <w:pPr>
        <w:pStyle w:val="2"/>
        <w:numPr>
          <w:ilvl w:val="0"/>
          <w:numId w:val="21"/>
        </w:numPr>
        <w:ind w:firstLineChars="0"/>
      </w:pPr>
      <w:r>
        <w:rPr>
          <w:rFonts w:hint="eastAsia"/>
        </w:rPr>
        <w:t>完整性：测量或测算的流所占的比例；</w:t>
      </w:r>
    </w:p>
    <w:p>
      <w:pPr>
        <w:pStyle w:val="2"/>
        <w:numPr>
          <w:ilvl w:val="0"/>
          <w:numId w:val="21"/>
        </w:numPr>
        <w:ind w:left="639" w:leftChars="189" w:hanging="243" w:firstLineChars="0"/>
      </w:pPr>
      <w:r>
        <w:rPr>
          <w:rFonts w:hint="eastAsia"/>
        </w:rPr>
        <w:t>代表性：反映实际关注人群对数据集(即时间跨度、地理覆盖范围和技术覆盖范围等)关注程度的真实情况进行的定性评价；</w:t>
      </w:r>
    </w:p>
    <w:p>
      <w:pPr>
        <w:pStyle w:val="2"/>
        <w:ind w:left="1054" w:leftChars="360" w:hanging="298" w:hangingChars="166"/>
      </w:pPr>
      <w:r>
        <w:rPr>
          <w:rFonts w:hint="eastAsia" w:ascii="黑体" w:hAnsi="黑体" w:eastAsia="黑体" w:cs="黑体"/>
          <w:sz w:val="18"/>
          <w:szCs w:val="18"/>
        </w:rPr>
        <w:t>注：</w:t>
      </w:r>
      <w:r>
        <w:rPr>
          <w:rFonts w:hint="eastAsia"/>
          <w:sz w:val="18"/>
          <w:szCs w:val="18"/>
        </w:rPr>
        <w:t xml:space="preserve">技术上，数据反映实际生产技术情况，即体现实际工艺流程、技术和设备类型、原料与能耗类型、生产规模等因素的影响；时间上，数据反映被评价产品系统单元过程的实际时间；空间上，数据反映具体产品系统边界内单元过程的实际地理位置信息。 </w:t>
      </w:r>
    </w:p>
    <w:p>
      <w:pPr>
        <w:pStyle w:val="2"/>
        <w:numPr>
          <w:ilvl w:val="0"/>
          <w:numId w:val="21"/>
        </w:numPr>
        <w:ind w:left="639" w:leftChars="189" w:hanging="243" w:firstLineChars="0"/>
      </w:pPr>
      <w:r>
        <w:rPr>
          <w:rFonts w:hint="eastAsia"/>
        </w:rPr>
        <w:t>一致性：对研究方法学是否能在敏感性分析的不同组成部分中统一应用而进行的定性评价；</w:t>
      </w:r>
    </w:p>
    <w:p>
      <w:pPr>
        <w:pStyle w:val="2"/>
        <w:numPr>
          <w:ilvl w:val="0"/>
          <w:numId w:val="21"/>
        </w:numPr>
        <w:ind w:left="639" w:leftChars="189" w:hanging="243" w:firstLineChars="0"/>
      </w:pPr>
      <w:r>
        <w:rPr>
          <w:rFonts w:hint="eastAsia"/>
        </w:rPr>
        <w:t>再现性：对其他独立从业人员采用同一方法学和数值信息重现相同研究结果的定性评价；</w:t>
      </w:r>
    </w:p>
    <w:p>
      <w:pPr>
        <w:pStyle w:val="2"/>
        <w:numPr>
          <w:ilvl w:val="0"/>
          <w:numId w:val="21"/>
        </w:numPr>
        <w:ind w:left="639" w:leftChars="189" w:hanging="243" w:firstLineChars="0"/>
      </w:pPr>
      <w:r>
        <w:rPr>
          <w:rFonts w:hint="eastAsia"/>
        </w:rPr>
        <w:t>数据来源：</w:t>
      </w:r>
      <w:r>
        <w:rPr>
          <w:color w:val="000000" w:themeColor="text1"/>
          <w:szCs w:val="21"/>
          <w14:textFill>
            <w14:solidFill>
              <w14:schemeClr w14:val="tx1"/>
            </w14:solidFill>
          </w14:textFill>
        </w:rPr>
        <w:t>现场数据应来源于测量、工程计算、采购记录等</w:t>
      </w:r>
      <w:r>
        <w:t>，环境排放数据优先采用环境监测报告</w:t>
      </w:r>
      <w:r>
        <w:rPr>
          <w:rFonts w:hint="eastAsia"/>
        </w:rPr>
        <w:t>，</w:t>
      </w:r>
      <w:r>
        <w:t>所有数据均有相关的数据来源和数据处理算法</w:t>
      </w:r>
      <w:r>
        <w:rPr>
          <w:rFonts w:hint="eastAsia"/>
        </w:rPr>
        <w:t>；</w:t>
      </w:r>
    </w:p>
    <w:p>
      <w:pPr>
        <w:pStyle w:val="2"/>
        <w:numPr>
          <w:ilvl w:val="0"/>
          <w:numId w:val="22"/>
        </w:numPr>
        <w:ind w:left="0" w:firstLine="420" w:firstLineChars="0"/>
      </w:pPr>
      <w:r>
        <w:rPr>
          <w:rFonts w:hint="eastAsia"/>
        </w:rPr>
        <w:t>信息的不确定性。</w:t>
      </w:r>
    </w:p>
    <w:p>
      <w:pPr>
        <w:pStyle w:val="2"/>
        <w:numPr>
          <w:ilvl w:val="255"/>
          <w:numId w:val="0"/>
        </w:numPr>
        <w:ind w:firstLine="420" w:firstLineChars="200"/>
        <w:rPr>
          <w:rFonts w:ascii="黑体" w:hAnsi="黑体" w:eastAsia="黑体" w:cs="黑体"/>
          <w:szCs w:val="22"/>
        </w:rPr>
      </w:pPr>
      <w:r>
        <w:rPr>
          <w:rFonts w:hint="eastAsia"/>
        </w:rPr>
        <w:t>开展产品碳足迹研究的组织宜建立数据管理系统，保留相关文件和记录，进行数据质量评价，并持续提高数据质量。</w:t>
      </w:r>
      <w:r>
        <w:rPr>
          <w:rFonts w:hint="eastAsia" w:ascii="黑体" w:hAnsi="黑体" w:eastAsia="黑体" w:cs="黑体"/>
          <w:szCs w:val="22"/>
        </w:rPr>
        <w:t xml:space="preserve">    </w:t>
      </w:r>
    </w:p>
    <w:p>
      <w:pPr>
        <w:pStyle w:val="80"/>
        <w:numPr>
          <w:ilvl w:val="1"/>
          <w:numId w:val="20"/>
        </w:numPr>
        <w:spacing w:before="156" w:beforeLines="50" w:after="156" w:afterLines="50"/>
        <w:ind w:firstLineChars="0"/>
        <w:outlineLvl w:val="1"/>
        <w:rPr>
          <w:rFonts w:ascii="黑体" w:hAnsi="黑体" w:eastAsia="黑体" w:cs="黑体"/>
          <w:szCs w:val="22"/>
        </w:rPr>
      </w:pPr>
      <w:bookmarkStart w:id="57" w:name="_Toc22821"/>
      <w:r>
        <w:rPr>
          <w:rFonts w:hint="eastAsia" w:ascii="黑体" w:hAnsi="黑体" w:eastAsia="黑体" w:cs="黑体"/>
          <w:szCs w:val="22"/>
        </w:rPr>
        <w:t>数据分配</w:t>
      </w:r>
      <w:bookmarkEnd w:id="57"/>
      <w:r>
        <w:rPr>
          <w:rFonts w:hint="eastAsia" w:ascii="黑体" w:hAnsi="黑体" w:eastAsia="黑体" w:cs="黑体"/>
          <w:szCs w:val="22"/>
        </w:rPr>
        <w:t xml:space="preserve">   </w:t>
      </w:r>
    </w:p>
    <w:p>
      <w:pPr>
        <w:pStyle w:val="2"/>
        <w:ind w:left="0" w:leftChars="0" w:firstLine="0" w:firstLineChars="0"/>
        <w:rPr>
          <w:rFonts w:hint="eastAsia"/>
          <w:highlight w:val="none"/>
        </w:rPr>
      </w:pPr>
      <w:r>
        <w:rPr>
          <w:rFonts w:hint="eastAsia" w:ascii="黑体" w:hAnsi="黑体" w:eastAsia="黑体" w:cs="黑体"/>
          <w:highlight w:val="none"/>
          <w:lang w:val="en-US" w:eastAsia="zh-CN"/>
        </w:rPr>
        <w:t>6.2.1</w:t>
      </w:r>
      <w:r>
        <w:rPr>
          <w:rFonts w:hint="eastAsia"/>
          <w:highlight w:val="none"/>
        </w:rPr>
        <w:t>数据分配的原则是以输入和输出之间的物质平衡为基础，一个单元过程分配的输入和输出总和应与其分配前的输入和输出相等。应根据明确规定的分配程序将输入和输出分配到不同的产品中</w:t>
      </w:r>
      <w:r>
        <w:rPr>
          <w:rFonts w:hint="eastAsia"/>
          <w:highlight w:val="none"/>
          <w:lang w:eastAsia="zh-CN"/>
        </w:rPr>
        <w:t>。</w:t>
      </w:r>
      <w:r>
        <w:rPr>
          <w:rFonts w:hint="eastAsia"/>
          <w:highlight w:val="none"/>
          <w:lang w:val="en-US" w:eastAsia="zh-CN"/>
        </w:rPr>
        <w:t>原生镁锭产品系统优先采用的数据分配方法如下：</w:t>
      </w:r>
    </w:p>
    <w:p>
      <w:pPr>
        <w:pStyle w:val="2"/>
        <w:ind w:left="638" w:leftChars="200" w:hanging="218" w:hangingChars="104"/>
        <w:rPr>
          <w:rFonts w:hint="eastAsia"/>
          <w:highlight w:val="none"/>
          <w:lang w:eastAsia="zh-CN"/>
        </w:rPr>
      </w:pPr>
      <w:r>
        <w:rPr>
          <w:rFonts w:hint="eastAsia"/>
          <w:highlight w:val="none"/>
          <w:lang w:eastAsia="zh-CN"/>
        </w:rPr>
        <w:t>a）将拟分配的单元过程进一步划分为两个或更多的子过程，并收集与这些子过程相关的输入和输出数据；</w:t>
      </w:r>
    </w:p>
    <w:p>
      <w:pPr>
        <w:pStyle w:val="2"/>
        <w:ind w:left="840" w:leftChars="200" w:hanging="420" w:hangingChars="200"/>
        <w:rPr>
          <w:rFonts w:hint="eastAsia"/>
          <w:highlight w:val="none"/>
          <w:lang w:eastAsia="zh-CN"/>
        </w:rPr>
      </w:pPr>
      <w:r>
        <w:rPr>
          <w:rFonts w:hint="eastAsia"/>
          <w:highlight w:val="none"/>
          <w:lang w:eastAsia="zh-CN"/>
        </w:rPr>
        <w:t>b）将产品系统加以扩展，从而抵扣产品生产造成的环境影响；</w:t>
      </w:r>
    </w:p>
    <w:p>
      <w:pPr>
        <w:pStyle w:val="2"/>
        <w:ind w:left="638" w:leftChars="200" w:hanging="218" w:hangingChars="104"/>
        <w:rPr>
          <w:rFonts w:hint="eastAsia"/>
          <w:highlight w:val="none"/>
          <w:lang w:eastAsia="zh-CN"/>
        </w:rPr>
      </w:pPr>
      <w:r>
        <w:rPr>
          <w:rFonts w:hint="eastAsia"/>
          <w:highlight w:val="none"/>
          <w:lang w:eastAsia="zh-CN"/>
        </w:rPr>
        <w:t>c）根据物理属性（如质量、工时）或产品经济价值等参数，按比例将输入输出数据分配到共生产品。</w:t>
      </w:r>
    </w:p>
    <w:p>
      <w:pPr>
        <w:pStyle w:val="2"/>
        <w:ind w:left="0" w:leftChars="0" w:firstLine="0" w:firstLineChars="0"/>
        <w:rPr>
          <w:rFonts w:hint="default"/>
          <w:highlight w:val="none"/>
          <w:lang w:val="en-US" w:eastAsia="zh-CN"/>
        </w:rPr>
      </w:pPr>
      <w:r>
        <w:rPr>
          <w:rFonts w:hint="eastAsia" w:ascii="黑体" w:hAnsi="黑体" w:eastAsia="黑体" w:cs="黑体"/>
          <w:highlight w:val="none"/>
          <w:lang w:val="en-US" w:eastAsia="zh-CN"/>
        </w:rPr>
        <w:t>6.2.2</w:t>
      </w:r>
      <w:r>
        <w:rPr>
          <w:rFonts w:hint="eastAsia"/>
          <w:highlight w:val="none"/>
          <w:lang w:val="en-US" w:eastAsia="zh-CN"/>
        </w:rPr>
        <w:t>镁冶炼制气阶段碳足迹数据分配方法如下：</w:t>
      </w:r>
    </w:p>
    <w:p>
      <w:pPr>
        <w:pStyle w:val="2"/>
        <w:ind w:left="840" w:leftChars="200" w:hanging="420" w:hangingChars="200"/>
        <w:rPr>
          <w:rFonts w:hint="eastAsia"/>
          <w:highlight w:val="none"/>
        </w:rPr>
      </w:pPr>
      <w:r>
        <w:rPr>
          <w:rFonts w:hint="eastAsia"/>
          <w:highlight w:val="none"/>
          <w:lang w:eastAsia="zh-CN"/>
        </w:rPr>
        <w:t>——</w:t>
      </w:r>
      <w:r>
        <w:rPr>
          <w:rFonts w:hint="eastAsia"/>
          <w:highlight w:val="none"/>
        </w:rPr>
        <w:t>按</w:t>
      </w:r>
      <w:r>
        <w:rPr>
          <w:rFonts w:hint="eastAsia"/>
          <w:highlight w:val="none"/>
          <w:lang w:val="en-US" w:eastAsia="zh-CN"/>
        </w:rPr>
        <w:t>副产物</w:t>
      </w:r>
      <w:r>
        <w:rPr>
          <w:rFonts w:hint="eastAsia"/>
          <w:highlight w:val="none"/>
        </w:rPr>
        <w:t>产量和热值分配：</w:t>
      </w:r>
      <w:r>
        <w:rPr>
          <w:rFonts w:hint="eastAsia"/>
          <w:highlight w:val="none"/>
          <w:lang w:val="en-US" w:eastAsia="zh-CN"/>
        </w:rPr>
        <w:t>将</w:t>
      </w:r>
      <w:r>
        <w:rPr>
          <w:rFonts w:hint="eastAsia"/>
          <w:color w:val="0000FF"/>
          <w:highlight w:val="none"/>
          <w:lang w:val="en-US" w:eastAsia="zh-CN"/>
        </w:rPr>
        <w:t>半焦（兰炭）、煤气和煤焦油等其他含碳副产品均视为主要产品，</w:t>
      </w:r>
      <w:r>
        <w:rPr>
          <w:rFonts w:hint="eastAsia"/>
          <w:highlight w:val="none"/>
          <w:lang w:val="en-US" w:eastAsia="zh-CN"/>
        </w:rPr>
        <w:t>所有产品共同</w:t>
      </w:r>
      <w:r>
        <w:rPr>
          <w:rFonts w:hint="eastAsia"/>
          <w:highlight w:val="none"/>
        </w:rPr>
        <w:t>分配部分原辅材料所产生的碳足迹值，分配比例以产品的</w:t>
      </w:r>
      <w:r>
        <w:rPr>
          <w:rFonts w:hint="eastAsia"/>
          <w:highlight w:val="none"/>
          <w:lang w:val="en-US" w:eastAsia="zh-CN"/>
        </w:rPr>
        <w:t>热值折算为标准煤后的量</w:t>
      </w:r>
      <w:r>
        <w:rPr>
          <w:rFonts w:hint="eastAsia"/>
          <w:highlight w:val="none"/>
        </w:rPr>
        <w:t>为参考依据。</w:t>
      </w:r>
    </w:p>
    <w:p>
      <w:pPr>
        <w:pStyle w:val="2"/>
        <w:ind w:left="840" w:leftChars="200" w:hanging="420" w:hangingChars="200"/>
        <w:rPr>
          <w:rFonts w:hint="eastAsia"/>
          <w:highlight w:val="none"/>
        </w:rPr>
      </w:pPr>
      <w:r>
        <w:rPr>
          <w:rFonts w:hint="eastAsia"/>
          <w:highlight w:val="none"/>
          <w:lang w:eastAsia="zh-CN"/>
        </w:rPr>
        <w:t>——</w:t>
      </w:r>
      <w:r>
        <w:rPr>
          <w:rFonts w:hint="eastAsia"/>
          <w:highlight w:val="none"/>
        </w:rPr>
        <w:t>按</w:t>
      </w:r>
      <w:r>
        <w:rPr>
          <w:rFonts w:hint="eastAsia"/>
          <w:highlight w:val="none"/>
          <w:lang w:val="en-US" w:eastAsia="zh-CN"/>
        </w:rPr>
        <w:t>经济</w:t>
      </w:r>
      <w:r>
        <w:rPr>
          <w:rFonts w:hint="eastAsia"/>
          <w:highlight w:val="none"/>
        </w:rPr>
        <w:t>价值分配：将原生镁锭视为主要产品，企业在投入固定的原辅材料生产原生镁锭的同时</w:t>
      </w:r>
      <w:r>
        <w:rPr>
          <w:rFonts w:hint="eastAsia"/>
          <w:color w:val="0000FF"/>
          <w:highlight w:val="none"/>
        </w:rPr>
        <w:t>还将输出</w:t>
      </w:r>
      <w:r>
        <w:rPr>
          <w:rFonts w:hint="eastAsia"/>
          <w:color w:val="0000FF"/>
          <w:highlight w:val="none"/>
          <w:lang w:val="en-US" w:eastAsia="zh-CN"/>
        </w:rPr>
        <w:t>半焦（兰炭）和煤焦油等其他含碳副产品，</w:t>
      </w:r>
      <w:r>
        <w:rPr>
          <w:rFonts w:hint="eastAsia"/>
          <w:highlight w:val="none"/>
        </w:rPr>
        <w:t>原生镁锭外的其他产品将被分配部分原辅材料所产生的碳足迹值，分配比例以产品的市场价值为参考依据。</w:t>
      </w:r>
    </w:p>
    <w:p>
      <w:pPr>
        <w:pStyle w:val="80"/>
        <w:numPr>
          <w:ilvl w:val="1"/>
          <w:numId w:val="20"/>
        </w:numPr>
        <w:spacing w:before="156" w:beforeLines="50" w:after="156" w:afterLines="50"/>
        <w:ind w:firstLineChars="0"/>
        <w:outlineLvl w:val="1"/>
        <w:rPr>
          <w:rFonts w:ascii="黑体" w:hAnsi="黑体" w:eastAsia="黑体" w:cs="黑体"/>
        </w:rPr>
      </w:pPr>
      <w:bookmarkStart w:id="58" w:name="_Toc32326"/>
      <w:r>
        <w:rPr>
          <w:rFonts w:hint="eastAsia" w:ascii="黑体" w:hAnsi="黑体" w:eastAsia="黑体" w:cs="黑体"/>
        </w:rPr>
        <w:t>取舍准则</w:t>
      </w:r>
      <w:bookmarkEnd w:id="58"/>
    </w:p>
    <w:p>
      <w:pPr>
        <w:pStyle w:val="80"/>
        <w:tabs>
          <w:tab w:val="center" w:pos="4201"/>
          <w:tab w:val="right" w:leader="dot" w:pos="9298"/>
        </w:tabs>
        <w:spacing w:line="276" w:lineRule="auto"/>
        <w:ind w:firstLine="420"/>
        <w:rPr>
          <w:rFonts w:ascii="Times New Roman"/>
        </w:rPr>
      </w:pPr>
      <w:r>
        <w:rPr>
          <w:rFonts w:hint="eastAsia" w:ascii="Times New Roman"/>
        </w:rPr>
        <w:t>本文件</w:t>
      </w:r>
      <w:r>
        <w:rPr>
          <w:rFonts w:ascii="Times New Roman"/>
        </w:rPr>
        <w:t>涉及的物质（能量）数据的取舍</w:t>
      </w:r>
      <w:r>
        <w:rPr>
          <w:rFonts w:hint="eastAsia" w:ascii="Times New Roman"/>
        </w:rPr>
        <w:t>准则如下</w:t>
      </w:r>
      <w:r>
        <w:rPr>
          <w:rFonts w:ascii="Times New Roman"/>
        </w:rPr>
        <w:t>：</w:t>
      </w:r>
    </w:p>
    <w:p>
      <w:pPr>
        <w:pStyle w:val="2"/>
        <w:numPr>
          <w:ilvl w:val="0"/>
          <w:numId w:val="23"/>
        </w:numPr>
        <w:ind w:firstLineChars="0"/>
      </w:pPr>
      <w:r>
        <w:t>能源</w:t>
      </w:r>
      <w:r>
        <w:rPr>
          <w:rFonts w:hint="eastAsia"/>
        </w:rPr>
        <w:t>的</w:t>
      </w:r>
      <w:r>
        <w:t>所有输入均需列出；</w:t>
      </w:r>
    </w:p>
    <w:p>
      <w:pPr>
        <w:pStyle w:val="2"/>
        <w:numPr>
          <w:ilvl w:val="0"/>
          <w:numId w:val="23"/>
        </w:numPr>
        <w:ind w:firstLineChars="0"/>
      </w:pPr>
      <w:r>
        <w:rPr>
          <w:rFonts w:hint="eastAsia"/>
        </w:rPr>
        <w:t>原辅材料的</w:t>
      </w:r>
      <w:r>
        <w:t>所有输入均需列出</w:t>
      </w:r>
      <w:r>
        <w:rPr>
          <w:rFonts w:hint="eastAsia"/>
        </w:rPr>
        <w:t>；</w:t>
      </w:r>
    </w:p>
    <w:p>
      <w:pPr>
        <w:pStyle w:val="2"/>
        <w:numPr>
          <w:ilvl w:val="0"/>
          <w:numId w:val="23"/>
        </w:numPr>
        <w:ind w:left="637" w:leftChars="189" w:hanging="241" w:hangingChars="115"/>
      </w:pPr>
      <w:r>
        <w:rPr>
          <w:rFonts w:hint="eastAsia"/>
        </w:rPr>
        <w:t>辅助材料</w:t>
      </w:r>
      <w:r>
        <w:t>若符合</w:t>
      </w:r>
      <w:r>
        <w:rPr>
          <w:rFonts w:hint="eastAsia"/>
        </w:rPr>
        <w:t>d</w:t>
      </w:r>
      <w:r>
        <w:t>）和</w:t>
      </w:r>
      <w:r>
        <w:rPr>
          <w:rFonts w:hint="eastAsia"/>
        </w:rPr>
        <w:t>e</w:t>
      </w:r>
      <w:r>
        <w:t>）要求则可忽略；</w:t>
      </w:r>
    </w:p>
    <w:p>
      <w:pPr>
        <w:pStyle w:val="2"/>
        <w:numPr>
          <w:ilvl w:val="0"/>
          <w:numId w:val="23"/>
        </w:numPr>
        <w:ind w:left="637" w:leftChars="189" w:hanging="241" w:hangingChars="115"/>
      </w:pPr>
      <w:r>
        <w:t>忽略的单项物质（能量）流对产品碳足迹的贡献均不得超过1%，如</w:t>
      </w:r>
      <w:r>
        <w:rPr>
          <w:rFonts w:hint="eastAsia"/>
        </w:rPr>
        <w:t>筑炉材料</w:t>
      </w:r>
      <w:r>
        <w:t>；</w:t>
      </w:r>
    </w:p>
    <w:p>
      <w:pPr>
        <w:pStyle w:val="2"/>
        <w:numPr>
          <w:ilvl w:val="0"/>
          <w:numId w:val="23"/>
        </w:numPr>
        <w:ind w:left="637" w:leftChars="189" w:hanging="241" w:hangingChars="115"/>
      </w:pPr>
      <w:r>
        <w:t>所有忽略的物质（能量）流对产品碳足迹贡献总和不超过5%，且应在产品碳足迹报告中予以说明</w:t>
      </w:r>
      <w:r>
        <w:rPr>
          <w:rFonts w:hint="eastAsia"/>
        </w:rPr>
        <w:t>；</w:t>
      </w:r>
    </w:p>
    <w:p>
      <w:pPr>
        <w:pStyle w:val="2"/>
        <w:numPr>
          <w:ilvl w:val="0"/>
          <w:numId w:val="23"/>
        </w:numPr>
        <w:ind w:left="637" w:leftChars="189" w:hanging="241" w:hangingChars="115"/>
      </w:pPr>
      <w:r>
        <w:t>道路与厂房等基础设施、厂区内人员</w:t>
      </w:r>
      <w:r>
        <w:rPr>
          <w:rFonts w:hint="eastAsia"/>
        </w:rPr>
        <w:t>办公</w:t>
      </w:r>
      <w:r>
        <w:t>及生活设施的消耗和排放，均忽略</w:t>
      </w:r>
      <w:r>
        <w:rPr>
          <w:rFonts w:hint="eastAsia"/>
        </w:rPr>
        <w:t>。</w:t>
      </w:r>
      <w:bookmarkStart w:id="59" w:name="_Toc17079"/>
      <w:bookmarkStart w:id="60" w:name="_Toc29073"/>
    </w:p>
    <w:p>
      <w:pPr>
        <w:pStyle w:val="80"/>
        <w:numPr>
          <w:ilvl w:val="1"/>
          <w:numId w:val="20"/>
        </w:numPr>
        <w:spacing w:before="156" w:beforeLines="50" w:after="156" w:afterLines="50"/>
        <w:ind w:firstLineChars="0"/>
        <w:outlineLvl w:val="1"/>
        <w:rPr>
          <w:rFonts w:ascii="黑体" w:hAnsi="黑体" w:eastAsia="黑体" w:cs="黑体"/>
        </w:rPr>
      </w:pPr>
      <w:r>
        <w:rPr>
          <w:rFonts w:hint="eastAsia" w:ascii="黑体" w:hAnsi="黑体" w:eastAsia="黑体" w:cs="黑体"/>
        </w:rPr>
        <w:t>清单计算</w:t>
      </w:r>
      <w:bookmarkEnd w:id="59"/>
      <w:bookmarkEnd w:id="60"/>
    </w:p>
    <w:p>
      <w:pPr>
        <w:pStyle w:val="2"/>
      </w:pPr>
      <w:r>
        <w:rPr>
          <w:rFonts w:hint="eastAsia"/>
        </w:rPr>
        <w:t>生命周期清单分析结果通常表现为一系列的数据表，展示每声明单位产品在每个阶段/单元过程中的资源使用量（如原辅材料和能源），以及释放到环境中的排放物（如温室气体、废弃物等）。</w:t>
      </w:r>
    </w:p>
    <w:p>
      <w:pPr>
        <w:pStyle w:val="88"/>
        <w:spacing w:before="312" w:beforeLines="100" w:after="312" w:afterLines="100"/>
        <w:ind w:left="0"/>
        <w:jc w:val="left"/>
        <w:outlineLvl w:val="0"/>
      </w:pPr>
      <w:bookmarkStart w:id="61" w:name="_Toc2088"/>
      <w:r>
        <w:rPr>
          <w:rFonts w:hint="eastAsia"/>
          <w:szCs w:val="22"/>
        </w:rPr>
        <w:t>产品碳足迹影响评价</w:t>
      </w:r>
      <w:bookmarkEnd w:id="61"/>
    </w:p>
    <w:p>
      <w:pPr>
        <w:pStyle w:val="2"/>
        <w:widowControl/>
        <w:numPr>
          <w:ilvl w:val="0"/>
          <w:numId w:val="24"/>
        </w:numPr>
        <w:autoSpaceDE w:val="0"/>
        <w:autoSpaceDN w:val="0"/>
        <w:spacing w:before="156" w:beforeLines="50" w:after="156" w:afterLines="50"/>
        <w:ind w:firstLineChars="0"/>
        <w:rPr>
          <w:rFonts w:ascii="黑体" w:hAnsi="黑体" w:eastAsia="黑体" w:cs="黑体"/>
          <w:vanish/>
          <w:kern w:val="0"/>
          <w:szCs w:val="22"/>
        </w:rPr>
      </w:pPr>
    </w:p>
    <w:p>
      <w:pPr>
        <w:pStyle w:val="2"/>
        <w:widowControl/>
        <w:numPr>
          <w:ilvl w:val="0"/>
          <w:numId w:val="24"/>
        </w:numPr>
        <w:autoSpaceDE w:val="0"/>
        <w:autoSpaceDN w:val="0"/>
        <w:spacing w:before="156" w:beforeLines="50" w:after="156" w:afterLines="50"/>
        <w:ind w:firstLineChars="0"/>
        <w:rPr>
          <w:rFonts w:ascii="黑体" w:hAnsi="黑体" w:eastAsia="黑体" w:cs="黑体"/>
          <w:vanish/>
          <w:kern w:val="0"/>
          <w:szCs w:val="22"/>
        </w:rPr>
      </w:pPr>
    </w:p>
    <w:p>
      <w:pPr>
        <w:pStyle w:val="87"/>
        <w:spacing w:before="156" w:after="156"/>
        <w:ind w:left="141" w:hanging="140" w:hangingChars="67"/>
      </w:pPr>
      <w:bookmarkStart w:id="62" w:name="_Toc23548"/>
      <w:r>
        <w:rPr>
          <w:rFonts w:hint="eastAsia" w:hAnsi="黑体" w:cs="黑体"/>
          <w:szCs w:val="22"/>
        </w:rPr>
        <w:t xml:space="preserve"> </w:t>
      </w:r>
      <w:bookmarkEnd w:id="62"/>
      <w:bookmarkStart w:id="63" w:name="_Toc26355"/>
      <w:bookmarkStart w:id="64" w:name="_Toc30282"/>
      <w:r>
        <w:rPr>
          <w:rFonts w:hint="eastAsia"/>
        </w:rPr>
        <w:t>通则</w:t>
      </w:r>
      <w:bookmarkEnd w:id="63"/>
      <w:bookmarkEnd w:id="64"/>
    </w:p>
    <w:p>
      <w:pPr>
        <w:pStyle w:val="80"/>
        <w:ind w:firstLine="0" w:firstLineChars="0"/>
        <w:rPr>
          <w:rFonts w:ascii="Times New Roman"/>
        </w:rPr>
      </w:pPr>
      <w:r>
        <w:rPr>
          <w:rFonts w:hint="eastAsia" w:ascii="黑体" w:hAnsi="黑体" w:eastAsia="黑体" w:cs="黑体"/>
          <w:szCs w:val="21"/>
        </w:rPr>
        <w:t>7.1.1</w:t>
      </w:r>
      <w:r>
        <w:rPr>
          <w:rFonts w:hint="eastAsia" w:ascii="Times New Roman"/>
        </w:rPr>
        <w:t xml:space="preserve"> 应通过排放或清除的GHG的质量乘以IPCC给出的100年</w:t>
      </w:r>
      <w:r>
        <w:rPr>
          <w:rFonts w:hint="eastAsia" w:ascii="Times New Roman"/>
          <w:i/>
          <w:iCs/>
        </w:rPr>
        <w:t>GWP</w:t>
      </w:r>
      <w:r>
        <w:rPr>
          <w:rFonts w:hint="eastAsia" w:ascii="Times New Roman"/>
        </w:rPr>
        <w:t>（见附录B），来计算产品系统每种 GHG排放和清除的潜在气候变化影响，以tCO</w:t>
      </w:r>
      <w:r>
        <w:rPr>
          <w:rFonts w:hint="eastAsia" w:ascii="Times New Roman"/>
          <w:vertAlign w:val="subscript"/>
        </w:rPr>
        <w:t>2</w:t>
      </w:r>
      <w:r>
        <w:rPr>
          <w:rFonts w:hint="eastAsia" w:ascii="Times New Roman"/>
        </w:rPr>
        <w:t>e/(t排放量)计。</w:t>
      </w:r>
    </w:p>
    <w:p>
      <w:pPr>
        <w:pStyle w:val="80"/>
        <w:ind w:firstLine="360"/>
        <w:rPr>
          <w:rFonts w:ascii="Times New Roman"/>
        </w:rPr>
      </w:pPr>
      <w:r>
        <w:rPr>
          <w:rFonts w:hint="eastAsia" w:ascii="黑体" w:hAnsi="黑体" w:eastAsia="黑体" w:cs="黑体"/>
          <w:sz w:val="18"/>
          <w:szCs w:val="16"/>
        </w:rPr>
        <w:t>注1:</w:t>
      </w:r>
      <w:r>
        <w:rPr>
          <w:rFonts w:hint="eastAsia" w:ascii="Times New Roman"/>
          <w:sz w:val="18"/>
          <w:szCs w:val="16"/>
        </w:rPr>
        <w:t>产品碳足迹为所有GHG潜在气候变化影响的总和。</w:t>
      </w:r>
    </w:p>
    <w:p>
      <w:pPr>
        <w:pStyle w:val="80"/>
        <w:ind w:firstLine="0" w:firstLineChars="0"/>
        <w:rPr>
          <w:rFonts w:ascii="Times New Roman"/>
        </w:rPr>
      </w:pPr>
      <w:r>
        <w:rPr>
          <w:rFonts w:hint="eastAsia" w:ascii="黑体" w:hAnsi="黑体" w:eastAsia="黑体" w:cs="黑体"/>
          <w:szCs w:val="21"/>
        </w:rPr>
        <w:t>7.1.2</w:t>
      </w:r>
      <w:r>
        <w:rPr>
          <w:rFonts w:hint="eastAsia" w:ascii="Times New Roman"/>
        </w:rPr>
        <w:t xml:space="preserve"> 若 IPCC 修订了</w:t>
      </w:r>
      <w:r>
        <w:rPr>
          <w:rFonts w:hint="eastAsia" w:ascii="Times New Roman"/>
          <w:i/>
          <w:iCs/>
        </w:rPr>
        <w:t>GWP</w:t>
      </w:r>
      <w:r>
        <w:rPr>
          <w:rFonts w:hint="eastAsia" w:ascii="Times New Roman"/>
        </w:rPr>
        <w:t>，应使用最新数值，否则应在报告中说明。</w:t>
      </w:r>
    </w:p>
    <w:p>
      <w:pPr>
        <w:pStyle w:val="80"/>
        <w:ind w:firstLine="0" w:firstLineChars="0"/>
        <w:rPr>
          <w:rFonts w:ascii="Times New Roman"/>
        </w:rPr>
      </w:pPr>
      <w:r>
        <w:rPr>
          <w:rFonts w:hint="eastAsia" w:ascii="黑体" w:hAnsi="黑体" w:eastAsia="黑体" w:cs="黑体"/>
          <w:szCs w:val="21"/>
        </w:rPr>
        <w:t>7.1.3</w:t>
      </w:r>
      <w:r>
        <w:rPr>
          <w:rFonts w:hint="eastAsia" w:ascii="Times New Roman"/>
        </w:rPr>
        <w:t xml:space="preserve"> 除 </w:t>
      </w:r>
      <w:r>
        <w:rPr>
          <w:rFonts w:hint="eastAsia" w:ascii="Times New Roman"/>
          <w:i/>
          <w:iCs/>
        </w:rPr>
        <w:t>GWP</w:t>
      </w:r>
      <w:r>
        <w:rPr>
          <w:rFonts w:hint="eastAsia" w:ascii="Times New Roman"/>
        </w:rPr>
        <w:t>100外，还可以使用IPCC提供的其他时间范围的</w:t>
      </w:r>
      <w:r>
        <w:rPr>
          <w:rFonts w:hint="eastAsia" w:ascii="Times New Roman"/>
          <w:i/>
          <w:iCs/>
        </w:rPr>
        <w:t>GWP</w:t>
      </w:r>
      <w:r>
        <w:rPr>
          <w:rFonts w:hint="eastAsia" w:ascii="Times New Roman"/>
        </w:rPr>
        <w:t>和</w:t>
      </w:r>
      <w:r>
        <w:rPr>
          <w:rFonts w:hint="eastAsia" w:ascii="Times New Roman"/>
          <w:i/>
          <w:iCs/>
        </w:rPr>
        <w:t>GTP</w:t>
      </w:r>
      <w:r>
        <w:rPr>
          <w:rFonts w:hint="eastAsia" w:ascii="Times New Roman"/>
        </w:rPr>
        <w:t>，但宜单独报告。</w:t>
      </w:r>
    </w:p>
    <w:p>
      <w:pPr>
        <w:pStyle w:val="80"/>
        <w:ind w:firstLine="360"/>
        <w:rPr>
          <w:rFonts w:ascii="Times New Roman"/>
          <w:sz w:val="18"/>
          <w:szCs w:val="16"/>
        </w:rPr>
      </w:pPr>
      <w:r>
        <w:rPr>
          <w:rFonts w:hint="eastAsia" w:ascii="黑体" w:hAnsi="黑体" w:eastAsia="黑体" w:cs="黑体"/>
          <w:sz w:val="18"/>
          <w:szCs w:val="16"/>
        </w:rPr>
        <w:t>注2:</w:t>
      </w:r>
      <w:r>
        <w:rPr>
          <w:rFonts w:hint="eastAsia" w:ascii="Times New Roman"/>
          <w:sz w:val="18"/>
          <w:szCs w:val="16"/>
        </w:rPr>
        <w:t>GWP 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pPr>
        <w:pStyle w:val="80"/>
        <w:ind w:firstLine="0" w:firstLineChars="0"/>
        <w:rPr>
          <w:rFonts w:ascii="Times New Roman"/>
        </w:rPr>
      </w:pPr>
      <w:r>
        <w:rPr>
          <w:rFonts w:hint="eastAsia" w:ascii="黑体" w:hAnsi="黑体" w:eastAsia="黑体" w:cs="黑体"/>
          <w:szCs w:val="21"/>
        </w:rPr>
        <w:t>7.1.4</w:t>
      </w:r>
      <w:r>
        <w:rPr>
          <w:rFonts w:hint="eastAsia" w:ascii="Times New Roman"/>
          <w:szCs w:val="21"/>
        </w:rPr>
        <w:t xml:space="preserve"> 见附录C。</w:t>
      </w:r>
      <w:r>
        <w:rPr>
          <w:rFonts w:ascii="Times New Roman"/>
        </w:rPr>
        <w:t xml:space="preserve">   </w:t>
      </w:r>
    </w:p>
    <w:p>
      <w:pPr>
        <w:pStyle w:val="87"/>
        <w:spacing w:before="156" w:after="156"/>
        <w:ind w:left="141" w:hanging="140" w:hangingChars="67"/>
      </w:pPr>
      <w:bookmarkStart w:id="65" w:name="_Toc171608652"/>
      <w:bookmarkStart w:id="66" w:name="_Toc5543"/>
      <w:bookmarkStart w:id="67" w:name="_Toc5726"/>
      <w:r>
        <w:rPr>
          <w:rFonts w:hint="eastAsia"/>
        </w:rPr>
        <w:t>产品碳足迹计算</w:t>
      </w:r>
      <w:bookmarkEnd w:id="65"/>
      <w:r>
        <w:rPr>
          <w:rFonts w:hint="eastAsia"/>
        </w:rPr>
        <w:t>方法</w:t>
      </w:r>
      <w:bookmarkEnd w:id="66"/>
      <w:bookmarkEnd w:id="67"/>
    </w:p>
    <w:p>
      <w:pPr>
        <w:pStyle w:val="80"/>
        <w:ind w:firstLine="420"/>
        <w:rPr>
          <w:rFonts w:ascii="Times New Roman"/>
        </w:rPr>
      </w:pPr>
      <w:r>
        <w:rPr>
          <w:rFonts w:hint="eastAsia" w:ascii="Times New Roman"/>
        </w:rPr>
        <w:t>原生镁锭碳足迹计算方法见</w:t>
      </w:r>
      <w:r>
        <w:rPr>
          <w:rFonts w:ascii="Times New Roman"/>
        </w:rPr>
        <w:t>公式（1）：</w:t>
      </w:r>
    </w:p>
    <w:p>
      <w:pPr>
        <w:pStyle w:val="80"/>
        <w:tabs>
          <w:tab w:val="center" w:pos="1560"/>
          <w:tab w:val="right" w:leader="dot" w:pos="9298"/>
        </w:tabs>
        <w:ind w:firstLine="420"/>
        <w:jc w:val="right"/>
        <w:rPr>
          <w:rFonts w:ascii="Times New Roman"/>
        </w:rPr>
      </w:pPr>
      <m:oMath>
        <m:sSub>
          <m:sSubPr>
            <m:ctrlPr>
              <w:rPr>
                <w:rFonts w:ascii="Cambria Math" w:hAnsi="Cambria Math"/>
                <w:i/>
                <w:vertAlign w:val="subscript"/>
              </w:rPr>
            </m:ctrlPr>
          </m:sSubPr>
          <m:e>
            <m:r>
              <m:rPr/>
              <w:rPr>
                <w:rFonts w:ascii="Cambria Math" w:hAnsi="Cambria Math"/>
                <w:vertAlign w:val="subscript"/>
              </w:rPr>
              <m:t>CFP</m:t>
            </m:r>
            <m:ctrlPr>
              <w:rPr>
                <w:rFonts w:ascii="Cambria Math" w:hAnsi="Cambria Math"/>
                <w:i/>
                <w:vertAlign w:val="subscript"/>
              </w:rPr>
            </m:ctrlPr>
          </m:e>
          <m:sub>
            <m:r>
              <m:rPr>
                <m:sty m:val="p"/>
              </m:rPr>
              <w:rPr>
                <w:rFonts w:ascii="Cambria Math" w:hAnsi="Cambria Math"/>
                <w:vertAlign w:val="subscript"/>
              </w:rPr>
              <m:t>GHG</m:t>
            </m:r>
            <m:ctrlPr>
              <w:rPr>
                <w:rFonts w:ascii="Cambria Math" w:hAnsi="Cambria Math"/>
                <w:i/>
                <w:vertAlign w:val="subscript"/>
              </w:rPr>
            </m:ctrlPr>
          </m:sub>
        </m:sSub>
        <m:r>
          <m:rPr/>
          <w:rPr>
            <w:rFonts w:ascii="Cambria Math" w:hAnsi="Cambria Math"/>
          </w:rPr>
          <m:t>=</m:t>
        </m:r>
        <m:nary>
          <m:naryPr>
            <m:chr m:val="∑"/>
            <m:limLoc m:val="undOvr"/>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nary>
              <m:naryPr>
                <m:chr m:val="∑"/>
                <m:limLoc m:val="undOvr"/>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m:sty m:val="p"/>
                  </m:rPr>
                  <w:rPr>
                    <w:rFonts w:hint="eastAsia" w:ascii="Cambria Math" w:hAnsi="Cambria Math"/>
                  </w:rPr>
                  <m:t>（</m:t>
                </m:r>
                <m:r>
                  <m:rPr/>
                  <w:rPr>
                    <w:rFonts w:ascii="Cambria Math" w:hAnsi="Cambria Math"/>
                  </w:rPr>
                  <m:t>A</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LCA,i,j</m:t>
                    </m:r>
                    <m:ctrlPr>
                      <w:rPr>
                        <w:rFonts w:ascii="Cambria Math" w:hAnsi="Cambria Math"/>
                        <w:i/>
                      </w:rPr>
                    </m:ctrlPr>
                  </m:sub>
                </m:sSub>
                <m:r>
                  <m:rPr>
                    <m:sty m:val="p"/>
                  </m:rPr>
                  <w:rPr>
                    <w:rFonts w:hint="eastAsia" w:ascii="Cambria Math" w:hAnsi="Cambria Math"/>
                  </w:rPr>
                  <m:t>）</m:t>
                </m:r>
                <m:r>
                  <m:rPr/>
                  <w:rPr>
                    <w:rFonts w:ascii="Cambria Math" w:hAnsi="Cambria Math"/>
                  </w:rPr>
                  <m:t>×</m:t>
                </m:r>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r>
              <m:rPr/>
              <w:rPr>
                <w:rFonts w:ascii="Cambria Math" w:hAnsi="Cambria Math"/>
              </w:rPr>
              <m:t>]</m:t>
            </m:r>
            <m:ctrlPr>
              <w:rPr>
                <w:rFonts w:ascii="Cambria Math" w:hAnsi="Cambria Math"/>
                <w:i/>
              </w:rPr>
            </m:ctrlPr>
          </m:e>
        </m:nary>
      </m:oMath>
      <w:r>
        <w:rPr>
          <w:rFonts w:hint="eastAsia" w:ascii="Times New Roman"/>
        </w:rPr>
        <w:t>…………………………</w:t>
      </w:r>
      <w:r>
        <w:rPr>
          <w:rFonts w:ascii="Times New Roman"/>
        </w:rPr>
        <w:t>（1）</w:t>
      </w:r>
    </w:p>
    <w:p>
      <w:pPr>
        <w:pStyle w:val="80"/>
        <w:ind w:firstLine="420"/>
        <w:jc w:val="left"/>
        <w:rPr>
          <w:rFonts w:ascii="Times New Roman"/>
        </w:rPr>
      </w:pPr>
      <w:r>
        <w:rPr>
          <w:rFonts w:ascii="Times New Roman"/>
        </w:rPr>
        <w:t>式中：</w:t>
      </w:r>
    </w:p>
    <w:p>
      <w:pPr>
        <w:pStyle w:val="80"/>
        <w:ind w:firstLine="420"/>
        <w:jc w:val="left"/>
        <w:rPr>
          <w:rFonts w:ascii="Times New Roman"/>
        </w:rPr>
      </w:pPr>
      <m:oMath>
        <m:sSub>
          <m:sSubPr>
            <m:ctrlPr>
              <w:rPr>
                <w:rFonts w:ascii="Cambria Math" w:hAnsi="Cambria Math"/>
                <w:i/>
                <w:vertAlign w:val="subscript"/>
              </w:rPr>
            </m:ctrlPr>
          </m:sSubPr>
          <m:e>
            <m:r>
              <m:rPr/>
              <w:rPr>
                <w:rFonts w:ascii="Cambria Math" w:hAnsi="Cambria Math"/>
                <w:vertAlign w:val="subscript"/>
              </w:rPr>
              <m:t>CFP</m:t>
            </m:r>
            <m:ctrlPr>
              <w:rPr>
                <w:rFonts w:ascii="Cambria Math" w:hAnsi="Cambria Math"/>
                <w:i/>
                <w:vertAlign w:val="subscript"/>
              </w:rPr>
            </m:ctrlPr>
          </m:e>
          <m:sub>
            <m:r>
              <m:rPr>
                <m:sty m:val="p"/>
              </m:rPr>
              <w:rPr>
                <w:rFonts w:ascii="Cambria Math" w:hAnsi="Cambria Math"/>
                <w:vertAlign w:val="subscript"/>
              </w:rPr>
              <m:t>GHG</m:t>
            </m:r>
            <m:ctrlPr>
              <w:rPr>
                <w:rFonts w:ascii="Cambria Math" w:hAnsi="Cambria Math"/>
                <w:i/>
                <w:vertAlign w:val="subscript"/>
              </w:rPr>
            </m:ctrlPr>
          </m:sub>
        </m:sSub>
      </m:oMath>
      <w:r>
        <w:rPr>
          <w:rFonts w:hint="eastAsia" w:hAnsi="Cambria Math"/>
          <w:vertAlign w:val="subscript"/>
        </w:rPr>
        <w:t xml:space="preserve"> </w:t>
      </w:r>
      <w:r>
        <w:rPr>
          <w:rFonts w:ascii="Times New Roman"/>
        </w:rPr>
        <w:t>——</w:t>
      </w:r>
      <w:r>
        <w:rPr>
          <w:rFonts w:hint="eastAsia" w:ascii="Times New Roman"/>
        </w:rPr>
        <w:t>原生镁锭碳足迹</w:t>
      </w:r>
      <w:r>
        <w:rPr>
          <w:rFonts w:ascii="Times New Roman"/>
        </w:rPr>
        <w:t>，</w:t>
      </w:r>
      <w:r>
        <w:rPr>
          <w:rFonts w:hint="eastAsia" w:ascii="Times New Roman"/>
        </w:rPr>
        <w:t>以吨二氧化碳当量每吨（</w:t>
      </w:r>
      <w:r>
        <w:rPr>
          <w:rFonts w:ascii="Times New Roman"/>
        </w:rPr>
        <w:t>tCO</w:t>
      </w:r>
      <w:r>
        <w:rPr>
          <w:rFonts w:ascii="Times New Roman"/>
          <w:vertAlign w:val="subscript"/>
        </w:rPr>
        <w:t>2</w:t>
      </w:r>
      <w:r>
        <w:rPr>
          <w:rFonts w:ascii="Times New Roman"/>
        </w:rPr>
        <w:t>e</w:t>
      </w:r>
      <w:r>
        <w:rPr>
          <w:rFonts w:hint="eastAsia" w:ascii="Times New Roman"/>
        </w:rPr>
        <w:t>/t）计；</w:t>
      </w:r>
    </w:p>
    <w:p>
      <w:pPr>
        <w:pStyle w:val="80"/>
        <w:ind w:left="1476" w:leftChars="200" w:hanging="1056" w:hangingChars="503"/>
        <w:jc w:val="left"/>
        <w:rPr>
          <w:rFonts w:ascii="Times New Roman"/>
        </w:rPr>
      </w:pPr>
      <m:oMath>
        <m:r>
          <m:rPr/>
          <w:rPr>
            <w:rFonts w:ascii="Cambria Math" w:hAnsi="Cambria Math"/>
          </w:rPr>
          <m:t>A</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 xml:space="preserve">    </w:t>
      </w:r>
      <w:r>
        <w:rPr>
          <w:rFonts w:ascii="Times New Roman"/>
        </w:rPr>
        <w:t>——</w:t>
      </w:r>
      <w:r>
        <w:rPr>
          <w:rFonts w:hint="eastAsia" w:ascii="Times New Roman"/>
        </w:rPr>
        <w:t>系统边界内，各声明单位中第</w:t>
      </w:r>
      <w:r>
        <w:rPr>
          <w:rFonts w:hint="eastAsia" w:ascii="Times New Roman"/>
          <w:i/>
          <w:iCs/>
        </w:rPr>
        <w:t>i</w:t>
      </w:r>
      <w:r>
        <w:rPr>
          <w:rFonts w:hint="eastAsia" w:ascii="Times New Roman"/>
        </w:rPr>
        <w:t>种活动的GHG排放和清除相关数据(包活初级数据和次级数据)，单位根据具体排放源确定；</w:t>
      </w:r>
    </w:p>
    <w:p>
      <w:pPr>
        <w:pStyle w:val="80"/>
        <w:tabs>
          <w:tab w:val="center" w:pos="4201"/>
          <w:tab w:val="right" w:leader="dot" w:pos="9298"/>
        </w:tabs>
        <w:ind w:left="1476" w:leftChars="200" w:hanging="1056" w:hangingChars="503"/>
        <w:rPr>
          <w:rFonts w:ascii="Times New Roman"/>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LCA,i,j</m:t>
            </m:r>
            <m:ctrlPr>
              <w:rPr>
                <w:rFonts w:ascii="Cambria Math" w:hAnsi="Cambria Math"/>
                <w:i/>
              </w:rPr>
            </m:ctrlPr>
          </m:sub>
        </m:sSub>
      </m:oMath>
      <w:r>
        <w:rPr>
          <w:rFonts w:ascii="Times New Roman"/>
        </w:rPr>
        <w:t>——第</w:t>
      </w:r>
      <w:r>
        <w:rPr>
          <w:rFonts w:ascii="Times New Roman"/>
          <w:i/>
          <w:iCs/>
        </w:rPr>
        <w:t>i</w:t>
      </w:r>
      <w:r>
        <w:rPr>
          <w:rFonts w:ascii="Times New Roman"/>
        </w:rPr>
        <w:t>种活动对应的温室气体</w:t>
      </w:r>
      <w:r>
        <w:rPr>
          <w:rFonts w:hint="eastAsia" w:ascii="Times New Roman"/>
        </w:rPr>
        <w:t>j的</w:t>
      </w:r>
      <w:r>
        <w:rPr>
          <w:rFonts w:ascii="Times New Roman"/>
        </w:rPr>
        <w:t>排放因子，单位与</w:t>
      </w:r>
      <w:r>
        <w:rPr>
          <w:rFonts w:hint="eastAsia" w:ascii="Times New Roman"/>
        </w:rPr>
        <w:t>GHG活动数据</w:t>
      </w:r>
      <w:r>
        <w:rPr>
          <w:rFonts w:ascii="Times New Roman"/>
        </w:rPr>
        <w:t>相匹配；</w:t>
      </w:r>
    </w:p>
    <w:p>
      <w:pPr>
        <w:pStyle w:val="2"/>
        <w:spacing w:line="360" w:lineRule="exact"/>
        <w:ind w:left="840" w:leftChars="200" w:hanging="420" w:hangingChars="200"/>
        <w:textAlignment w:val="center"/>
        <w:rPr>
          <w:szCs w:val="21"/>
        </w:rPr>
      </w:pPr>
      <m:oMath>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 xml:space="preserve">  </w:t>
      </w:r>
      <w:r>
        <w:t>——</w:t>
      </w:r>
      <w:r>
        <w:rPr>
          <w:rFonts w:hint="eastAsia"/>
        </w:rPr>
        <w:t>温室气体</w:t>
      </w:r>
      <w:r>
        <w:rPr>
          <w:rFonts w:hint="eastAsia"/>
          <w:i/>
          <w:iCs/>
        </w:rPr>
        <w:t>j</w:t>
      </w:r>
      <w:r>
        <w:rPr>
          <w:rFonts w:hint="eastAsia"/>
        </w:rPr>
        <w:t>的</w:t>
      </w:r>
      <w:r>
        <w:rPr>
          <w:i/>
          <w:iCs/>
        </w:rPr>
        <w:t>GWP</w:t>
      </w:r>
      <w:r>
        <w:rPr>
          <w:rFonts w:hint="eastAsia"/>
        </w:rPr>
        <w:t>值</w:t>
      </w:r>
      <w:r>
        <w:t>，按</w:t>
      </w:r>
      <w:r>
        <w:rPr>
          <w:rFonts w:hint="eastAsia"/>
        </w:rPr>
        <w:t>7.1中的规定</w:t>
      </w:r>
      <w:r>
        <w:t>取值。</w:t>
      </w:r>
    </w:p>
    <w:p>
      <w:pPr>
        <w:pStyle w:val="88"/>
        <w:spacing w:before="312" w:beforeLines="100" w:after="312" w:afterLines="100"/>
        <w:ind w:left="0"/>
        <w:jc w:val="left"/>
        <w:outlineLvl w:val="0"/>
        <w:rPr>
          <w:szCs w:val="22"/>
        </w:rPr>
      </w:pPr>
      <w:bookmarkStart w:id="68" w:name="_Toc13848"/>
      <w:r>
        <w:rPr>
          <w:rFonts w:hint="eastAsia"/>
          <w:szCs w:val="22"/>
        </w:rPr>
        <w:t>产品碳足迹解释</w:t>
      </w:r>
      <w:bookmarkEnd w:id="68"/>
      <w:r>
        <w:rPr>
          <w:rFonts w:hint="eastAsia"/>
          <w:szCs w:val="22"/>
        </w:rPr>
        <w:t xml:space="preserve">     </w:t>
      </w:r>
    </w:p>
    <w:p>
      <w:pPr>
        <w:pStyle w:val="80"/>
        <w:ind w:firstLine="0" w:firstLineChars="0"/>
        <w:rPr>
          <w:rFonts w:ascii="Times New Roman" w:eastAsiaTheme="minorEastAsia"/>
        </w:rPr>
      </w:pPr>
      <w:r>
        <w:rPr>
          <w:rFonts w:hint="eastAsia" w:ascii="黑体" w:hAnsi="黑体" w:eastAsia="黑体" w:cs="黑体"/>
        </w:rPr>
        <w:t xml:space="preserve">8.1 </w:t>
      </w:r>
      <w:r>
        <w:rPr>
          <w:rFonts w:ascii="Times New Roman" w:eastAsiaTheme="minorEastAsia"/>
        </w:rPr>
        <w:t>产品碳足迹研究的生命周期结果解释阶段应包括以下步骤：</w:t>
      </w:r>
    </w:p>
    <w:p>
      <w:pPr>
        <w:pStyle w:val="2"/>
        <w:numPr>
          <w:ilvl w:val="0"/>
          <w:numId w:val="25"/>
        </w:numPr>
        <w:ind w:left="639" w:leftChars="189" w:hanging="243" w:firstLineChars="0"/>
      </w:pPr>
      <w:r>
        <w:rPr>
          <w:rFonts w:hint="eastAsia"/>
        </w:rPr>
        <w:t>根据生命周期清单分析和生命周期影响评价的原生镁锭</w:t>
      </w:r>
      <w:r>
        <w:t>碳足迹的量化结果，识别显著环节（可包括生命周期阶段、单元过程或流）</w:t>
      </w:r>
      <w:r>
        <w:rPr>
          <w:rFonts w:hint="eastAsia"/>
        </w:rPr>
        <w:t>；</w:t>
      </w:r>
    </w:p>
    <w:p>
      <w:pPr>
        <w:pStyle w:val="2"/>
        <w:numPr>
          <w:ilvl w:val="0"/>
          <w:numId w:val="25"/>
        </w:numPr>
        <w:ind w:firstLineChars="0"/>
      </w:pPr>
      <w:r>
        <w:t>完整性、一致性和敏感性分析的评估；</w:t>
      </w:r>
    </w:p>
    <w:p>
      <w:pPr>
        <w:pStyle w:val="2"/>
        <w:numPr>
          <w:ilvl w:val="0"/>
          <w:numId w:val="25"/>
        </w:numPr>
        <w:ind w:firstLineChars="0"/>
      </w:pPr>
      <w:r>
        <w:t>结论、局限性和建议的编制。</w:t>
      </w:r>
    </w:p>
    <w:p>
      <w:r>
        <w:rPr>
          <w:rFonts w:hint="eastAsia" w:ascii="黑体" w:hAnsi="黑体" w:eastAsia="黑体" w:cs="黑体"/>
        </w:rPr>
        <w:t>8.2</w:t>
      </w:r>
      <w:r>
        <w:rPr>
          <w:rFonts w:hint="eastAsia"/>
        </w:rPr>
        <w:t xml:space="preserve"> </w:t>
      </w:r>
      <w:r>
        <w:t>按照产品碳足迹研究的目的和范围，对产品碳足迹影响评价的量化结果进行解释，解释应包括以下内容：</w:t>
      </w:r>
    </w:p>
    <w:p>
      <w:pPr>
        <w:pStyle w:val="2"/>
        <w:numPr>
          <w:ilvl w:val="0"/>
          <w:numId w:val="26"/>
        </w:numPr>
        <w:ind w:left="639" w:leftChars="189" w:hanging="243" w:firstLineChars="0"/>
      </w:pPr>
      <w:r>
        <w:rPr>
          <w:rFonts w:hint="eastAsia"/>
        </w:rPr>
        <w:t>说明产品碳足迹和各阶段碳足迹；</w:t>
      </w:r>
    </w:p>
    <w:p>
      <w:pPr>
        <w:pStyle w:val="2"/>
        <w:numPr>
          <w:ilvl w:val="0"/>
          <w:numId w:val="26"/>
        </w:numPr>
        <w:ind w:left="639" w:leftChars="189" w:hanging="243" w:firstLineChars="0"/>
      </w:pPr>
      <w:r>
        <w:rPr>
          <w:rFonts w:hint="eastAsia"/>
        </w:rPr>
        <w:t>分析不确定性，包括取舍准则的应用或范围；</w:t>
      </w:r>
    </w:p>
    <w:p>
      <w:pPr>
        <w:pStyle w:val="2"/>
        <w:numPr>
          <w:ilvl w:val="0"/>
          <w:numId w:val="26"/>
        </w:numPr>
        <w:ind w:left="639" w:leftChars="189" w:hanging="243" w:firstLineChars="0"/>
      </w:pPr>
      <w:r>
        <w:rPr>
          <w:rFonts w:hint="eastAsia"/>
        </w:rPr>
        <w:t>详细记录选定的分配程序；</w:t>
      </w:r>
    </w:p>
    <w:p>
      <w:pPr>
        <w:pStyle w:val="2"/>
        <w:numPr>
          <w:ilvl w:val="0"/>
          <w:numId w:val="26"/>
        </w:numPr>
        <w:ind w:left="639" w:leftChars="189" w:hanging="243" w:firstLineChars="0"/>
      </w:pPr>
      <w:r>
        <w:rPr>
          <w:rFonts w:hint="eastAsia"/>
        </w:rPr>
        <w:t>说明产品碳足迹研究的局限性。</w:t>
      </w:r>
    </w:p>
    <w:p>
      <w:pPr>
        <w:pStyle w:val="80"/>
        <w:ind w:firstLine="0" w:firstLineChars="0"/>
        <w:rPr>
          <w:rFonts w:ascii="Times New Roman"/>
        </w:rPr>
      </w:pPr>
      <w:r>
        <w:rPr>
          <w:rFonts w:hint="eastAsia" w:ascii="黑体" w:hAnsi="黑体" w:eastAsia="黑体" w:cs="黑体"/>
        </w:rPr>
        <w:t xml:space="preserve">8.3 </w:t>
      </w:r>
      <w:r>
        <w:rPr>
          <w:rFonts w:ascii="Times New Roman"/>
        </w:rPr>
        <w:t>结果解释宜包括以下内容：</w:t>
      </w:r>
    </w:p>
    <w:p>
      <w:pPr>
        <w:pStyle w:val="2"/>
        <w:numPr>
          <w:ilvl w:val="0"/>
          <w:numId w:val="27"/>
        </w:numPr>
        <w:ind w:left="639" w:leftChars="189" w:hanging="243" w:firstLineChars="0"/>
      </w:pPr>
      <w:r>
        <w:rPr>
          <w:rFonts w:hint="eastAsia"/>
        </w:rPr>
        <w:t>分析</w:t>
      </w:r>
      <w:r>
        <w:t>重要输入、输出和方法学选择（包括分配程序）</w:t>
      </w:r>
      <w:r>
        <w:rPr>
          <w:rFonts w:hint="eastAsia"/>
        </w:rPr>
        <w:t>，</w:t>
      </w:r>
      <w:r>
        <w:t>进行敏感性检查</w:t>
      </w:r>
      <w:r>
        <w:rPr>
          <w:rFonts w:hint="eastAsia"/>
        </w:rPr>
        <w:t>，以了解结果的敏感性和不确定性；</w:t>
      </w:r>
    </w:p>
    <w:p>
      <w:pPr>
        <w:pStyle w:val="2"/>
        <w:numPr>
          <w:ilvl w:val="0"/>
          <w:numId w:val="27"/>
        </w:numPr>
        <w:ind w:left="639" w:leftChars="189" w:hanging="243" w:firstLineChars="0"/>
      </w:pPr>
      <w:r>
        <w:rPr>
          <w:rFonts w:hint="eastAsia"/>
        </w:rPr>
        <w:t>评估建议对结果的影响。</w:t>
      </w:r>
    </w:p>
    <w:p>
      <w:pPr>
        <w:pStyle w:val="2"/>
        <w:keepNext/>
        <w:keepLines/>
        <w:numPr>
          <w:ilvl w:val="0"/>
          <w:numId w:val="28"/>
        </w:numPr>
        <w:spacing w:before="260" w:after="260" w:line="416" w:lineRule="auto"/>
        <w:ind w:firstLineChars="0"/>
        <w:outlineLvl w:val="1"/>
        <w:rPr>
          <w:rFonts w:ascii="Arial" w:hAnsi="Arial" w:eastAsia="黑体"/>
          <w:b/>
          <w:bCs/>
          <w:vanish/>
          <w:szCs w:val="21"/>
        </w:rPr>
      </w:pPr>
    </w:p>
    <w:p>
      <w:pPr>
        <w:pStyle w:val="2"/>
        <w:keepNext/>
        <w:keepLines/>
        <w:numPr>
          <w:ilvl w:val="0"/>
          <w:numId w:val="28"/>
        </w:numPr>
        <w:spacing w:before="260" w:after="260" w:line="416" w:lineRule="auto"/>
        <w:ind w:firstLineChars="0"/>
        <w:outlineLvl w:val="1"/>
        <w:rPr>
          <w:rFonts w:ascii="Arial" w:hAnsi="Arial" w:eastAsia="黑体"/>
          <w:b/>
          <w:bCs/>
          <w:vanish/>
          <w:szCs w:val="21"/>
        </w:rPr>
      </w:pPr>
    </w:p>
    <w:p>
      <w:pPr>
        <w:pStyle w:val="2"/>
        <w:keepNext/>
        <w:keepLines/>
        <w:numPr>
          <w:ilvl w:val="0"/>
          <w:numId w:val="28"/>
        </w:numPr>
        <w:spacing w:before="260" w:after="260" w:line="416" w:lineRule="auto"/>
        <w:ind w:firstLineChars="0"/>
        <w:outlineLvl w:val="1"/>
        <w:rPr>
          <w:rFonts w:ascii="Arial" w:hAnsi="Arial" w:eastAsia="黑体"/>
          <w:b/>
          <w:bCs/>
          <w:vanish/>
          <w:szCs w:val="21"/>
        </w:rPr>
      </w:pPr>
    </w:p>
    <w:p>
      <w:pPr>
        <w:pStyle w:val="2"/>
        <w:keepNext/>
        <w:keepLines/>
        <w:numPr>
          <w:ilvl w:val="0"/>
          <w:numId w:val="28"/>
        </w:numPr>
        <w:spacing w:before="260" w:after="260" w:line="416" w:lineRule="auto"/>
        <w:ind w:firstLineChars="0"/>
        <w:outlineLvl w:val="1"/>
        <w:rPr>
          <w:rFonts w:ascii="Arial" w:hAnsi="Arial" w:eastAsia="黑体"/>
          <w:b/>
          <w:bCs/>
          <w:vanish/>
          <w:szCs w:val="21"/>
        </w:rPr>
      </w:pPr>
    </w:p>
    <w:p>
      <w:pPr>
        <w:pStyle w:val="2"/>
        <w:keepNext/>
        <w:keepLines/>
        <w:numPr>
          <w:ilvl w:val="0"/>
          <w:numId w:val="28"/>
        </w:numPr>
        <w:spacing w:before="260" w:after="260" w:line="416" w:lineRule="auto"/>
        <w:ind w:firstLineChars="0"/>
        <w:outlineLvl w:val="1"/>
        <w:rPr>
          <w:rFonts w:ascii="Arial" w:hAnsi="Arial" w:eastAsia="黑体"/>
          <w:b/>
          <w:bCs/>
          <w:vanish/>
          <w:szCs w:val="21"/>
        </w:rPr>
      </w:pPr>
    </w:p>
    <w:p>
      <w:pPr>
        <w:pStyle w:val="2"/>
        <w:keepNext/>
        <w:keepLines/>
        <w:numPr>
          <w:ilvl w:val="0"/>
          <w:numId w:val="28"/>
        </w:numPr>
        <w:spacing w:before="260" w:after="260" w:line="416" w:lineRule="auto"/>
        <w:ind w:firstLineChars="0"/>
        <w:outlineLvl w:val="1"/>
        <w:rPr>
          <w:rFonts w:ascii="Arial" w:hAnsi="Arial" w:eastAsia="黑体"/>
          <w:b/>
          <w:bCs/>
          <w:vanish/>
          <w:szCs w:val="21"/>
        </w:rPr>
      </w:pPr>
    </w:p>
    <w:p>
      <w:pPr>
        <w:pStyle w:val="88"/>
        <w:spacing w:before="156" w:after="156"/>
        <w:ind w:left="0"/>
        <w:jc w:val="left"/>
        <w:outlineLvl w:val="0"/>
        <w:rPr>
          <w:szCs w:val="22"/>
        </w:rPr>
      </w:pPr>
      <w:bookmarkStart w:id="69" w:name="_Toc101626345"/>
      <w:bookmarkEnd w:id="69"/>
      <w:bookmarkStart w:id="70" w:name="_Toc23522"/>
      <w:bookmarkStart w:id="71" w:name="_Toc102652297"/>
      <w:bookmarkStart w:id="72" w:name="_Toc10684"/>
      <w:r>
        <w:rPr>
          <w:rFonts w:hint="eastAsia"/>
          <w:szCs w:val="22"/>
        </w:rPr>
        <w:t>产品碳足迹报告</w:t>
      </w:r>
      <w:bookmarkEnd w:id="70"/>
      <w:bookmarkEnd w:id="71"/>
      <w:bookmarkEnd w:id="72"/>
      <w:r>
        <w:rPr>
          <w:rFonts w:hint="eastAsia"/>
          <w:szCs w:val="22"/>
        </w:rPr>
        <w:t xml:space="preserve">   </w:t>
      </w:r>
    </w:p>
    <w:p>
      <w:pPr>
        <w:pStyle w:val="80"/>
        <w:tabs>
          <w:tab w:val="center" w:pos="4201"/>
          <w:tab w:val="right" w:leader="dot" w:pos="9298"/>
        </w:tabs>
        <w:ind w:firstLine="420"/>
        <w:rPr>
          <w:rFonts w:ascii="Times New Roman"/>
        </w:rPr>
      </w:pPr>
      <w:r>
        <w:rPr>
          <w:rFonts w:ascii="Times New Roman"/>
        </w:rPr>
        <w:t>产品碳足迹报告应包括但不仅限于以下内容（参考格式见</w:t>
      </w:r>
      <w:r>
        <w:rPr>
          <w:rFonts w:hint="eastAsia" w:ascii="Times New Roman"/>
        </w:rPr>
        <w:t>附录D</w:t>
      </w:r>
      <w:r>
        <w:rPr>
          <w:rFonts w:ascii="Times New Roman"/>
        </w:rPr>
        <w:t xml:space="preserve">）： </w:t>
      </w:r>
    </w:p>
    <w:p>
      <w:pPr>
        <w:pStyle w:val="2"/>
        <w:numPr>
          <w:ilvl w:val="0"/>
          <w:numId w:val="29"/>
        </w:numPr>
        <w:ind w:left="639" w:leftChars="189" w:hanging="243" w:firstLineChars="0"/>
      </w:pPr>
      <w:bookmarkStart w:id="73" w:name="_Toc16401"/>
      <w:bookmarkStart w:id="74" w:name="_Toc171608658"/>
      <w:bookmarkStart w:id="75" w:name="_Toc700"/>
      <w:bookmarkStart w:id="76" w:name="_Toc19434"/>
      <w:bookmarkStart w:id="77" w:name="_Toc1642"/>
      <w:bookmarkStart w:id="78" w:name="_Toc25640"/>
      <w:bookmarkStart w:id="79" w:name="_Toc12464"/>
      <w:bookmarkStart w:id="80" w:name="_Toc14786"/>
      <w:bookmarkStart w:id="81" w:name="_Toc10274"/>
      <w:bookmarkStart w:id="82" w:name="_Toc26295"/>
      <w:bookmarkStart w:id="83" w:name="_Toc29928"/>
      <w:bookmarkStart w:id="84" w:name="_Toc16668"/>
      <w:bookmarkStart w:id="85" w:name="_Toc171608659"/>
      <w:bookmarkStart w:id="86" w:name="_Toc206"/>
      <w:bookmarkStart w:id="87" w:name="_Toc30283"/>
      <w:bookmarkStart w:id="88" w:name="_Toc12257"/>
      <w:bookmarkStart w:id="89" w:name="_Toc27086"/>
      <w:bookmarkStart w:id="90" w:name="_Toc16598"/>
      <w:bookmarkStart w:id="91" w:name="_Toc9881"/>
      <w:bookmarkStart w:id="92" w:name="_Toc26088"/>
      <w:r>
        <w:rPr>
          <w:rFonts w:hint="eastAsia"/>
        </w:rPr>
        <w:t>基本情况</w:t>
      </w:r>
      <w:bookmarkEnd w:id="73"/>
      <w:bookmarkEnd w:id="74"/>
      <w:bookmarkEnd w:id="75"/>
      <w:bookmarkEnd w:id="76"/>
      <w:bookmarkEnd w:id="77"/>
      <w:bookmarkEnd w:id="78"/>
      <w:bookmarkEnd w:id="79"/>
      <w:bookmarkEnd w:id="80"/>
      <w:bookmarkEnd w:id="81"/>
      <w:bookmarkEnd w:id="82"/>
      <w:r>
        <w:t>：</w:t>
      </w:r>
    </w:p>
    <w:p>
      <w:pPr>
        <w:pStyle w:val="80"/>
        <w:tabs>
          <w:tab w:val="center" w:pos="4201"/>
          <w:tab w:val="right" w:leader="dot" w:pos="9298"/>
        </w:tabs>
        <w:ind w:left="635" w:firstLine="0" w:firstLineChars="0"/>
        <w:jc w:val="left"/>
        <w:rPr>
          <w:rFonts w:ascii="Times New Roman"/>
        </w:rPr>
      </w:pPr>
      <w:r>
        <w:rPr>
          <w:rFonts w:ascii="Times New Roman"/>
        </w:rPr>
        <w:t>1）委托方与评价方信息；</w:t>
      </w:r>
    </w:p>
    <w:p>
      <w:pPr>
        <w:pStyle w:val="80"/>
        <w:tabs>
          <w:tab w:val="center" w:pos="4201"/>
          <w:tab w:val="right" w:leader="dot" w:pos="9298"/>
        </w:tabs>
        <w:ind w:left="635" w:firstLine="0" w:firstLineChars="0"/>
        <w:jc w:val="left"/>
        <w:rPr>
          <w:rFonts w:ascii="Times New Roman"/>
        </w:rPr>
      </w:pPr>
      <w:r>
        <w:rPr>
          <w:rFonts w:ascii="Times New Roman"/>
        </w:rPr>
        <w:t>2）报告信息；</w:t>
      </w:r>
    </w:p>
    <w:p>
      <w:pPr>
        <w:pStyle w:val="80"/>
        <w:tabs>
          <w:tab w:val="center" w:pos="4201"/>
          <w:tab w:val="right" w:leader="dot" w:pos="9298"/>
        </w:tabs>
        <w:ind w:left="635" w:firstLine="0" w:firstLineChars="0"/>
        <w:jc w:val="left"/>
        <w:rPr>
          <w:rFonts w:ascii="Times New Roman"/>
        </w:rPr>
      </w:pPr>
      <w:r>
        <w:rPr>
          <w:rFonts w:ascii="Times New Roman"/>
        </w:rPr>
        <w:t>3）依据的标准；</w:t>
      </w:r>
    </w:p>
    <w:p>
      <w:pPr>
        <w:pStyle w:val="80"/>
        <w:tabs>
          <w:tab w:val="center" w:pos="4201"/>
          <w:tab w:val="right" w:leader="dot" w:pos="9298"/>
        </w:tabs>
        <w:ind w:left="635" w:firstLine="0" w:firstLineChars="0"/>
        <w:jc w:val="left"/>
        <w:rPr>
          <w:rFonts w:ascii="Times New Roman"/>
        </w:rPr>
      </w:pPr>
      <w:r>
        <w:rPr>
          <w:rFonts w:ascii="Times New Roman"/>
        </w:rPr>
        <w:t>4）使用的产品种类规则或其他补充要求的参考资料（如有）。</w:t>
      </w:r>
    </w:p>
    <w:p>
      <w:pPr>
        <w:pStyle w:val="2"/>
        <w:numPr>
          <w:ilvl w:val="0"/>
          <w:numId w:val="29"/>
        </w:numPr>
        <w:ind w:left="639" w:leftChars="189" w:hanging="243" w:firstLineChars="0"/>
      </w:pPr>
      <w:r>
        <w:rPr>
          <w:rFonts w:hint="eastAsia"/>
        </w:rPr>
        <w:t>量化目的</w:t>
      </w:r>
      <w:bookmarkEnd w:id="83"/>
      <w:bookmarkEnd w:id="84"/>
      <w:bookmarkEnd w:id="85"/>
      <w:bookmarkEnd w:id="86"/>
      <w:bookmarkEnd w:id="87"/>
      <w:bookmarkEnd w:id="88"/>
      <w:bookmarkEnd w:id="89"/>
      <w:bookmarkEnd w:id="90"/>
      <w:bookmarkEnd w:id="91"/>
      <w:bookmarkEnd w:id="92"/>
      <w:r>
        <w:t>：</w:t>
      </w:r>
    </w:p>
    <w:p>
      <w:pPr>
        <w:pStyle w:val="80"/>
        <w:tabs>
          <w:tab w:val="center" w:pos="4201"/>
          <w:tab w:val="right" w:leader="dot" w:pos="9298"/>
        </w:tabs>
        <w:ind w:left="635" w:firstLine="0" w:firstLineChars="0"/>
        <w:rPr>
          <w:rFonts w:ascii="Times New Roman"/>
        </w:rPr>
      </w:pPr>
      <w:r>
        <w:rPr>
          <w:rFonts w:ascii="Times New Roman"/>
        </w:rPr>
        <w:t xml:space="preserve">1）开展研究的目的； </w:t>
      </w:r>
    </w:p>
    <w:p>
      <w:pPr>
        <w:pStyle w:val="80"/>
        <w:tabs>
          <w:tab w:val="center" w:pos="4201"/>
          <w:tab w:val="right" w:leader="dot" w:pos="9298"/>
        </w:tabs>
        <w:ind w:left="635" w:firstLine="0" w:firstLineChars="0"/>
        <w:rPr>
          <w:rFonts w:ascii="Times New Roman"/>
        </w:rPr>
      </w:pPr>
      <w:r>
        <w:rPr>
          <w:rFonts w:ascii="Times New Roman"/>
        </w:rPr>
        <w:t xml:space="preserve">2）预期用途。 </w:t>
      </w:r>
    </w:p>
    <w:p>
      <w:pPr>
        <w:pStyle w:val="2"/>
        <w:numPr>
          <w:ilvl w:val="0"/>
          <w:numId w:val="29"/>
        </w:numPr>
        <w:ind w:left="639" w:leftChars="189" w:hanging="243" w:firstLineChars="0"/>
      </w:pPr>
      <w:bookmarkStart w:id="93" w:name="_Toc677"/>
      <w:bookmarkStart w:id="94" w:name="_Toc28059"/>
      <w:bookmarkStart w:id="95" w:name="_Toc4570"/>
      <w:bookmarkStart w:id="96" w:name="_Toc171608660"/>
      <w:bookmarkStart w:id="97" w:name="_Toc1769"/>
      <w:bookmarkStart w:id="98" w:name="_Toc23629"/>
      <w:bookmarkStart w:id="99" w:name="_Toc6165"/>
      <w:bookmarkStart w:id="100" w:name="_Toc24903"/>
      <w:bookmarkStart w:id="101" w:name="_Toc20371"/>
      <w:bookmarkStart w:id="102" w:name="_Toc22594"/>
      <w:r>
        <w:rPr>
          <w:rFonts w:hint="eastAsia"/>
        </w:rPr>
        <w:t>量化</w:t>
      </w:r>
      <w:r>
        <w:t>范围</w:t>
      </w:r>
      <w:bookmarkEnd w:id="93"/>
      <w:bookmarkEnd w:id="94"/>
      <w:bookmarkEnd w:id="95"/>
      <w:bookmarkEnd w:id="96"/>
      <w:bookmarkEnd w:id="97"/>
      <w:bookmarkEnd w:id="98"/>
      <w:bookmarkEnd w:id="99"/>
      <w:bookmarkEnd w:id="100"/>
      <w:bookmarkEnd w:id="101"/>
      <w:bookmarkEnd w:id="102"/>
      <w:r>
        <w:t>：</w:t>
      </w:r>
    </w:p>
    <w:p>
      <w:pPr>
        <w:pStyle w:val="80"/>
        <w:tabs>
          <w:tab w:val="center" w:pos="4201"/>
          <w:tab w:val="right" w:leader="dot" w:pos="9298"/>
        </w:tabs>
        <w:ind w:left="646" w:leftChars="308" w:firstLine="0" w:firstLineChars="0"/>
        <w:rPr>
          <w:rFonts w:ascii="Times New Roman"/>
        </w:rPr>
      </w:pPr>
      <w:r>
        <w:rPr>
          <w:rFonts w:ascii="Times New Roman"/>
        </w:rPr>
        <w:t>1）产品说明，包括功能和技术参数；</w:t>
      </w:r>
      <w:r>
        <w:rPr>
          <w:rFonts w:ascii="Times New Roman"/>
        </w:rPr>
        <w:br w:type="textWrapping"/>
      </w:r>
      <w:r>
        <w:rPr>
          <w:rFonts w:ascii="Times New Roman"/>
        </w:rPr>
        <w:t>2）声明单位以及基准流；</w:t>
      </w:r>
      <w:r>
        <w:rPr>
          <w:rFonts w:ascii="Times New Roman"/>
        </w:rPr>
        <w:br w:type="textWrapping"/>
      </w:r>
      <w:r>
        <w:rPr>
          <w:rFonts w:ascii="Times New Roman"/>
        </w:rPr>
        <w:t>3）系统边界；</w:t>
      </w:r>
    </w:p>
    <w:p>
      <w:pPr>
        <w:pStyle w:val="80"/>
        <w:tabs>
          <w:tab w:val="center" w:pos="4201"/>
          <w:tab w:val="right" w:leader="dot" w:pos="9298"/>
        </w:tabs>
        <w:ind w:left="438" w:leftChars="209" w:firstLine="210" w:firstLineChars="100"/>
        <w:rPr>
          <w:rFonts w:ascii="Times New Roman"/>
        </w:rPr>
      </w:pPr>
      <w:r>
        <w:rPr>
          <w:rFonts w:ascii="Times New Roman"/>
        </w:rPr>
        <w:t>4）取舍准则和取舍点，列出排除在外的单元过程或因素，并说明理由和其合理性；</w:t>
      </w:r>
    </w:p>
    <w:p>
      <w:pPr>
        <w:pStyle w:val="80"/>
        <w:tabs>
          <w:tab w:val="center" w:pos="4201"/>
          <w:tab w:val="right" w:leader="dot" w:pos="9298"/>
        </w:tabs>
        <w:ind w:left="438" w:leftChars="209" w:firstLine="210" w:firstLineChars="100"/>
        <w:rPr>
          <w:rFonts w:ascii="Times New Roman"/>
        </w:rPr>
      </w:pPr>
      <w:r>
        <w:rPr>
          <w:rFonts w:ascii="Times New Roman"/>
        </w:rPr>
        <w:t>5）</w:t>
      </w:r>
      <w:r>
        <w:rPr>
          <w:rFonts w:hint="eastAsia" w:ascii="Times New Roman"/>
        </w:rPr>
        <w:t>生命周期各</w:t>
      </w:r>
      <w:r>
        <w:rPr>
          <w:rFonts w:ascii="Times New Roman"/>
        </w:rPr>
        <w:t>阶段描述。</w:t>
      </w:r>
    </w:p>
    <w:p>
      <w:pPr>
        <w:pStyle w:val="2"/>
        <w:numPr>
          <w:ilvl w:val="0"/>
          <w:numId w:val="29"/>
        </w:numPr>
        <w:ind w:left="639" w:leftChars="189" w:hanging="243" w:firstLineChars="0"/>
      </w:pPr>
      <w:bookmarkStart w:id="103" w:name="_Toc17940"/>
      <w:bookmarkStart w:id="104" w:name="_Toc24596"/>
      <w:bookmarkStart w:id="105" w:name="_Toc19627"/>
      <w:bookmarkStart w:id="106" w:name="_Toc31350"/>
      <w:bookmarkStart w:id="107" w:name="_Toc20814"/>
      <w:bookmarkStart w:id="108" w:name="_Toc171608661"/>
      <w:bookmarkStart w:id="109" w:name="_Toc30049"/>
      <w:bookmarkStart w:id="110" w:name="_Toc9466"/>
      <w:bookmarkStart w:id="111" w:name="_Toc31824"/>
      <w:bookmarkStart w:id="112" w:name="_Toc21415"/>
      <w:r>
        <w:t>清单分析</w:t>
      </w:r>
      <w:bookmarkEnd w:id="103"/>
      <w:bookmarkEnd w:id="104"/>
      <w:bookmarkEnd w:id="105"/>
      <w:bookmarkEnd w:id="106"/>
      <w:bookmarkEnd w:id="107"/>
      <w:bookmarkEnd w:id="108"/>
      <w:bookmarkEnd w:id="109"/>
      <w:bookmarkEnd w:id="110"/>
      <w:bookmarkEnd w:id="111"/>
      <w:bookmarkEnd w:id="112"/>
      <w:r>
        <w:t>：</w:t>
      </w:r>
    </w:p>
    <w:p>
      <w:pPr>
        <w:pStyle w:val="80"/>
        <w:tabs>
          <w:tab w:val="center" w:pos="4201"/>
          <w:tab w:val="right" w:leader="dot" w:pos="9298"/>
        </w:tabs>
        <w:ind w:firstLine="630" w:firstLineChars="300"/>
        <w:rPr>
          <w:rFonts w:ascii="Times New Roman"/>
        </w:rPr>
      </w:pPr>
      <w:r>
        <w:rPr>
          <w:rFonts w:ascii="Times New Roman"/>
        </w:rPr>
        <w:t>1）数据收集信息，包括数据来源；</w:t>
      </w:r>
    </w:p>
    <w:p>
      <w:pPr>
        <w:pStyle w:val="80"/>
        <w:tabs>
          <w:tab w:val="center" w:pos="4201"/>
          <w:tab w:val="right" w:leader="dot" w:pos="9298"/>
        </w:tabs>
        <w:ind w:firstLine="630" w:firstLineChars="300"/>
        <w:rPr>
          <w:rFonts w:ascii="Times New Roman"/>
        </w:rPr>
      </w:pPr>
      <w:r>
        <w:rPr>
          <w:rFonts w:ascii="Times New Roman"/>
        </w:rPr>
        <w:t>2）重要的单元过程清单；</w:t>
      </w:r>
    </w:p>
    <w:p>
      <w:pPr>
        <w:pStyle w:val="80"/>
        <w:tabs>
          <w:tab w:val="center" w:pos="4201"/>
          <w:tab w:val="right" w:leader="dot" w:pos="9298"/>
        </w:tabs>
        <w:ind w:firstLine="630" w:firstLineChars="300"/>
        <w:rPr>
          <w:rFonts w:ascii="Times New Roman"/>
        </w:rPr>
      </w:pPr>
      <w:r>
        <w:rPr>
          <w:rFonts w:ascii="Times New Roman"/>
        </w:rPr>
        <w:t>3）纳入范围的</w:t>
      </w:r>
      <w:r>
        <w:rPr>
          <w:rFonts w:hint="eastAsia" w:ascii="Times New Roman"/>
        </w:rPr>
        <w:t>温室气体</w:t>
      </w:r>
      <w:r>
        <w:rPr>
          <w:rFonts w:ascii="Times New Roman"/>
        </w:rPr>
        <w:t>清单；</w:t>
      </w:r>
    </w:p>
    <w:p>
      <w:pPr>
        <w:pStyle w:val="80"/>
        <w:tabs>
          <w:tab w:val="center" w:pos="4201"/>
          <w:tab w:val="right" w:leader="dot" w:pos="9298"/>
        </w:tabs>
        <w:ind w:firstLine="630" w:firstLineChars="300"/>
        <w:rPr>
          <w:rFonts w:ascii="Times New Roman"/>
        </w:rPr>
      </w:pPr>
      <w:r>
        <w:rPr>
          <w:rFonts w:ascii="Times New Roman"/>
        </w:rPr>
        <w:t>4）分配原则与程序；</w:t>
      </w:r>
    </w:p>
    <w:p>
      <w:pPr>
        <w:pStyle w:val="80"/>
        <w:tabs>
          <w:tab w:val="center" w:pos="4201"/>
          <w:tab w:val="right" w:leader="dot" w:pos="9298"/>
        </w:tabs>
        <w:ind w:firstLine="630" w:firstLineChars="300"/>
        <w:rPr>
          <w:rFonts w:ascii="Times New Roman"/>
        </w:rPr>
      </w:pPr>
      <w:r>
        <w:rPr>
          <w:rFonts w:ascii="Times New Roman"/>
        </w:rPr>
        <w:t>5）数据说明，包括有关数据的决定和数据质量评价。</w:t>
      </w:r>
    </w:p>
    <w:p>
      <w:pPr>
        <w:pStyle w:val="2"/>
        <w:numPr>
          <w:ilvl w:val="0"/>
          <w:numId w:val="29"/>
        </w:numPr>
        <w:ind w:left="639" w:leftChars="189" w:hanging="243" w:firstLineChars="0"/>
      </w:pPr>
      <w:bookmarkStart w:id="113" w:name="_Toc31209"/>
      <w:bookmarkStart w:id="114" w:name="_Toc30974"/>
      <w:bookmarkStart w:id="115" w:name="_Toc24590"/>
      <w:bookmarkStart w:id="116" w:name="_Toc32765"/>
      <w:bookmarkStart w:id="117" w:name="_Toc171608662"/>
      <w:bookmarkStart w:id="118" w:name="_Toc13690"/>
      <w:bookmarkStart w:id="119" w:name="_Toc10723"/>
      <w:bookmarkStart w:id="120" w:name="_Toc21927"/>
      <w:bookmarkStart w:id="121" w:name="_Toc10637"/>
      <w:bookmarkStart w:id="122" w:name="_Toc26526"/>
      <w:r>
        <w:t>影响评价</w:t>
      </w:r>
      <w:bookmarkEnd w:id="113"/>
      <w:bookmarkEnd w:id="114"/>
      <w:bookmarkEnd w:id="115"/>
      <w:bookmarkEnd w:id="116"/>
      <w:bookmarkEnd w:id="117"/>
      <w:bookmarkEnd w:id="118"/>
      <w:bookmarkEnd w:id="119"/>
      <w:bookmarkEnd w:id="120"/>
      <w:bookmarkEnd w:id="121"/>
      <w:bookmarkEnd w:id="122"/>
      <w:r>
        <w:t>：</w:t>
      </w:r>
    </w:p>
    <w:p>
      <w:pPr>
        <w:pStyle w:val="80"/>
        <w:numPr>
          <w:ilvl w:val="255"/>
          <w:numId w:val="0"/>
        </w:numPr>
        <w:tabs>
          <w:tab w:val="center" w:pos="4201"/>
          <w:tab w:val="right" w:leader="dot" w:pos="9298"/>
        </w:tabs>
        <w:ind w:left="630" w:leftChars="300"/>
        <w:rPr>
          <w:rFonts w:ascii="Times New Roman"/>
        </w:rPr>
      </w:pPr>
      <w:r>
        <w:rPr>
          <w:rFonts w:hint="eastAsia" w:ascii="Times New Roman"/>
        </w:rPr>
        <w:t>1）</w:t>
      </w:r>
      <w:r>
        <w:rPr>
          <w:rFonts w:ascii="Times New Roman"/>
        </w:rPr>
        <w:t>影响评价方法；</w:t>
      </w:r>
      <w:r>
        <w:rPr>
          <w:rFonts w:ascii="Times New Roman"/>
        </w:rPr>
        <w:br w:type="textWrapping"/>
      </w:r>
      <w:r>
        <w:rPr>
          <w:rFonts w:ascii="Times New Roman"/>
        </w:rPr>
        <w:t>2）特征化因子；</w:t>
      </w:r>
      <w:r>
        <w:rPr>
          <w:rFonts w:ascii="Times New Roman"/>
        </w:rPr>
        <w:br w:type="textWrapping"/>
      </w:r>
      <w:r>
        <w:rPr>
          <w:rFonts w:ascii="Times New Roman"/>
        </w:rPr>
        <w:t>3）</w:t>
      </w:r>
      <w:r>
        <w:rPr>
          <w:rFonts w:hint="eastAsia" w:ascii="Times New Roman"/>
        </w:rPr>
        <w:t>产品碳足迹</w:t>
      </w:r>
      <w:r>
        <w:rPr>
          <w:rFonts w:ascii="Times New Roman"/>
        </w:rPr>
        <w:t>计算；</w:t>
      </w:r>
    </w:p>
    <w:p>
      <w:pPr>
        <w:pStyle w:val="80"/>
        <w:tabs>
          <w:tab w:val="center" w:pos="4201"/>
          <w:tab w:val="right" w:leader="dot" w:pos="9298"/>
        </w:tabs>
        <w:ind w:left="630" w:leftChars="300" w:firstLine="0" w:firstLineChars="0"/>
        <w:rPr>
          <w:rFonts w:ascii="Times New Roman"/>
        </w:rPr>
      </w:pPr>
      <w:r>
        <w:rPr>
          <w:rFonts w:ascii="Times New Roman"/>
        </w:rPr>
        <w:t>4）结果图示（可选）。</w:t>
      </w:r>
    </w:p>
    <w:p>
      <w:pPr>
        <w:pStyle w:val="2"/>
        <w:numPr>
          <w:ilvl w:val="0"/>
          <w:numId w:val="29"/>
        </w:numPr>
        <w:ind w:left="639" w:leftChars="189" w:hanging="243" w:firstLineChars="0"/>
      </w:pPr>
      <w:bookmarkStart w:id="123" w:name="_Toc171608663"/>
      <w:bookmarkStart w:id="124" w:name="_Toc21626"/>
      <w:bookmarkStart w:id="125" w:name="_Toc4162"/>
      <w:bookmarkStart w:id="126" w:name="_Toc14424"/>
      <w:bookmarkStart w:id="127" w:name="_Toc3502"/>
      <w:bookmarkStart w:id="128" w:name="_Toc15568"/>
      <w:bookmarkStart w:id="129" w:name="_Toc26184"/>
      <w:bookmarkStart w:id="130" w:name="_Toc23330"/>
      <w:bookmarkStart w:id="131" w:name="_Toc21692"/>
      <w:bookmarkStart w:id="132" w:name="_Toc14499"/>
      <w:r>
        <w:t>结果解释</w:t>
      </w:r>
      <w:bookmarkEnd w:id="123"/>
      <w:bookmarkEnd w:id="124"/>
      <w:bookmarkEnd w:id="125"/>
      <w:bookmarkEnd w:id="126"/>
      <w:bookmarkEnd w:id="127"/>
      <w:bookmarkEnd w:id="128"/>
      <w:bookmarkEnd w:id="129"/>
      <w:bookmarkEnd w:id="130"/>
      <w:bookmarkEnd w:id="131"/>
      <w:bookmarkEnd w:id="132"/>
      <w:r>
        <w:t>：</w:t>
      </w:r>
    </w:p>
    <w:p>
      <w:pPr>
        <w:pStyle w:val="80"/>
        <w:tabs>
          <w:tab w:val="center" w:pos="4201"/>
          <w:tab w:val="right" w:leader="dot" w:pos="9298"/>
        </w:tabs>
        <w:ind w:firstLine="630" w:firstLineChars="300"/>
        <w:rPr>
          <w:rFonts w:ascii="Times New Roman"/>
        </w:rPr>
      </w:pPr>
      <w:r>
        <w:rPr>
          <w:rFonts w:ascii="Times New Roman"/>
        </w:rPr>
        <w:t>1）结论和局限性；</w:t>
      </w:r>
    </w:p>
    <w:p>
      <w:pPr>
        <w:pStyle w:val="2"/>
        <w:ind w:firstLine="630" w:firstLineChars="300"/>
      </w:pPr>
      <w:r>
        <w:t>2）敏感性分析和不确定性分析结果；</w:t>
      </w:r>
    </w:p>
    <w:p>
      <w:pPr>
        <w:pStyle w:val="2"/>
        <w:ind w:firstLine="630" w:firstLineChars="300"/>
      </w:pPr>
      <w:r>
        <w:t>3）电力处理，</w:t>
      </w:r>
      <w:r>
        <w:rPr>
          <w:rFonts w:hint="eastAsia"/>
        </w:rPr>
        <w:t>宜</w:t>
      </w:r>
      <w:r>
        <w:t>包括关于电网排放因子计算和相关电网的特殊局限信息；</w:t>
      </w:r>
    </w:p>
    <w:p>
      <w:pPr>
        <w:pStyle w:val="2"/>
        <w:ind w:firstLine="630" w:firstLineChars="300"/>
      </w:pPr>
      <w:r>
        <w:t>4）在产品碳足迹研究中披露和证明相关信息项的选择并说明理由。</w:t>
      </w:r>
    </w:p>
    <w:p>
      <w:pPr>
        <w:pStyle w:val="2"/>
        <w:numPr>
          <w:ilvl w:val="0"/>
          <w:numId w:val="29"/>
        </w:numPr>
        <w:ind w:left="639" w:leftChars="189" w:hanging="243" w:firstLineChars="0"/>
      </w:pPr>
      <w:bookmarkStart w:id="133" w:name="_Toc1487"/>
      <w:bookmarkStart w:id="134" w:name="_Toc171608664"/>
      <w:bookmarkStart w:id="135" w:name="_Toc30431"/>
      <w:bookmarkStart w:id="136" w:name="_Toc29521"/>
      <w:bookmarkStart w:id="137" w:name="_Toc31483"/>
      <w:bookmarkStart w:id="138" w:name="_Toc10237"/>
      <w:bookmarkStart w:id="139" w:name="_Toc10260"/>
      <w:bookmarkStart w:id="140" w:name="_Toc32394"/>
      <w:r>
        <w:t>研究中使用的产品种类规则或其他补充要求的参考资料。</w:t>
      </w:r>
      <w:bookmarkEnd w:id="133"/>
      <w:bookmarkEnd w:id="134"/>
      <w:bookmarkEnd w:id="135"/>
      <w:bookmarkEnd w:id="136"/>
      <w:bookmarkEnd w:id="137"/>
      <w:bookmarkEnd w:id="138"/>
      <w:bookmarkEnd w:id="139"/>
      <w:bookmarkEnd w:id="140"/>
    </w:p>
    <w:p>
      <w:pPr>
        <w:pStyle w:val="3"/>
        <w:spacing w:before="312" w:beforeLines="100" w:after="312" w:afterLines="100" w:line="240" w:lineRule="auto"/>
        <w:rPr>
          <w:rFonts w:ascii="黑体" w:eastAsia="黑体"/>
          <w:b w:val="0"/>
          <w:bCs w:val="0"/>
          <w:kern w:val="0"/>
          <w:sz w:val="21"/>
          <w:szCs w:val="22"/>
        </w:rPr>
      </w:pPr>
      <w:r>
        <w:rPr>
          <w:rFonts w:hint="eastAsia" w:ascii="黑体" w:eastAsia="黑体"/>
          <w:b w:val="0"/>
          <w:bCs w:val="0"/>
          <w:kern w:val="0"/>
          <w:sz w:val="21"/>
          <w:szCs w:val="22"/>
        </w:rPr>
        <w:t>10 产品碳足迹声明</w:t>
      </w:r>
    </w:p>
    <w:p>
      <w:pPr>
        <w:pStyle w:val="2"/>
        <w:ind w:firstLine="630" w:firstLineChars="300"/>
      </w:pPr>
      <w:r>
        <w:rPr>
          <w:rFonts w:hint="eastAsia"/>
        </w:rPr>
        <w:t>如需声明时，按照GB/T 24025或ISO 14026的规定进行，相关声明可用于具有相同功能的不同产品之间的比较。</w:t>
      </w:r>
    </w:p>
    <w:p>
      <w:pPr>
        <w:pageBreakBefore/>
        <w:spacing w:before="156" w:beforeLines="50" w:line="360" w:lineRule="auto"/>
        <w:jc w:val="center"/>
        <w:rPr>
          <w:rFonts w:eastAsia="黑体"/>
          <w:kern w:val="0"/>
          <w:szCs w:val="21"/>
        </w:rPr>
      </w:pPr>
      <w:bookmarkStart w:id="141" w:name="_Toc17043"/>
      <w:r>
        <w:rPr>
          <w:rStyle w:val="195"/>
          <w:rFonts w:hint="default"/>
          <w:sz w:val="21"/>
          <w:szCs w:val="21"/>
        </w:rPr>
        <w:t>附 录 A</w:t>
      </w:r>
      <w:r>
        <w:rPr>
          <w:rFonts w:hint="eastAsia" w:ascii="黑体" w:hAnsi="黑体" w:eastAsia="黑体"/>
          <w:color w:val="000000"/>
          <w:szCs w:val="21"/>
        </w:rPr>
        <w:br w:type="textWrapping"/>
      </w:r>
      <w:r>
        <w:rPr>
          <w:rStyle w:val="195"/>
          <w:rFonts w:hint="default"/>
          <w:sz w:val="21"/>
          <w:szCs w:val="21"/>
        </w:rPr>
        <w:t>（资料性）</w:t>
      </w:r>
      <w:r>
        <w:rPr>
          <w:rFonts w:hint="eastAsia" w:ascii="黑体" w:hAnsi="黑体" w:eastAsia="黑体"/>
          <w:color w:val="000000"/>
          <w:szCs w:val="21"/>
        </w:rPr>
        <w:br w:type="textWrapping"/>
      </w:r>
      <w:bookmarkEnd w:id="141"/>
      <w:bookmarkStart w:id="142" w:name="_Toc24304"/>
      <w:r>
        <w:rPr>
          <w:rFonts w:hint="eastAsia" w:ascii="黑体" w:hAnsi="黑体" w:eastAsia="黑体"/>
          <w:color w:val="000000"/>
          <w:szCs w:val="21"/>
        </w:rPr>
        <w:t>原生镁锭</w:t>
      </w:r>
      <w:r>
        <w:rPr>
          <w:rFonts w:hint="eastAsia" w:eastAsia="黑体"/>
          <w:kern w:val="0"/>
          <w:szCs w:val="21"/>
        </w:rPr>
        <w:t>生产各阶段</w:t>
      </w:r>
      <w:r>
        <w:rPr>
          <w:rFonts w:eastAsia="黑体"/>
          <w:kern w:val="0"/>
          <w:szCs w:val="21"/>
        </w:rPr>
        <w:t>实物输入、输出数据</w:t>
      </w:r>
      <w:r>
        <w:rPr>
          <w:rFonts w:hint="eastAsia" w:eastAsia="黑体"/>
          <w:kern w:val="0"/>
          <w:szCs w:val="21"/>
        </w:rPr>
        <w:t>列表</w:t>
      </w:r>
      <w:bookmarkEnd w:id="142"/>
      <w:r>
        <w:rPr>
          <w:rFonts w:hint="eastAsia" w:eastAsia="黑体"/>
          <w:kern w:val="0"/>
          <w:szCs w:val="21"/>
        </w:rPr>
        <w:t>示例</w:t>
      </w:r>
    </w:p>
    <w:p>
      <w:pPr>
        <w:pStyle w:val="2"/>
      </w:pPr>
      <w:r>
        <w:rPr>
          <w:rFonts w:hint="eastAsia" w:ascii="宋体" w:hAnsi="宋体" w:cs="宋体"/>
          <w:color w:val="000000"/>
          <w:szCs w:val="21"/>
        </w:rPr>
        <w:t>原生镁锭</w:t>
      </w:r>
      <w:r>
        <w:rPr>
          <w:rFonts w:hint="eastAsia" w:ascii="宋体" w:hAnsi="宋体" w:cs="宋体"/>
          <w:kern w:val="0"/>
          <w:szCs w:val="21"/>
        </w:rPr>
        <w:t>生产各阶段实物输入、输出数据列表示例见表A.1。</w:t>
      </w:r>
    </w:p>
    <w:p>
      <w:pPr>
        <w:pStyle w:val="2"/>
        <w:spacing w:line="360" w:lineRule="auto"/>
        <w:ind w:firstLine="0" w:firstLineChars="0"/>
        <w:jc w:val="center"/>
        <w:rPr>
          <w:rStyle w:val="195"/>
          <w:rFonts w:hint="default"/>
          <w:sz w:val="21"/>
          <w:szCs w:val="21"/>
        </w:rPr>
      </w:pPr>
      <w:r>
        <w:rPr>
          <w:rStyle w:val="195"/>
          <w:rFonts w:hint="default"/>
          <w:sz w:val="21"/>
          <w:szCs w:val="21"/>
        </w:rPr>
        <w:t>表</w:t>
      </w:r>
      <w:r>
        <w:rPr>
          <w:rStyle w:val="195"/>
          <w:sz w:val="21"/>
          <w:szCs w:val="21"/>
        </w:rPr>
        <w:t>A</w:t>
      </w:r>
      <w:r>
        <w:rPr>
          <w:rStyle w:val="195"/>
          <w:rFonts w:hint="default"/>
          <w:sz w:val="21"/>
          <w:szCs w:val="21"/>
        </w:rPr>
        <w:t xml:space="preserve">.1 </w:t>
      </w:r>
      <w:r>
        <w:rPr>
          <w:rStyle w:val="195"/>
          <w:sz w:val="21"/>
          <w:szCs w:val="21"/>
        </w:rPr>
        <w:t>原生镁锭</w:t>
      </w:r>
      <w:r>
        <w:rPr>
          <w:rStyle w:val="195"/>
          <w:rFonts w:hint="default"/>
          <w:sz w:val="21"/>
          <w:szCs w:val="21"/>
        </w:rPr>
        <w:t>生产单元过程实物输入、输出数据列表示例</w:t>
      </w:r>
    </w:p>
    <w:tbl>
      <w:tblPr>
        <w:tblStyle w:val="40"/>
        <w:tblW w:w="499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04"/>
        <w:gridCol w:w="1759"/>
        <w:gridCol w:w="906"/>
        <w:gridCol w:w="906"/>
        <w:gridCol w:w="1057"/>
        <w:gridCol w:w="1453"/>
        <w:gridCol w:w="1634"/>
        <w:gridCol w:w="94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5000" w:type="pct"/>
            <w:gridSpan w:val="8"/>
            <w:tcBorders>
              <w:bottom w:val="single" w:color="000000" w:sz="4" w:space="0"/>
            </w:tcBorders>
            <w:shd w:val="clear" w:color="auto" w:fill="auto"/>
            <w:noWrap/>
            <w:vAlign w:val="center"/>
          </w:tcPr>
          <w:p>
            <w:pPr>
              <w:widowControl/>
              <w:textAlignment w:val="center"/>
              <w:rPr>
                <w:rFonts w:ascii="宋体" w:hAnsi="宋体" w:cs="宋体"/>
                <w:b/>
                <w:bCs/>
                <w:color w:val="000000"/>
                <w:sz w:val="18"/>
                <w:szCs w:val="18"/>
              </w:rPr>
            </w:pPr>
            <w:r>
              <w:rPr>
                <w:rFonts w:hint="eastAsia" w:ascii="宋体" w:hAnsi="宋体" w:cs="宋体"/>
                <w:color w:val="000000"/>
                <w:kern w:val="0"/>
                <w:sz w:val="18"/>
                <w:szCs w:val="18"/>
                <w:lang w:bidi="ar"/>
              </w:rPr>
              <w:t>输入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物料</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运输方式</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运输距离（km）</w:t>
            </w:r>
          </w:p>
        </w:tc>
        <w:tc>
          <w:tcPr>
            <w:tcW w:w="854" w:type="pc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数据来源</w:t>
            </w:r>
          </w:p>
        </w:tc>
        <w:tc>
          <w:tcPr>
            <w:tcW w:w="488" w:type="pc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煤</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b/>
                <w:bCs/>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天然气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b/>
                <w:bCs/>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白云石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b/>
                <w:bCs/>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萤石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硅铁</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燃料</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汽油、柴油</w:t>
            </w:r>
            <w:r>
              <w:rPr>
                <w:rFonts w:hint="eastAsia" w:ascii="宋体" w:hAnsi="宋体" w:cs="宋体"/>
                <w:color w:val="000000"/>
                <w:kern w:val="0"/>
                <w:sz w:val="18"/>
                <w:szCs w:val="18"/>
                <w:lang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压缩空气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水</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润滑油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润滑脂</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2"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脱硫剂</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托盘</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四氟乙烷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硫磺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5000" w:type="pct"/>
            <w:gridSpan w:val="8"/>
            <w:tcBorders>
              <w:top w:val="nil"/>
              <w:bottom w:val="single" w:color="000000" w:sz="4" w:space="0"/>
            </w:tcBorders>
            <w:shd w:val="clear" w:color="auto" w:fill="auto"/>
            <w:noWrap/>
            <w:vAlign w:val="center"/>
          </w:tcPr>
          <w:p>
            <w:pPr>
              <w:widowControl/>
              <w:textAlignment w:val="center"/>
              <w:rPr>
                <w:rFonts w:ascii="宋体" w:hAnsi="宋体" w:cs="宋体"/>
                <w:b/>
                <w:bCs/>
                <w:color w:val="000000"/>
                <w:sz w:val="18"/>
                <w:szCs w:val="18"/>
              </w:rPr>
            </w:pPr>
            <w:r>
              <w:rPr>
                <w:rFonts w:hint="eastAsia" w:ascii="宋体" w:hAnsi="宋体" w:cs="宋体"/>
                <w:color w:val="000000"/>
                <w:kern w:val="0"/>
                <w:sz w:val="18"/>
                <w:szCs w:val="18"/>
                <w:lang w:bidi="ar"/>
              </w:rPr>
              <w:t>输出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物料</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运输方式</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运输距离</w:t>
            </w:r>
          </w:p>
        </w:tc>
        <w:tc>
          <w:tcPr>
            <w:tcW w:w="854" w:type="pc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数据来源</w:t>
            </w:r>
          </w:p>
        </w:tc>
        <w:tc>
          <w:tcPr>
            <w:tcW w:w="488" w:type="pc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原生镁锭</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CO</w:t>
            </w:r>
            <w:r>
              <w:rPr>
                <w:rStyle w:val="206"/>
                <w:rFonts w:hint="default"/>
                <w:lang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r>
              <w:rPr>
                <w:rFonts w:hint="eastAsia" w:ascii="宋体" w:hAnsi="宋体" w:cs="宋体"/>
                <w:sz w:val="18"/>
                <w:szCs w:val="18"/>
              </w:rPr>
              <w:t>直接排放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半焦（</w:t>
            </w:r>
            <w:r>
              <w:rPr>
                <w:rFonts w:hint="eastAsia" w:ascii="宋体" w:hAnsi="宋体" w:cs="宋体"/>
                <w:color w:val="000000"/>
                <w:sz w:val="18"/>
                <w:szCs w:val="18"/>
              </w:rPr>
              <w:t>兰炭</w:t>
            </w:r>
            <w:r>
              <w:rPr>
                <w:rFonts w:hint="eastAsia" w:ascii="宋体" w:hAnsi="宋体" w:cs="宋体"/>
                <w:color w:val="000000"/>
                <w:sz w:val="18"/>
                <w:szCs w:val="18"/>
                <w:lang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煤气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含碳副产品</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镁渣</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bottom w:val="single" w:color="000000" w:sz="4" w:space="0"/>
            </w:tcBorders>
            <w:shd w:val="clear" w:color="auto" w:fill="auto"/>
            <w:vAlign w:val="center"/>
          </w:tcPr>
          <w:p>
            <w:pPr>
              <w:jc w:val="left"/>
              <w:rPr>
                <w:rFonts w:ascii="宋体" w:hAnsi="宋体" w:cs="宋体"/>
                <w:color w:val="C0000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473" w:type="pct"/>
            <w:tcBorders>
              <w:top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920" w:type="pc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74"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474" w:type="pct"/>
            <w:tcBorders>
              <w:top w:val="single" w:color="000000" w:sz="4" w:space="0"/>
              <w:left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53"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760" w:type="pct"/>
            <w:tcBorders>
              <w:top w:val="single" w:color="000000" w:sz="4" w:space="0"/>
              <w:left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854" w:type="pct"/>
            <w:tcBorders>
              <w:top w:val="single" w:color="000000" w:sz="4" w:space="0"/>
              <w:left w:val="single" w:color="000000" w:sz="4" w:space="0"/>
            </w:tcBorders>
            <w:shd w:val="clear" w:color="auto" w:fill="auto"/>
            <w:vAlign w:val="center"/>
          </w:tcPr>
          <w:p>
            <w:pPr>
              <w:jc w:val="left"/>
              <w:rPr>
                <w:rFonts w:ascii="宋体" w:hAnsi="宋体" w:cs="宋体"/>
                <w:color w:val="C00000"/>
                <w:sz w:val="18"/>
                <w:szCs w:val="18"/>
              </w:rPr>
            </w:pPr>
          </w:p>
        </w:tc>
        <w:tc>
          <w:tcPr>
            <w:tcW w:w="488" w:type="pct"/>
            <w:tcBorders>
              <w:top w:val="single" w:color="000000" w:sz="4" w:space="0"/>
              <w:left w:val="single" w:color="000000" w:sz="4" w:space="0"/>
            </w:tcBorders>
            <w:shd w:val="clear" w:color="auto" w:fill="auto"/>
            <w:vAlign w:val="center"/>
          </w:tcPr>
          <w:p>
            <w:pPr>
              <w:jc w:val="left"/>
              <w:rPr>
                <w:rFonts w:ascii="宋体" w:hAnsi="宋体" w:cs="宋体"/>
                <w:color w:val="C00000"/>
                <w:sz w:val="18"/>
                <w:szCs w:val="18"/>
              </w:rPr>
            </w:pPr>
          </w:p>
        </w:tc>
      </w:tr>
    </w:tbl>
    <w:p>
      <w:pPr>
        <w:spacing w:before="156" w:beforeLines="50" w:line="360" w:lineRule="auto"/>
        <w:rPr>
          <w:rStyle w:val="195"/>
          <w:rFonts w:hint="default"/>
          <w:sz w:val="24"/>
        </w:rPr>
      </w:pPr>
    </w:p>
    <w:p>
      <w:pPr>
        <w:pageBreakBefore/>
        <w:spacing w:before="156" w:beforeLines="50" w:line="360" w:lineRule="auto"/>
        <w:jc w:val="center"/>
        <w:outlineLvl w:val="0"/>
        <w:rPr>
          <w:rFonts w:eastAsia="黑体"/>
          <w:kern w:val="0"/>
          <w:szCs w:val="21"/>
        </w:rPr>
      </w:pPr>
      <w:bookmarkStart w:id="143" w:name="_Toc12364"/>
      <w:r>
        <w:rPr>
          <w:rStyle w:val="195"/>
          <w:rFonts w:hint="default"/>
          <w:sz w:val="21"/>
          <w:szCs w:val="21"/>
        </w:rPr>
        <w:t xml:space="preserve">附 录 </w:t>
      </w:r>
      <w:r>
        <w:rPr>
          <w:rStyle w:val="195"/>
          <w:sz w:val="21"/>
          <w:szCs w:val="21"/>
        </w:rPr>
        <w:t>B</w:t>
      </w:r>
      <w:r>
        <w:rPr>
          <w:rFonts w:hint="eastAsia" w:ascii="黑体" w:hAnsi="黑体" w:eastAsia="黑体"/>
          <w:color w:val="000000"/>
          <w:szCs w:val="21"/>
        </w:rPr>
        <w:br w:type="textWrapping"/>
      </w:r>
      <w:r>
        <w:rPr>
          <w:rStyle w:val="195"/>
          <w:rFonts w:hint="default"/>
          <w:sz w:val="21"/>
          <w:szCs w:val="21"/>
        </w:rPr>
        <w:t>（资料性）</w:t>
      </w:r>
      <w:r>
        <w:rPr>
          <w:rFonts w:hint="eastAsia" w:ascii="黑体" w:hAnsi="黑体" w:eastAsia="黑体"/>
          <w:color w:val="000000"/>
          <w:szCs w:val="21"/>
        </w:rPr>
        <w:br w:type="textWrapping"/>
      </w:r>
      <w:r>
        <w:rPr>
          <w:rFonts w:hint="eastAsia" w:eastAsia="黑体"/>
          <w:kern w:val="0"/>
          <w:szCs w:val="21"/>
        </w:rPr>
        <w:t>全球变暖潜势</w:t>
      </w:r>
      <w:bookmarkEnd w:id="143"/>
    </w:p>
    <w:p>
      <w:pPr>
        <w:pStyle w:val="2"/>
      </w:pPr>
      <w:r>
        <w:rPr>
          <w:rStyle w:val="195"/>
          <w:rFonts w:hint="default" w:ascii="宋体" w:hAnsi="宋体" w:eastAsia="宋体" w:cs="宋体"/>
          <w:sz w:val="21"/>
          <w:szCs w:val="21"/>
        </w:rPr>
        <w:t>部分温室气体的全球变暖潜势见表</w:t>
      </w:r>
      <w:r>
        <w:rPr>
          <w:rStyle w:val="195"/>
          <w:rFonts w:ascii="宋体" w:hAnsi="宋体" w:eastAsia="宋体" w:cs="宋体"/>
          <w:sz w:val="21"/>
          <w:szCs w:val="21"/>
        </w:rPr>
        <w:t>B</w:t>
      </w:r>
      <w:r>
        <w:rPr>
          <w:rStyle w:val="195"/>
          <w:rFonts w:hint="default" w:ascii="宋体" w:hAnsi="宋体" w:eastAsia="宋体" w:cs="宋体"/>
          <w:sz w:val="21"/>
          <w:szCs w:val="21"/>
        </w:rPr>
        <w:t>.1。</w:t>
      </w:r>
    </w:p>
    <w:p>
      <w:pPr>
        <w:pStyle w:val="2"/>
        <w:spacing w:line="360" w:lineRule="auto"/>
        <w:ind w:firstLine="0" w:firstLineChars="0"/>
        <w:jc w:val="center"/>
        <w:rPr>
          <w:rStyle w:val="195"/>
          <w:rFonts w:hint="default"/>
          <w:sz w:val="21"/>
          <w:szCs w:val="21"/>
        </w:rPr>
      </w:pPr>
      <w:r>
        <w:rPr>
          <w:rStyle w:val="195"/>
          <w:rFonts w:hint="default"/>
          <w:sz w:val="21"/>
          <w:szCs w:val="21"/>
        </w:rPr>
        <w:t>表</w:t>
      </w:r>
      <w:r>
        <w:rPr>
          <w:rStyle w:val="195"/>
          <w:sz w:val="21"/>
          <w:szCs w:val="21"/>
        </w:rPr>
        <w:t>B</w:t>
      </w:r>
      <w:r>
        <w:rPr>
          <w:rStyle w:val="195"/>
          <w:rFonts w:hint="default"/>
          <w:sz w:val="21"/>
          <w:szCs w:val="21"/>
        </w:rPr>
        <w:t>.1 部分温室气体的全球变暖潜势</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4"/>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气体名称</w:t>
            </w:r>
          </w:p>
        </w:tc>
        <w:tc>
          <w:tcPr>
            <w:tcW w:w="1669" w:type="pct"/>
            <w:vAlign w:val="center"/>
          </w:tcPr>
          <w:p>
            <w:pPr>
              <w:jc w:val="center"/>
              <w:rPr>
                <w:sz w:val="18"/>
                <w:szCs w:val="18"/>
              </w:rPr>
            </w:pPr>
            <w:r>
              <w:rPr>
                <w:rFonts w:hint="eastAsia"/>
                <w:sz w:val="18"/>
                <w:szCs w:val="18"/>
              </w:rPr>
              <w:t>化学分子式</w:t>
            </w:r>
          </w:p>
        </w:tc>
        <w:tc>
          <w:tcPr>
            <w:tcW w:w="1663" w:type="pct"/>
            <w:vAlign w:val="center"/>
          </w:tcPr>
          <w:p>
            <w:pPr>
              <w:jc w:val="center"/>
              <w:rPr>
                <w:sz w:val="18"/>
                <w:szCs w:val="18"/>
              </w:rPr>
            </w:pPr>
            <w:r>
              <w:rPr>
                <w:rFonts w:hint="eastAsia"/>
                <w:sz w:val="18"/>
                <w:szCs w:val="18"/>
              </w:rPr>
              <w:t>100年的GWP(截至出版时)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二氧化碳</w:t>
            </w:r>
          </w:p>
        </w:tc>
        <w:tc>
          <w:tcPr>
            <w:tcW w:w="1669" w:type="pct"/>
            <w:vAlign w:val="center"/>
          </w:tcPr>
          <w:p>
            <w:pPr>
              <w:jc w:val="center"/>
              <w:rPr>
                <w:sz w:val="18"/>
                <w:szCs w:val="18"/>
              </w:rPr>
            </w:pPr>
            <w:r>
              <w:rPr>
                <w:rFonts w:hint="eastAsia"/>
                <w:sz w:val="18"/>
                <w:szCs w:val="18"/>
              </w:rPr>
              <w:t>CO</w:t>
            </w:r>
            <w:r>
              <w:rPr>
                <w:rFonts w:hint="eastAsia"/>
                <w:sz w:val="18"/>
                <w:szCs w:val="18"/>
                <w:vertAlign w:val="subscript"/>
              </w:rPr>
              <w:t>2</w:t>
            </w:r>
          </w:p>
        </w:tc>
        <w:tc>
          <w:tcPr>
            <w:tcW w:w="1663" w:type="pct"/>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甲烷</w:t>
            </w:r>
          </w:p>
        </w:tc>
        <w:tc>
          <w:tcPr>
            <w:tcW w:w="1669" w:type="pct"/>
            <w:vAlign w:val="center"/>
          </w:tcPr>
          <w:p>
            <w:pPr>
              <w:jc w:val="center"/>
              <w:rPr>
                <w:sz w:val="18"/>
                <w:szCs w:val="18"/>
              </w:rPr>
            </w:pPr>
            <w:r>
              <w:rPr>
                <w:rFonts w:hint="eastAsia"/>
                <w:sz w:val="18"/>
                <w:szCs w:val="18"/>
              </w:rPr>
              <w:t>CH</w:t>
            </w:r>
            <w:r>
              <w:rPr>
                <w:rFonts w:hint="eastAsia"/>
                <w:sz w:val="18"/>
                <w:szCs w:val="18"/>
                <w:vertAlign w:val="subscript"/>
              </w:rPr>
              <w:t>4</w:t>
            </w:r>
          </w:p>
        </w:tc>
        <w:tc>
          <w:tcPr>
            <w:tcW w:w="1663" w:type="pct"/>
            <w:vAlign w:val="center"/>
          </w:tcPr>
          <w:p>
            <w:pPr>
              <w:jc w:val="center"/>
              <w:rPr>
                <w:sz w:val="18"/>
                <w:szCs w:val="18"/>
              </w:rPr>
            </w:pPr>
            <w:r>
              <w:rPr>
                <w:rFonts w:hint="eastAsia"/>
                <w:sz w:val="18"/>
                <w:szCs w:val="18"/>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氧化亚氮</w:t>
            </w:r>
          </w:p>
        </w:tc>
        <w:tc>
          <w:tcPr>
            <w:tcW w:w="1669" w:type="pct"/>
            <w:vAlign w:val="center"/>
          </w:tcPr>
          <w:p>
            <w:pPr>
              <w:jc w:val="center"/>
              <w:rPr>
                <w:sz w:val="18"/>
                <w:szCs w:val="18"/>
              </w:rPr>
            </w:pPr>
            <w:r>
              <w:rPr>
                <w:rFonts w:hint="eastAsia"/>
                <w:sz w:val="18"/>
                <w:szCs w:val="18"/>
              </w:rPr>
              <w:t>N</w:t>
            </w:r>
            <w:r>
              <w:rPr>
                <w:rFonts w:hint="eastAsia"/>
                <w:sz w:val="18"/>
                <w:szCs w:val="18"/>
                <w:vertAlign w:val="subscript"/>
              </w:rPr>
              <w:t>2</w:t>
            </w:r>
            <w:r>
              <w:rPr>
                <w:rFonts w:hint="eastAsia"/>
                <w:sz w:val="18"/>
                <w:szCs w:val="18"/>
              </w:rPr>
              <w:t>O</w:t>
            </w:r>
          </w:p>
        </w:tc>
        <w:tc>
          <w:tcPr>
            <w:tcW w:w="1663" w:type="pct"/>
            <w:vAlign w:val="center"/>
          </w:tcPr>
          <w:p>
            <w:pPr>
              <w:jc w:val="center"/>
              <w:rPr>
                <w:sz w:val="18"/>
                <w:szCs w:val="18"/>
              </w:rPr>
            </w:pPr>
            <w:r>
              <w:rPr>
                <w:rFonts w:hint="eastAsia"/>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三氟化氮</w:t>
            </w:r>
          </w:p>
        </w:tc>
        <w:tc>
          <w:tcPr>
            <w:tcW w:w="1669" w:type="pct"/>
            <w:vAlign w:val="center"/>
          </w:tcPr>
          <w:p>
            <w:pPr>
              <w:jc w:val="center"/>
              <w:rPr>
                <w:sz w:val="18"/>
                <w:szCs w:val="18"/>
              </w:rPr>
            </w:pPr>
            <w:r>
              <w:rPr>
                <w:rFonts w:hint="eastAsia"/>
                <w:sz w:val="18"/>
                <w:szCs w:val="18"/>
              </w:rPr>
              <w:t>NF</w:t>
            </w:r>
            <w:r>
              <w:rPr>
                <w:rFonts w:hint="eastAsia"/>
                <w:sz w:val="18"/>
                <w:szCs w:val="18"/>
                <w:vertAlign w:val="subscript"/>
              </w:rPr>
              <w:t>3</w:t>
            </w:r>
          </w:p>
        </w:tc>
        <w:tc>
          <w:tcPr>
            <w:tcW w:w="1663" w:type="pct"/>
            <w:vAlign w:val="center"/>
          </w:tcPr>
          <w:p>
            <w:pPr>
              <w:jc w:val="center"/>
              <w:rPr>
                <w:sz w:val="18"/>
                <w:szCs w:val="18"/>
              </w:rPr>
            </w:pPr>
            <w:r>
              <w:rPr>
                <w:rFonts w:hint="eastAsia"/>
                <w:sz w:val="18"/>
                <w:szCs w:val="18"/>
              </w:rPr>
              <w:t>17400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jc w:val="center"/>
              <w:rPr>
                <w:sz w:val="18"/>
                <w:szCs w:val="18"/>
              </w:rPr>
            </w:pPr>
            <w:r>
              <w:rPr>
                <w:rFonts w:hint="eastAsia"/>
                <w:sz w:val="18"/>
                <w:szCs w:val="18"/>
              </w:rPr>
              <w:t>氢氟碳化物（HFCs</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HFC-23</w:t>
            </w:r>
          </w:p>
        </w:tc>
        <w:tc>
          <w:tcPr>
            <w:tcW w:w="1669" w:type="pct"/>
            <w:vAlign w:val="center"/>
          </w:tcPr>
          <w:p>
            <w:pPr>
              <w:jc w:val="center"/>
              <w:rPr>
                <w:sz w:val="18"/>
                <w:szCs w:val="18"/>
              </w:rPr>
            </w:pPr>
            <w:r>
              <w:rPr>
                <w:sz w:val="18"/>
                <w:szCs w:val="18"/>
              </w:rPr>
              <w:t>C</w:t>
            </w:r>
            <w:r>
              <w:rPr>
                <w:rFonts w:hint="eastAsia"/>
                <w:sz w:val="18"/>
                <w:szCs w:val="18"/>
              </w:rPr>
              <w:t>HF</w:t>
            </w:r>
            <w:r>
              <w:rPr>
                <w:rFonts w:hint="eastAsia"/>
                <w:sz w:val="18"/>
                <w:szCs w:val="18"/>
                <w:vertAlign w:val="subscript"/>
              </w:rPr>
              <w:t>3</w:t>
            </w:r>
          </w:p>
        </w:tc>
        <w:tc>
          <w:tcPr>
            <w:tcW w:w="1663" w:type="pct"/>
            <w:vAlign w:val="center"/>
          </w:tcPr>
          <w:p>
            <w:pPr>
              <w:jc w:val="center"/>
              <w:rPr>
                <w:sz w:val="18"/>
                <w:szCs w:val="18"/>
              </w:rPr>
            </w:pPr>
            <w:r>
              <w:rPr>
                <w:rFonts w:hint="eastAsia"/>
                <w:sz w:val="18"/>
                <w:szCs w:val="18"/>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HFC-32</w:t>
            </w:r>
          </w:p>
        </w:tc>
        <w:tc>
          <w:tcPr>
            <w:tcW w:w="1669" w:type="pct"/>
            <w:vAlign w:val="center"/>
          </w:tcPr>
          <w:p>
            <w:pPr>
              <w:jc w:val="center"/>
              <w:rPr>
                <w:sz w:val="18"/>
                <w:szCs w:val="18"/>
              </w:rPr>
            </w:pPr>
            <w:r>
              <w:rPr>
                <w:rFonts w:hint="eastAsia"/>
                <w:sz w:val="18"/>
                <w:szCs w:val="18"/>
              </w:rPr>
              <w:t>CH</w:t>
            </w:r>
            <w:r>
              <w:rPr>
                <w:rFonts w:hint="eastAsia"/>
                <w:sz w:val="18"/>
                <w:szCs w:val="18"/>
                <w:vertAlign w:val="subscript"/>
              </w:rPr>
              <w:t>2</w:t>
            </w:r>
            <w:r>
              <w:rPr>
                <w:rFonts w:hint="eastAsia"/>
                <w:sz w:val="18"/>
                <w:szCs w:val="18"/>
              </w:rPr>
              <w:t>F</w:t>
            </w:r>
            <w:r>
              <w:rPr>
                <w:rFonts w:hint="eastAsia"/>
                <w:sz w:val="18"/>
                <w:szCs w:val="18"/>
                <w:vertAlign w:val="subscript"/>
              </w:rPr>
              <w:t>2</w:t>
            </w:r>
          </w:p>
        </w:tc>
        <w:tc>
          <w:tcPr>
            <w:tcW w:w="1663" w:type="pct"/>
            <w:vAlign w:val="center"/>
          </w:tcPr>
          <w:p>
            <w:pPr>
              <w:jc w:val="center"/>
              <w:rPr>
                <w:sz w:val="18"/>
                <w:szCs w:val="18"/>
              </w:rPr>
            </w:pPr>
            <w:r>
              <w:rPr>
                <w:rFonts w:hint="eastAsia"/>
                <w:sz w:val="18"/>
                <w:szCs w:val="18"/>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HFC-41</w:t>
            </w:r>
          </w:p>
        </w:tc>
        <w:tc>
          <w:tcPr>
            <w:tcW w:w="1669" w:type="pct"/>
            <w:vAlign w:val="center"/>
          </w:tcPr>
          <w:p>
            <w:pPr>
              <w:jc w:val="center"/>
              <w:rPr>
                <w:sz w:val="18"/>
                <w:szCs w:val="18"/>
              </w:rPr>
            </w:pPr>
            <w:r>
              <w:rPr>
                <w:rFonts w:hint="eastAsia"/>
                <w:sz w:val="18"/>
                <w:szCs w:val="18"/>
              </w:rPr>
              <w:t>CH</w:t>
            </w:r>
            <w:r>
              <w:rPr>
                <w:rFonts w:hint="eastAsia"/>
                <w:sz w:val="18"/>
                <w:szCs w:val="18"/>
                <w:vertAlign w:val="subscript"/>
              </w:rPr>
              <w:t>3</w:t>
            </w:r>
            <w:r>
              <w:rPr>
                <w:rFonts w:hint="eastAsia"/>
                <w:sz w:val="18"/>
                <w:szCs w:val="18"/>
              </w:rPr>
              <w:t>F</w:t>
            </w:r>
          </w:p>
        </w:tc>
        <w:tc>
          <w:tcPr>
            <w:tcW w:w="1663" w:type="pct"/>
            <w:vAlign w:val="center"/>
          </w:tcPr>
          <w:p>
            <w:pPr>
              <w:jc w:val="center"/>
              <w:rPr>
                <w:sz w:val="18"/>
                <w:szCs w:val="18"/>
              </w:rPr>
            </w:pPr>
            <w:r>
              <w:rPr>
                <w:rFonts w:hint="eastAsia"/>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HFC-125</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2</w:t>
            </w:r>
            <w:r>
              <w:rPr>
                <w:rFonts w:hint="eastAsia"/>
                <w:sz w:val="18"/>
                <w:szCs w:val="18"/>
              </w:rPr>
              <w:t>HF</w:t>
            </w:r>
            <w:r>
              <w:rPr>
                <w:rFonts w:hint="eastAsia"/>
                <w:sz w:val="18"/>
                <w:szCs w:val="18"/>
                <w:vertAlign w:val="subscript"/>
              </w:rPr>
              <w:t>5</w:t>
            </w:r>
          </w:p>
        </w:tc>
        <w:tc>
          <w:tcPr>
            <w:tcW w:w="1663" w:type="pct"/>
            <w:vAlign w:val="center"/>
          </w:tcPr>
          <w:p>
            <w:pPr>
              <w:jc w:val="center"/>
              <w:rPr>
                <w:sz w:val="18"/>
                <w:szCs w:val="18"/>
              </w:rPr>
            </w:pPr>
            <w:r>
              <w:rPr>
                <w:rFonts w:hint="eastAsia"/>
                <w:sz w:val="18"/>
                <w:szCs w:val="18"/>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HFC-134</w:t>
            </w:r>
          </w:p>
        </w:tc>
        <w:tc>
          <w:tcPr>
            <w:tcW w:w="1669" w:type="pct"/>
            <w:vAlign w:val="center"/>
          </w:tcPr>
          <w:p>
            <w:pPr>
              <w:jc w:val="center"/>
              <w:rPr>
                <w:sz w:val="18"/>
                <w:szCs w:val="18"/>
              </w:rPr>
            </w:pPr>
            <w:r>
              <w:rPr>
                <w:rFonts w:hint="eastAsia"/>
                <w:sz w:val="18"/>
                <w:szCs w:val="18"/>
              </w:rPr>
              <w:t>CHF</w:t>
            </w:r>
            <w:r>
              <w:rPr>
                <w:rFonts w:hint="eastAsia"/>
                <w:sz w:val="18"/>
                <w:szCs w:val="18"/>
                <w:vertAlign w:val="subscript"/>
              </w:rPr>
              <w:t>2</w:t>
            </w:r>
            <w:r>
              <w:rPr>
                <w:rFonts w:hint="eastAsia"/>
                <w:sz w:val="18"/>
                <w:szCs w:val="18"/>
              </w:rPr>
              <w:t>CHF</w:t>
            </w:r>
            <w:r>
              <w:rPr>
                <w:rFonts w:hint="eastAsia"/>
                <w:sz w:val="18"/>
                <w:szCs w:val="18"/>
                <w:vertAlign w:val="subscript"/>
              </w:rPr>
              <w:t>2</w:t>
            </w:r>
          </w:p>
        </w:tc>
        <w:tc>
          <w:tcPr>
            <w:tcW w:w="1663" w:type="pct"/>
            <w:vAlign w:val="center"/>
          </w:tcPr>
          <w:p>
            <w:pPr>
              <w:jc w:val="center"/>
              <w:rPr>
                <w:sz w:val="18"/>
                <w:szCs w:val="18"/>
              </w:rPr>
            </w:pPr>
            <w:r>
              <w:rPr>
                <w:rFonts w:hint="eastAsia"/>
                <w:sz w:val="18"/>
                <w:szCs w:val="18"/>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HFC-134a</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2</w:t>
            </w:r>
            <w:r>
              <w:rPr>
                <w:rFonts w:hint="eastAsia"/>
                <w:sz w:val="18"/>
                <w:szCs w:val="18"/>
              </w:rPr>
              <w:t>H</w:t>
            </w:r>
            <w:r>
              <w:rPr>
                <w:rFonts w:hint="eastAsia"/>
                <w:sz w:val="18"/>
                <w:szCs w:val="18"/>
                <w:vertAlign w:val="subscript"/>
              </w:rPr>
              <w:t>2</w:t>
            </w:r>
            <w:r>
              <w:rPr>
                <w:rFonts w:hint="eastAsia"/>
                <w:sz w:val="18"/>
                <w:szCs w:val="18"/>
              </w:rPr>
              <w:t>F</w:t>
            </w:r>
            <w:r>
              <w:rPr>
                <w:rFonts w:hint="eastAsia"/>
                <w:sz w:val="18"/>
                <w:szCs w:val="18"/>
                <w:vertAlign w:val="subscript"/>
              </w:rPr>
              <w:t>4</w:t>
            </w:r>
          </w:p>
        </w:tc>
        <w:tc>
          <w:tcPr>
            <w:tcW w:w="1663" w:type="pct"/>
            <w:vAlign w:val="center"/>
          </w:tcPr>
          <w:p>
            <w:pPr>
              <w:jc w:val="center"/>
              <w:rPr>
                <w:sz w:val="18"/>
                <w:szCs w:val="18"/>
              </w:rPr>
            </w:pPr>
            <w:r>
              <w:rPr>
                <w:rFonts w:hint="eastAsia"/>
                <w:sz w:val="18"/>
                <w:szCs w:val="18"/>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HFC-143</w:t>
            </w:r>
          </w:p>
        </w:tc>
        <w:tc>
          <w:tcPr>
            <w:tcW w:w="1669" w:type="pct"/>
            <w:vAlign w:val="center"/>
          </w:tcPr>
          <w:p>
            <w:pPr>
              <w:jc w:val="center"/>
              <w:rPr>
                <w:sz w:val="18"/>
                <w:szCs w:val="18"/>
              </w:rPr>
            </w:pPr>
            <w:r>
              <w:rPr>
                <w:rFonts w:hint="eastAsia"/>
                <w:sz w:val="18"/>
                <w:szCs w:val="18"/>
              </w:rPr>
              <w:t>CH</w:t>
            </w:r>
            <w:r>
              <w:rPr>
                <w:rFonts w:hint="eastAsia"/>
                <w:sz w:val="18"/>
                <w:szCs w:val="18"/>
                <w:vertAlign w:val="subscript"/>
              </w:rPr>
              <w:t>2</w:t>
            </w:r>
            <w:r>
              <w:rPr>
                <w:rFonts w:hint="eastAsia"/>
                <w:sz w:val="18"/>
                <w:szCs w:val="18"/>
              </w:rPr>
              <w:t>FCHF</w:t>
            </w:r>
            <w:r>
              <w:rPr>
                <w:rFonts w:hint="eastAsia"/>
                <w:sz w:val="18"/>
                <w:szCs w:val="18"/>
                <w:vertAlign w:val="subscript"/>
              </w:rPr>
              <w:t>2</w:t>
            </w:r>
          </w:p>
        </w:tc>
        <w:tc>
          <w:tcPr>
            <w:tcW w:w="1663" w:type="pct"/>
            <w:vAlign w:val="center"/>
          </w:tcPr>
          <w:p>
            <w:pPr>
              <w:jc w:val="center"/>
              <w:rPr>
                <w:sz w:val="18"/>
                <w:szCs w:val="18"/>
              </w:rPr>
            </w:pPr>
            <w:r>
              <w:rPr>
                <w:rFonts w:hint="eastAsia"/>
                <w:sz w:val="18"/>
                <w:szCs w:val="18"/>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HFC-143a</w:t>
            </w:r>
          </w:p>
        </w:tc>
        <w:tc>
          <w:tcPr>
            <w:tcW w:w="1669" w:type="pct"/>
            <w:vAlign w:val="center"/>
          </w:tcPr>
          <w:p>
            <w:pPr>
              <w:jc w:val="center"/>
              <w:rPr>
                <w:sz w:val="18"/>
                <w:szCs w:val="18"/>
              </w:rPr>
            </w:pPr>
            <w:r>
              <w:rPr>
                <w:rFonts w:hint="eastAsia"/>
                <w:sz w:val="18"/>
                <w:szCs w:val="18"/>
              </w:rPr>
              <w:t>CH</w:t>
            </w:r>
            <w:r>
              <w:rPr>
                <w:rFonts w:hint="eastAsia"/>
                <w:sz w:val="18"/>
                <w:szCs w:val="18"/>
                <w:vertAlign w:val="subscript"/>
              </w:rPr>
              <w:t>3</w:t>
            </w:r>
            <w:r>
              <w:rPr>
                <w:rFonts w:hint="eastAsia"/>
                <w:sz w:val="18"/>
                <w:szCs w:val="18"/>
              </w:rPr>
              <w:t>CF</w:t>
            </w:r>
            <w:r>
              <w:rPr>
                <w:rFonts w:hint="eastAsia"/>
                <w:sz w:val="18"/>
                <w:szCs w:val="18"/>
                <w:vertAlign w:val="subscript"/>
              </w:rPr>
              <w:t>3</w:t>
            </w:r>
          </w:p>
        </w:tc>
        <w:tc>
          <w:tcPr>
            <w:tcW w:w="1663" w:type="pct"/>
            <w:vAlign w:val="center"/>
          </w:tcPr>
          <w:p>
            <w:pPr>
              <w:jc w:val="center"/>
              <w:rPr>
                <w:sz w:val="18"/>
                <w:szCs w:val="18"/>
              </w:rPr>
            </w:pPr>
            <w:r>
              <w:rPr>
                <w:rFonts w:hint="eastAsia"/>
                <w:sz w:val="18"/>
                <w:szCs w:val="18"/>
              </w:rPr>
              <w:t>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HFC-152a</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2</w:t>
            </w:r>
            <w:r>
              <w:rPr>
                <w:rFonts w:hint="eastAsia"/>
                <w:sz w:val="18"/>
                <w:szCs w:val="18"/>
              </w:rPr>
              <w:t>H</w:t>
            </w:r>
            <w:r>
              <w:rPr>
                <w:rFonts w:hint="eastAsia"/>
                <w:sz w:val="18"/>
                <w:szCs w:val="18"/>
                <w:vertAlign w:val="subscript"/>
              </w:rPr>
              <w:t>4</w:t>
            </w:r>
            <w:r>
              <w:rPr>
                <w:rFonts w:hint="eastAsia"/>
                <w:sz w:val="18"/>
                <w:szCs w:val="18"/>
              </w:rPr>
              <w:t>F</w:t>
            </w:r>
            <w:r>
              <w:rPr>
                <w:rFonts w:hint="eastAsia"/>
                <w:sz w:val="18"/>
                <w:szCs w:val="18"/>
                <w:vertAlign w:val="subscript"/>
              </w:rPr>
              <w:t>2</w:t>
            </w:r>
          </w:p>
        </w:tc>
        <w:tc>
          <w:tcPr>
            <w:tcW w:w="1663" w:type="pct"/>
            <w:vAlign w:val="center"/>
          </w:tcPr>
          <w:p>
            <w:pPr>
              <w:jc w:val="center"/>
              <w:rPr>
                <w:sz w:val="18"/>
                <w:szCs w:val="18"/>
              </w:rPr>
            </w:pPr>
            <w:r>
              <w:rPr>
                <w:rFonts w:hint="eastAsia"/>
                <w:sz w:val="18"/>
                <w:szCs w:val="18"/>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HFC-227ea</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3</w:t>
            </w:r>
            <w:r>
              <w:rPr>
                <w:rFonts w:hint="eastAsia"/>
                <w:sz w:val="18"/>
                <w:szCs w:val="18"/>
              </w:rPr>
              <w:t>HF</w:t>
            </w:r>
            <w:r>
              <w:rPr>
                <w:rFonts w:hint="eastAsia"/>
                <w:sz w:val="18"/>
                <w:szCs w:val="18"/>
                <w:vertAlign w:val="subscript"/>
              </w:rPr>
              <w:t>7</w:t>
            </w:r>
          </w:p>
        </w:tc>
        <w:tc>
          <w:tcPr>
            <w:tcW w:w="1663" w:type="pct"/>
            <w:vAlign w:val="center"/>
          </w:tcPr>
          <w:p>
            <w:pPr>
              <w:jc w:val="center"/>
              <w:rPr>
                <w:sz w:val="18"/>
                <w:szCs w:val="18"/>
              </w:rPr>
            </w:pPr>
            <w:r>
              <w:rPr>
                <w:rFonts w:hint="eastAsia"/>
                <w:sz w:val="18"/>
                <w:szCs w:val="18"/>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HFC-236fa</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3</w:t>
            </w:r>
            <w:r>
              <w:rPr>
                <w:rFonts w:hint="eastAsia"/>
                <w:sz w:val="18"/>
                <w:szCs w:val="18"/>
              </w:rPr>
              <w:t>H</w:t>
            </w:r>
            <w:r>
              <w:rPr>
                <w:rFonts w:hint="eastAsia"/>
                <w:sz w:val="18"/>
                <w:szCs w:val="18"/>
                <w:vertAlign w:val="subscript"/>
              </w:rPr>
              <w:t>2</w:t>
            </w:r>
            <w:r>
              <w:rPr>
                <w:rFonts w:hint="eastAsia"/>
                <w:sz w:val="18"/>
                <w:szCs w:val="18"/>
              </w:rPr>
              <w:t>F</w:t>
            </w:r>
            <w:r>
              <w:rPr>
                <w:rFonts w:hint="eastAsia"/>
                <w:sz w:val="18"/>
                <w:szCs w:val="18"/>
                <w:vertAlign w:val="subscript"/>
              </w:rPr>
              <w:t>6</w:t>
            </w:r>
          </w:p>
        </w:tc>
        <w:tc>
          <w:tcPr>
            <w:tcW w:w="1663" w:type="pct"/>
            <w:vAlign w:val="center"/>
          </w:tcPr>
          <w:p>
            <w:pPr>
              <w:jc w:val="center"/>
              <w:rPr>
                <w:sz w:val="18"/>
                <w:szCs w:val="18"/>
              </w:rPr>
            </w:pPr>
            <w:r>
              <w:rPr>
                <w:rFonts w:hint="eastAsia"/>
                <w:sz w:val="18"/>
                <w:szCs w:val="18"/>
              </w:rPr>
              <w:t>8690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jc w:val="center"/>
              <w:rPr>
                <w:sz w:val="18"/>
                <w:szCs w:val="18"/>
              </w:rPr>
            </w:pPr>
            <w:r>
              <w:rPr>
                <w:rFonts w:hint="eastAsia"/>
                <w:sz w:val="18"/>
                <w:szCs w:val="18"/>
              </w:rPr>
              <w:t>全氟碳化物（PFCs</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全氟甲烷（四氟甲烷）</w:t>
            </w:r>
          </w:p>
        </w:tc>
        <w:tc>
          <w:tcPr>
            <w:tcW w:w="1669" w:type="pct"/>
            <w:vAlign w:val="center"/>
          </w:tcPr>
          <w:p>
            <w:pPr>
              <w:jc w:val="center"/>
              <w:rPr>
                <w:sz w:val="18"/>
                <w:szCs w:val="18"/>
              </w:rPr>
            </w:pPr>
            <w:r>
              <w:rPr>
                <w:rFonts w:hint="eastAsia"/>
                <w:sz w:val="18"/>
                <w:szCs w:val="18"/>
              </w:rPr>
              <w:t>CF</w:t>
            </w:r>
            <w:r>
              <w:rPr>
                <w:rFonts w:hint="eastAsia"/>
                <w:sz w:val="18"/>
                <w:szCs w:val="18"/>
                <w:vertAlign w:val="subscript"/>
              </w:rPr>
              <w:t>4</w:t>
            </w:r>
          </w:p>
        </w:tc>
        <w:tc>
          <w:tcPr>
            <w:tcW w:w="1663" w:type="pct"/>
            <w:vAlign w:val="center"/>
          </w:tcPr>
          <w:p>
            <w:pPr>
              <w:jc w:val="center"/>
              <w:rPr>
                <w:sz w:val="18"/>
                <w:szCs w:val="18"/>
              </w:rPr>
            </w:pPr>
            <w:r>
              <w:rPr>
                <w:rFonts w:hint="eastAsia"/>
                <w:sz w:val="18"/>
                <w:szCs w:val="18"/>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全氟乙烷（六氟乙烷）</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2</w:t>
            </w:r>
            <w:r>
              <w:rPr>
                <w:rFonts w:hint="eastAsia"/>
                <w:sz w:val="18"/>
                <w:szCs w:val="18"/>
              </w:rPr>
              <w:t>F</w:t>
            </w:r>
            <w:r>
              <w:rPr>
                <w:rFonts w:hint="eastAsia"/>
                <w:sz w:val="18"/>
                <w:szCs w:val="18"/>
                <w:vertAlign w:val="subscript"/>
              </w:rPr>
              <w:t>6</w:t>
            </w:r>
          </w:p>
        </w:tc>
        <w:tc>
          <w:tcPr>
            <w:tcW w:w="1663" w:type="pct"/>
            <w:vAlign w:val="center"/>
          </w:tcPr>
          <w:p>
            <w:pPr>
              <w:jc w:val="center"/>
              <w:rPr>
                <w:sz w:val="18"/>
                <w:szCs w:val="18"/>
              </w:rPr>
            </w:pPr>
            <w:r>
              <w:rPr>
                <w:rFonts w:hint="eastAsia"/>
                <w:sz w:val="18"/>
                <w:szCs w:val="18"/>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全氟丙烷</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3</w:t>
            </w:r>
            <w:r>
              <w:rPr>
                <w:rFonts w:hint="eastAsia"/>
                <w:sz w:val="18"/>
                <w:szCs w:val="18"/>
              </w:rPr>
              <w:t>F</w:t>
            </w:r>
            <w:r>
              <w:rPr>
                <w:rFonts w:hint="eastAsia"/>
                <w:sz w:val="18"/>
                <w:szCs w:val="18"/>
                <w:vertAlign w:val="subscript"/>
              </w:rPr>
              <w:t>8</w:t>
            </w:r>
          </w:p>
        </w:tc>
        <w:tc>
          <w:tcPr>
            <w:tcW w:w="1663" w:type="pct"/>
            <w:vAlign w:val="center"/>
          </w:tcPr>
          <w:p>
            <w:pPr>
              <w:jc w:val="center"/>
              <w:rPr>
                <w:sz w:val="18"/>
                <w:szCs w:val="18"/>
              </w:rPr>
            </w:pPr>
            <w:r>
              <w:rPr>
                <w:rFonts w:hint="eastAsia"/>
                <w:sz w:val="18"/>
                <w:szCs w:val="18"/>
              </w:rPr>
              <w:t>9290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全氟丁烷</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4</w:t>
            </w:r>
            <w:r>
              <w:rPr>
                <w:rFonts w:hint="eastAsia"/>
                <w:sz w:val="18"/>
                <w:szCs w:val="18"/>
              </w:rPr>
              <w:t>F</w:t>
            </w:r>
            <w:r>
              <w:rPr>
                <w:rFonts w:hint="eastAsia"/>
                <w:sz w:val="18"/>
                <w:szCs w:val="18"/>
                <w:vertAlign w:val="subscript"/>
              </w:rPr>
              <w:t>10</w:t>
            </w:r>
          </w:p>
        </w:tc>
        <w:tc>
          <w:tcPr>
            <w:tcW w:w="1663" w:type="pct"/>
            <w:vAlign w:val="center"/>
          </w:tcPr>
          <w:p>
            <w:pPr>
              <w:jc w:val="center"/>
              <w:rPr>
                <w:sz w:val="18"/>
                <w:szCs w:val="18"/>
              </w:rPr>
            </w:pPr>
            <w:r>
              <w:rPr>
                <w:rFonts w:hint="eastAsia"/>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全氟环丁烷</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4</w:t>
            </w:r>
            <w:r>
              <w:rPr>
                <w:rFonts w:hint="eastAsia"/>
                <w:sz w:val="18"/>
                <w:szCs w:val="18"/>
              </w:rPr>
              <w:t>F</w:t>
            </w:r>
            <w:r>
              <w:rPr>
                <w:rFonts w:hint="eastAsia"/>
                <w:sz w:val="18"/>
                <w:szCs w:val="18"/>
                <w:vertAlign w:val="subscript"/>
              </w:rPr>
              <w:t>8</w:t>
            </w:r>
          </w:p>
        </w:tc>
        <w:tc>
          <w:tcPr>
            <w:tcW w:w="1663" w:type="pct"/>
            <w:vAlign w:val="center"/>
          </w:tcPr>
          <w:p>
            <w:pPr>
              <w:jc w:val="center"/>
              <w:rPr>
                <w:sz w:val="18"/>
                <w:szCs w:val="18"/>
              </w:rPr>
            </w:pPr>
            <w:r>
              <w:rPr>
                <w:rFonts w:hint="eastAsia"/>
                <w:sz w:val="18"/>
                <w:szCs w:val="18"/>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全氟戊烷</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5</w:t>
            </w:r>
            <w:r>
              <w:rPr>
                <w:rFonts w:hint="eastAsia"/>
                <w:sz w:val="18"/>
                <w:szCs w:val="18"/>
              </w:rPr>
              <w:t>F</w:t>
            </w:r>
            <w:r>
              <w:rPr>
                <w:rFonts w:hint="eastAsia"/>
                <w:sz w:val="18"/>
                <w:szCs w:val="18"/>
                <w:vertAlign w:val="subscript"/>
              </w:rPr>
              <w:t>12</w:t>
            </w:r>
          </w:p>
        </w:tc>
        <w:tc>
          <w:tcPr>
            <w:tcW w:w="1663" w:type="pct"/>
            <w:vAlign w:val="center"/>
          </w:tcPr>
          <w:p>
            <w:pPr>
              <w:jc w:val="center"/>
              <w:rPr>
                <w:sz w:val="18"/>
                <w:szCs w:val="18"/>
              </w:rPr>
            </w:pPr>
            <w:r>
              <w:rPr>
                <w:rFonts w:hint="eastAsia"/>
                <w:sz w:val="18"/>
                <w:szCs w:val="18"/>
              </w:rPr>
              <w:t>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全氟己烷</w:t>
            </w:r>
          </w:p>
        </w:tc>
        <w:tc>
          <w:tcPr>
            <w:tcW w:w="1669" w:type="pct"/>
            <w:vAlign w:val="center"/>
          </w:tcPr>
          <w:p>
            <w:pPr>
              <w:jc w:val="center"/>
              <w:rPr>
                <w:sz w:val="18"/>
                <w:szCs w:val="18"/>
              </w:rPr>
            </w:pPr>
            <w:r>
              <w:rPr>
                <w:rFonts w:hint="eastAsia"/>
                <w:sz w:val="18"/>
                <w:szCs w:val="18"/>
              </w:rPr>
              <w:t>C</w:t>
            </w:r>
            <w:r>
              <w:rPr>
                <w:rFonts w:hint="eastAsia"/>
                <w:sz w:val="18"/>
                <w:szCs w:val="18"/>
                <w:vertAlign w:val="subscript"/>
              </w:rPr>
              <w:t>6</w:t>
            </w:r>
            <w:r>
              <w:rPr>
                <w:rFonts w:hint="eastAsia"/>
                <w:sz w:val="18"/>
                <w:szCs w:val="18"/>
              </w:rPr>
              <w:t>F</w:t>
            </w:r>
            <w:r>
              <w:rPr>
                <w:rFonts w:hint="eastAsia"/>
                <w:sz w:val="18"/>
                <w:szCs w:val="18"/>
                <w:vertAlign w:val="subscript"/>
              </w:rPr>
              <w:t>14</w:t>
            </w:r>
          </w:p>
        </w:tc>
        <w:tc>
          <w:tcPr>
            <w:tcW w:w="1663" w:type="pct"/>
            <w:vAlign w:val="center"/>
          </w:tcPr>
          <w:p>
            <w:pPr>
              <w:jc w:val="center"/>
              <w:rPr>
                <w:sz w:val="18"/>
                <w:szCs w:val="18"/>
              </w:rPr>
            </w:pPr>
            <w:r>
              <w:rPr>
                <w:rFonts w:hint="eastAsia"/>
                <w:sz w:val="18"/>
                <w:szCs w:val="18"/>
              </w:rPr>
              <w:t>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vAlign w:val="center"/>
          </w:tcPr>
          <w:p>
            <w:pPr>
              <w:jc w:val="center"/>
              <w:rPr>
                <w:sz w:val="18"/>
                <w:szCs w:val="18"/>
              </w:rPr>
            </w:pPr>
            <w:r>
              <w:rPr>
                <w:rFonts w:hint="eastAsia"/>
                <w:sz w:val="18"/>
                <w:szCs w:val="18"/>
              </w:rPr>
              <w:t>六氟化硫</w:t>
            </w:r>
          </w:p>
        </w:tc>
        <w:tc>
          <w:tcPr>
            <w:tcW w:w="1669" w:type="pct"/>
            <w:vAlign w:val="center"/>
          </w:tcPr>
          <w:p>
            <w:pPr>
              <w:jc w:val="center"/>
              <w:rPr>
                <w:sz w:val="18"/>
                <w:szCs w:val="18"/>
              </w:rPr>
            </w:pPr>
            <w:r>
              <w:rPr>
                <w:rFonts w:hint="eastAsia"/>
                <w:sz w:val="18"/>
                <w:szCs w:val="18"/>
              </w:rPr>
              <w:t>SF</w:t>
            </w:r>
            <w:r>
              <w:rPr>
                <w:rFonts w:hint="eastAsia"/>
                <w:sz w:val="18"/>
                <w:szCs w:val="18"/>
                <w:vertAlign w:val="subscript"/>
              </w:rPr>
              <w:t>6</w:t>
            </w:r>
          </w:p>
        </w:tc>
        <w:tc>
          <w:tcPr>
            <w:tcW w:w="1663" w:type="pct"/>
            <w:vAlign w:val="center"/>
          </w:tcPr>
          <w:p>
            <w:pPr>
              <w:jc w:val="center"/>
              <w:rPr>
                <w:sz w:val="18"/>
                <w:szCs w:val="18"/>
              </w:rPr>
            </w:pPr>
            <w:r>
              <w:rPr>
                <w:rFonts w:hint="eastAsia"/>
                <w:sz w:val="18"/>
                <w:szCs w:val="18"/>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300" w:firstLineChars="200"/>
              <w:jc w:val="left"/>
              <w:rPr>
                <w:sz w:val="18"/>
                <w:szCs w:val="18"/>
              </w:rPr>
            </w:pPr>
            <w:r>
              <w:rPr>
                <w:rFonts w:hint="eastAsia"/>
                <w:b/>
                <w:bCs/>
                <w:sz w:val="15"/>
                <w:szCs w:val="15"/>
              </w:rPr>
              <w:t>注</w:t>
            </w:r>
            <w:r>
              <w:rPr>
                <w:rFonts w:hint="eastAsia"/>
                <w:sz w:val="15"/>
                <w:szCs w:val="15"/>
              </w:rPr>
              <w:t>：部分温室气体的全球变暖潜势来源于气候变化专门委员会（IPCC）《气候变化报告2021：自然科学基础 第一工作组对政府间气候变化专门委员会第六次评估报告的贡献》</w:t>
            </w:r>
          </w:p>
        </w:tc>
      </w:tr>
    </w:tbl>
    <w:p>
      <w:pPr>
        <w:pStyle w:val="2"/>
        <w:ind w:firstLine="0" w:firstLineChars="0"/>
      </w:pPr>
    </w:p>
    <w:p>
      <w:pPr>
        <w:pStyle w:val="2"/>
        <w:ind w:firstLine="480"/>
        <w:rPr>
          <w:rStyle w:val="195"/>
          <w:rFonts w:hint="default"/>
          <w:sz w:val="24"/>
        </w:rPr>
      </w:pPr>
    </w:p>
    <w:p>
      <w:pPr>
        <w:pStyle w:val="2"/>
        <w:ind w:firstLine="480"/>
        <w:rPr>
          <w:rStyle w:val="195"/>
          <w:rFonts w:hint="default"/>
          <w:sz w:val="24"/>
        </w:rPr>
      </w:pPr>
    </w:p>
    <w:p>
      <w:pPr>
        <w:pStyle w:val="2"/>
        <w:ind w:firstLine="480"/>
        <w:rPr>
          <w:rStyle w:val="195"/>
          <w:rFonts w:hint="default"/>
          <w:sz w:val="24"/>
        </w:rPr>
      </w:pPr>
    </w:p>
    <w:p>
      <w:pPr>
        <w:pStyle w:val="2"/>
        <w:ind w:firstLine="480"/>
        <w:rPr>
          <w:rStyle w:val="195"/>
          <w:rFonts w:hint="default"/>
          <w:sz w:val="24"/>
        </w:rPr>
      </w:pPr>
    </w:p>
    <w:p>
      <w:pPr>
        <w:pStyle w:val="2"/>
        <w:ind w:firstLine="480"/>
        <w:rPr>
          <w:rStyle w:val="195"/>
          <w:rFonts w:hint="default"/>
          <w:sz w:val="24"/>
        </w:rPr>
      </w:pPr>
    </w:p>
    <w:p>
      <w:pPr>
        <w:pStyle w:val="2"/>
        <w:ind w:firstLine="480"/>
        <w:rPr>
          <w:rStyle w:val="195"/>
          <w:rFonts w:hint="default"/>
          <w:sz w:val="24"/>
        </w:rPr>
      </w:pPr>
    </w:p>
    <w:p>
      <w:pPr>
        <w:pageBreakBefore/>
        <w:spacing w:before="156" w:beforeLines="50"/>
        <w:jc w:val="center"/>
        <w:outlineLvl w:val="0"/>
        <w:rPr>
          <w:rStyle w:val="195"/>
          <w:rFonts w:hint="default" w:ascii="Times New Roman" w:hAnsi="Times New Roman"/>
          <w:sz w:val="21"/>
          <w:szCs w:val="20"/>
        </w:rPr>
      </w:pPr>
      <w:bookmarkStart w:id="144" w:name="_Toc8379"/>
      <w:bookmarkStart w:id="145" w:name="_Toc174037229"/>
      <w:bookmarkStart w:id="146" w:name="_Toc11454"/>
      <w:r>
        <w:rPr>
          <w:rStyle w:val="195"/>
          <w:rFonts w:hint="default" w:ascii="Times New Roman" w:hAnsi="Times New Roman"/>
          <w:sz w:val="21"/>
          <w:szCs w:val="20"/>
        </w:rPr>
        <w:t>附录</w:t>
      </w:r>
      <w:r>
        <w:rPr>
          <w:rStyle w:val="195"/>
          <w:rFonts w:ascii="Times New Roman" w:hAnsi="Times New Roman"/>
          <w:sz w:val="21"/>
          <w:szCs w:val="20"/>
        </w:rPr>
        <w:t>C</w:t>
      </w:r>
      <w:r>
        <w:rPr>
          <w:rStyle w:val="195"/>
          <w:rFonts w:hint="default" w:ascii="Times New Roman" w:hAnsi="Times New Roman"/>
          <w:sz w:val="21"/>
          <w:szCs w:val="20"/>
        </w:rPr>
        <w:br w:type="textWrapping"/>
      </w:r>
      <w:r>
        <w:rPr>
          <w:rStyle w:val="195"/>
          <w:rFonts w:hint="default" w:ascii="Times New Roman" w:hAnsi="Times New Roman"/>
          <w:sz w:val="21"/>
          <w:szCs w:val="20"/>
        </w:rPr>
        <w:t>（资料性）</w:t>
      </w:r>
      <w:r>
        <w:rPr>
          <w:rStyle w:val="195"/>
          <w:rFonts w:hint="default" w:ascii="Times New Roman" w:hAnsi="Times New Roman"/>
          <w:sz w:val="21"/>
          <w:szCs w:val="20"/>
        </w:rPr>
        <w:br w:type="textWrapping"/>
      </w:r>
      <w:bookmarkEnd w:id="144"/>
      <w:r>
        <w:rPr>
          <w:rStyle w:val="195"/>
          <w:rFonts w:ascii="Times New Roman" w:hAnsi="Times New Roman"/>
          <w:sz w:val="21"/>
          <w:szCs w:val="20"/>
        </w:rPr>
        <w:t>主要原辅材料和生产过程</w:t>
      </w:r>
      <w:r>
        <w:rPr>
          <w:rFonts w:eastAsia="黑体"/>
          <w:color w:val="000000"/>
          <w:szCs w:val="20"/>
        </w:rPr>
        <w:t>温室气体</w:t>
      </w:r>
      <w:r>
        <w:rPr>
          <w:rFonts w:hint="eastAsia" w:eastAsia="黑体"/>
          <w:color w:val="000000"/>
          <w:szCs w:val="20"/>
        </w:rPr>
        <w:t>排放因子缺省值</w:t>
      </w:r>
      <w:bookmarkEnd w:id="145"/>
    </w:p>
    <w:p>
      <w:pPr>
        <w:pStyle w:val="21"/>
        <w:autoSpaceDE w:val="0"/>
        <w:autoSpaceDN w:val="0"/>
        <w:spacing w:before="156" w:beforeLines="50" w:after="0"/>
        <w:ind w:firstLine="420" w:firstLineChars="200"/>
        <w:jc w:val="left"/>
        <w:rPr>
          <w:szCs w:val="22"/>
        </w:rPr>
      </w:pPr>
      <w:bookmarkStart w:id="147" w:name="_Hlk173414854"/>
      <w:r>
        <w:rPr>
          <w:rFonts w:hint="eastAsia"/>
          <w:szCs w:val="22"/>
        </w:rPr>
        <w:t>主要原辅材料和生产过程温室气体排放因子缺省值表C</w:t>
      </w:r>
      <w:r>
        <w:rPr>
          <w:szCs w:val="22"/>
        </w:rPr>
        <w:t>.1~</w:t>
      </w:r>
      <w:r>
        <w:rPr>
          <w:rFonts w:hint="eastAsia"/>
          <w:szCs w:val="22"/>
        </w:rPr>
        <w:t>表C</w:t>
      </w:r>
      <w:r>
        <w:rPr>
          <w:szCs w:val="22"/>
        </w:rPr>
        <w:t>.</w:t>
      </w:r>
      <w:r>
        <w:rPr>
          <w:rFonts w:hint="eastAsia"/>
          <w:szCs w:val="22"/>
        </w:rPr>
        <w:t>4</w:t>
      </w:r>
      <w:r>
        <w:rPr>
          <w:szCs w:val="22"/>
        </w:rPr>
        <w:t>。</w:t>
      </w:r>
    </w:p>
    <w:p>
      <w:pPr>
        <w:pStyle w:val="128"/>
        <w:widowControl w:val="0"/>
        <w:tabs>
          <w:tab w:val="left" w:pos="180"/>
          <w:tab w:val="left" w:pos="4201"/>
        </w:tabs>
        <w:spacing w:before="156" w:beforeLines="50" w:after="156" w:afterLines="50"/>
        <w:ind w:left="567" w:hanging="567"/>
        <w:textAlignment w:val="auto"/>
        <w:rPr>
          <w:rFonts w:ascii="Times New Roman"/>
          <w:kern w:val="2"/>
          <w:szCs w:val="21"/>
        </w:rPr>
      </w:pPr>
      <w:r>
        <w:rPr>
          <w:rFonts w:hint="eastAsia" w:ascii="Times New Roman"/>
          <w:kern w:val="2"/>
          <w:szCs w:val="21"/>
        </w:rPr>
        <w:t>表C.1 镁冶炼过程的生命周期温室气体排放因子</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818"/>
        <w:gridCol w:w="1395"/>
        <w:gridCol w:w="1667"/>
        <w:gridCol w:w="181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rFonts w:hint="default" w:eastAsia="宋体"/>
                <w:sz w:val="18"/>
                <w:szCs w:val="18"/>
                <w:highlight w:val="none"/>
                <w:lang w:val="en-US" w:eastAsia="zh-CN"/>
              </w:rPr>
            </w:pPr>
            <w:r>
              <w:rPr>
                <w:rFonts w:hint="eastAsia"/>
                <w:sz w:val="18"/>
                <w:szCs w:val="18"/>
                <w:highlight w:val="none"/>
              </w:rPr>
              <w:t>原辅材料</w:t>
            </w:r>
            <w:r>
              <w:rPr>
                <w:rFonts w:hint="eastAsia"/>
                <w:sz w:val="18"/>
                <w:szCs w:val="18"/>
                <w:highlight w:val="none"/>
                <w:lang w:val="en-US" w:eastAsia="zh-CN"/>
              </w:rPr>
              <w:t>或生产过程</w:t>
            </w:r>
          </w:p>
        </w:tc>
        <w:tc>
          <w:tcPr>
            <w:tcW w:w="1818" w:type="dxa"/>
            <w:vAlign w:val="center"/>
          </w:tcPr>
          <w:p>
            <w:pPr>
              <w:pStyle w:val="21"/>
              <w:spacing w:after="0"/>
              <w:jc w:val="center"/>
              <w:rPr>
                <w:sz w:val="18"/>
                <w:szCs w:val="18"/>
                <w:highlight w:val="none"/>
                <w:lang w:val="de-DE"/>
              </w:rPr>
            </w:pPr>
            <w:r>
              <w:rPr>
                <w:rFonts w:hint="eastAsia"/>
                <w:sz w:val="18"/>
                <w:szCs w:val="18"/>
                <w:highlight w:val="none"/>
              </w:rPr>
              <w:t>排放因子</w:t>
            </w:r>
          </w:p>
        </w:tc>
        <w:tc>
          <w:tcPr>
            <w:tcW w:w="1395" w:type="dxa"/>
            <w:tcBorders>
              <w:right w:val="double" w:color="auto" w:sz="4" w:space="0"/>
            </w:tcBorders>
            <w:vAlign w:val="center"/>
          </w:tcPr>
          <w:p>
            <w:pPr>
              <w:pStyle w:val="21"/>
              <w:spacing w:after="0"/>
              <w:jc w:val="center"/>
              <w:rPr>
                <w:sz w:val="18"/>
                <w:szCs w:val="18"/>
                <w:highlight w:val="none"/>
              </w:rPr>
            </w:pPr>
            <w:r>
              <w:rPr>
                <w:rFonts w:hint="eastAsia"/>
                <w:sz w:val="18"/>
                <w:szCs w:val="18"/>
                <w:highlight w:val="none"/>
              </w:rPr>
              <w:t>单位</w:t>
            </w:r>
          </w:p>
        </w:tc>
        <w:tc>
          <w:tcPr>
            <w:tcW w:w="1667" w:type="dxa"/>
            <w:tcBorders>
              <w:left w:val="double" w:color="auto" w:sz="4" w:space="0"/>
            </w:tcBorders>
            <w:vAlign w:val="center"/>
          </w:tcPr>
          <w:p>
            <w:pPr>
              <w:pStyle w:val="21"/>
              <w:spacing w:after="0"/>
              <w:jc w:val="center"/>
              <w:rPr>
                <w:sz w:val="18"/>
                <w:szCs w:val="18"/>
                <w:highlight w:val="none"/>
              </w:rPr>
            </w:pPr>
            <w:r>
              <w:rPr>
                <w:rFonts w:hint="eastAsia"/>
                <w:sz w:val="18"/>
                <w:szCs w:val="18"/>
                <w:highlight w:val="none"/>
              </w:rPr>
              <w:t>原辅材料</w:t>
            </w:r>
            <w:r>
              <w:rPr>
                <w:rFonts w:hint="eastAsia"/>
                <w:sz w:val="18"/>
                <w:szCs w:val="18"/>
                <w:highlight w:val="none"/>
                <w:lang w:val="en-US" w:eastAsia="zh-CN"/>
              </w:rPr>
              <w:t>或生产过程</w:t>
            </w:r>
          </w:p>
        </w:tc>
        <w:tc>
          <w:tcPr>
            <w:tcW w:w="1811" w:type="dxa"/>
            <w:vAlign w:val="center"/>
          </w:tcPr>
          <w:p>
            <w:pPr>
              <w:pStyle w:val="21"/>
              <w:spacing w:after="0"/>
              <w:jc w:val="center"/>
              <w:rPr>
                <w:sz w:val="18"/>
                <w:szCs w:val="18"/>
                <w:highlight w:val="none"/>
                <w:lang w:val="de-DE"/>
              </w:rPr>
            </w:pPr>
            <w:r>
              <w:rPr>
                <w:rFonts w:hint="eastAsia"/>
                <w:sz w:val="18"/>
                <w:szCs w:val="18"/>
                <w:highlight w:val="none"/>
              </w:rPr>
              <w:t>排放因子</w:t>
            </w:r>
          </w:p>
        </w:tc>
        <w:tc>
          <w:tcPr>
            <w:tcW w:w="1361" w:type="dxa"/>
            <w:vAlign w:val="center"/>
          </w:tcPr>
          <w:p>
            <w:pPr>
              <w:pStyle w:val="21"/>
              <w:spacing w:after="0"/>
              <w:jc w:val="center"/>
              <w:rPr>
                <w:sz w:val="18"/>
                <w:szCs w:val="18"/>
                <w:highlight w:val="none"/>
              </w:rPr>
            </w:pPr>
            <w:r>
              <w:rPr>
                <w:rFonts w:hint="eastAsia"/>
                <w:sz w:val="18"/>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sz w:val="18"/>
                <w:szCs w:val="18"/>
                <w:highlight w:val="none"/>
              </w:rPr>
            </w:pPr>
            <w:r>
              <w:rPr>
                <w:rFonts w:hint="eastAsia"/>
                <w:sz w:val="18"/>
                <w:szCs w:val="18"/>
              </w:rPr>
              <w:t>白云石</w:t>
            </w:r>
          </w:p>
        </w:tc>
        <w:tc>
          <w:tcPr>
            <w:tcW w:w="1818" w:type="dxa"/>
            <w:vAlign w:val="center"/>
          </w:tcPr>
          <w:p>
            <w:pPr>
              <w:pStyle w:val="21"/>
              <w:spacing w:after="0"/>
              <w:jc w:val="center"/>
              <w:rPr>
                <w:sz w:val="18"/>
                <w:szCs w:val="18"/>
                <w:highlight w:val="none"/>
              </w:rPr>
            </w:pPr>
            <w:r>
              <w:rPr>
                <w:rFonts w:hint="eastAsia"/>
                <w:sz w:val="18"/>
                <w:szCs w:val="18"/>
              </w:rPr>
              <w:t>0.011728</w:t>
            </w:r>
          </w:p>
        </w:tc>
        <w:tc>
          <w:tcPr>
            <w:tcW w:w="1395" w:type="dxa"/>
            <w:tcBorders>
              <w:right w:val="double" w:color="auto" w:sz="4" w:space="0"/>
            </w:tcBorders>
            <w:vAlign w:val="center"/>
          </w:tcPr>
          <w:p>
            <w:pPr>
              <w:pStyle w:val="21"/>
              <w:spacing w:after="0"/>
              <w:jc w:val="center"/>
              <w:rPr>
                <w:sz w:val="18"/>
                <w:szCs w:val="18"/>
                <w:highlight w:val="none"/>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hint="eastAsia" w:ascii="Times New Roman" w:hAnsi="Times New Roman" w:eastAsia="宋体" w:cs="Times New Roman"/>
                <w:kern w:val="2"/>
                <w:sz w:val="18"/>
                <w:szCs w:val="18"/>
                <w:highlight w:val="yellow"/>
                <w:lang w:val="en-US" w:eastAsia="zh-CN" w:bidi="ar-SA"/>
              </w:rPr>
            </w:pPr>
            <w:r>
              <w:rPr>
                <w:rFonts w:hint="eastAsia"/>
                <w:sz w:val="18"/>
                <w:szCs w:val="18"/>
                <w:highlight w:val="yellow"/>
              </w:rPr>
              <w:t>萤石</w:t>
            </w:r>
          </w:p>
        </w:tc>
        <w:tc>
          <w:tcPr>
            <w:tcW w:w="1811" w:type="dxa"/>
            <w:vAlign w:val="center"/>
          </w:tcPr>
          <w:p>
            <w:pPr>
              <w:pStyle w:val="21"/>
              <w:spacing w:after="0"/>
              <w:jc w:val="center"/>
              <w:rPr>
                <w:rFonts w:ascii="Times New Roman" w:hAnsi="Times New Roman" w:eastAsia="宋体" w:cs="Times New Roman"/>
                <w:kern w:val="2"/>
                <w:sz w:val="18"/>
                <w:szCs w:val="18"/>
                <w:highlight w:val="yellow"/>
                <w:lang w:val="en-US" w:eastAsia="zh-CN" w:bidi="ar-SA"/>
              </w:rPr>
            </w:pPr>
            <w:r>
              <w:rPr>
                <w:rFonts w:hint="eastAsia"/>
                <w:sz w:val="18"/>
                <w:szCs w:val="18"/>
                <w:highlight w:val="yellow"/>
              </w:rPr>
              <w:t>/</w:t>
            </w:r>
          </w:p>
        </w:tc>
        <w:tc>
          <w:tcPr>
            <w:tcW w:w="1361" w:type="dxa"/>
            <w:vAlign w:val="center"/>
          </w:tcPr>
          <w:p>
            <w:pPr>
              <w:pStyle w:val="21"/>
              <w:spacing w:after="0"/>
              <w:jc w:val="center"/>
              <w:rPr>
                <w:rFonts w:ascii="Times New Roman" w:hAnsi="Times New Roman" w:eastAsia="宋体" w:cs="Times New Roman"/>
                <w:kern w:val="2"/>
                <w:sz w:val="18"/>
                <w:szCs w:val="18"/>
                <w:highlight w:val="yellow"/>
                <w:lang w:val="en-US" w:eastAsia="zh-CN" w:bidi="ar-SA"/>
              </w:rPr>
            </w:pPr>
            <w:r>
              <w:rPr>
                <w:sz w:val="18"/>
                <w:szCs w:val="18"/>
                <w:highlight w:val="yellow"/>
                <w:lang w:val="de-DE"/>
              </w:rPr>
              <w:t>kgCO</w:t>
            </w:r>
            <w:r>
              <w:rPr>
                <w:sz w:val="18"/>
                <w:szCs w:val="18"/>
                <w:highlight w:val="yellow"/>
                <w:vertAlign w:val="subscript"/>
                <w:lang w:val="de-DE"/>
              </w:rPr>
              <w:t>2</w:t>
            </w:r>
            <w:r>
              <w:rPr>
                <w:sz w:val="18"/>
                <w:szCs w:val="18"/>
                <w:highlight w:val="yellow"/>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sz w:val="18"/>
                <w:szCs w:val="18"/>
                <w:highlight w:val="none"/>
              </w:rPr>
            </w:pPr>
            <w:r>
              <w:rPr>
                <w:rFonts w:hint="eastAsia"/>
                <w:sz w:val="18"/>
                <w:szCs w:val="18"/>
              </w:rPr>
              <w:t>硅铁</w:t>
            </w:r>
          </w:p>
        </w:tc>
        <w:tc>
          <w:tcPr>
            <w:tcW w:w="1818" w:type="dxa"/>
            <w:vAlign w:val="center"/>
          </w:tcPr>
          <w:p>
            <w:pPr>
              <w:pStyle w:val="21"/>
              <w:spacing w:after="0"/>
              <w:jc w:val="center"/>
              <w:rPr>
                <w:sz w:val="18"/>
                <w:szCs w:val="18"/>
                <w:highlight w:val="none"/>
              </w:rPr>
            </w:pPr>
            <w:r>
              <w:rPr>
                <w:rFonts w:hint="eastAsia"/>
                <w:sz w:val="18"/>
                <w:szCs w:val="18"/>
              </w:rPr>
              <w:t>7.59</w:t>
            </w:r>
          </w:p>
        </w:tc>
        <w:tc>
          <w:tcPr>
            <w:tcW w:w="1395" w:type="dxa"/>
            <w:tcBorders>
              <w:right w:val="double" w:color="auto" w:sz="4" w:space="0"/>
            </w:tcBorders>
            <w:vAlign w:val="center"/>
          </w:tcPr>
          <w:p>
            <w:pPr>
              <w:pStyle w:val="21"/>
              <w:spacing w:after="0"/>
              <w:jc w:val="center"/>
              <w:rPr>
                <w:sz w:val="18"/>
                <w:szCs w:val="18"/>
                <w:highlight w:val="none"/>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hint="eastAsia" w:ascii="Times New Roman" w:hAnsi="Times New Roman" w:eastAsia="宋体" w:cs="Times New Roman"/>
                <w:kern w:val="2"/>
                <w:sz w:val="18"/>
                <w:szCs w:val="18"/>
                <w:highlight w:val="yellow"/>
                <w:lang w:val="en-US" w:eastAsia="zh-CN" w:bidi="ar-SA"/>
              </w:rPr>
            </w:pPr>
            <w:r>
              <w:rPr>
                <w:rFonts w:hint="eastAsia"/>
                <w:sz w:val="18"/>
                <w:szCs w:val="18"/>
                <w:highlight w:val="yellow"/>
              </w:rPr>
              <w:t>四氟乙烷</w:t>
            </w:r>
          </w:p>
        </w:tc>
        <w:tc>
          <w:tcPr>
            <w:tcW w:w="1811"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7380</w:t>
            </w:r>
          </w:p>
        </w:tc>
        <w:tc>
          <w:tcPr>
            <w:tcW w:w="1361"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工业水</w:t>
            </w:r>
          </w:p>
        </w:tc>
        <w:tc>
          <w:tcPr>
            <w:tcW w:w="1818"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rPr>
              <w:t>12.32</w:t>
            </w:r>
          </w:p>
        </w:tc>
        <w:tc>
          <w:tcPr>
            <w:tcW w:w="1395" w:type="dxa"/>
            <w:tcBorders>
              <w:right w:val="double" w:color="auto" w:sz="4" w:space="0"/>
            </w:tcBorders>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hint="eastAsia" w:ascii="Times New Roman" w:hAnsi="Times New Roman" w:eastAsia="宋体" w:cs="Times New Roman"/>
                <w:kern w:val="2"/>
                <w:sz w:val="18"/>
                <w:szCs w:val="18"/>
                <w:highlight w:val="yellow"/>
                <w:lang w:val="en-US" w:eastAsia="zh-CN" w:bidi="ar-SA"/>
              </w:rPr>
            </w:pPr>
            <w:r>
              <w:rPr>
                <w:rFonts w:hint="eastAsia"/>
                <w:sz w:val="18"/>
                <w:szCs w:val="18"/>
                <w:highlight w:val="yellow"/>
              </w:rPr>
              <w:t>硫磺</w:t>
            </w:r>
          </w:p>
        </w:tc>
        <w:tc>
          <w:tcPr>
            <w:tcW w:w="1811"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0.007</w:t>
            </w:r>
          </w:p>
        </w:tc>
        <w:tc>
          <w:tcPr>
            <w:tcW w:w="1361"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yellow"/>
              </w:rPr>
              <w:t>无烟煤</w:t>
            </w:r>
          </w:p>
        </w:tc>
        <w:tc>
          <w:tcPr>
            <w:tcW w:w="1818"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2.6</w:t>
            </w:r>
          </w:p>
        </w:tc>
        <w:tc>
          <w:tcPr>
            <w:tcW w:w="1395" w:type="dxa"/>
            <w:tcBorders>
              <w:right w:val="double" w:color="auto" w:sz="4" w:space="0"/>
            </w:tcBorders>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片碱</w:t>
            </w:r>
          </w:p>
        </w:tc>
        <w:tc>
          <w:tcPr>
            <w:tcW w:w="1811"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0.83或1.12</w:t>
            </w:r>
          </w:p>
        </w:tc>
        <w:tc>
          <w:tcPr>
            <w:tcW w:w="1361"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rFonts w:hint="eastAsia" w:cs="Times New Roman"/>
                <w:kern w:val="2"/>
                <w:sz w:val="18"/>
                <w:szCs w:val="18"/>
                <w:highlight w:val="yellow"/>
                <w:lang w:val="en-US" w:eastAsia="zh-CN" w:bidi="ar-SA"/>
              </w:rPr>
            </w:pPr>
            <w:r>
              <w:rPr>
                <w:rFonts w:hint="eastAsia"/>
                <w:sz w:val="18"/>
                <w:szCs w:val="18"/>
                <w:highlight w:val="yellow"/>
              </w:rPr>
              <w:t>烟煤</w:t>
            </w:r>
          </w:p>
        </w:tc>
        <w:tc>
          <w:tcPr>
            <w:tcW w:w="1818"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1.82</w:t>
            </w:r>
          </w:p>
        </w:tc>
        <w:tc>
          <w:tcPr>
            <w:tcW w:w="1395" w:type="dxa"/>
            <w:tcBorders>
              <w:right w:val="double" w:color="auto" w:sz="4" w:space="0"/>
            </w:tcBorders>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rPr>
              <w:t>液氩</w:t>
            </w:r>
          </w:p>
        </w:tc>
        <w:tc>
          <w:tcPr>
            <w:tcW w:w="1811" w:type="dxa"/>
            <w:vAlign w:val="center"/>
          </w:tcPr>
          <w:p>
            <w:pPr>
              <w:pStyle w:val="21"/>
              <w:spacing w:after="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rPr>
              <w:t>2.43</w:t>
            </w:r>
          </w:p>
        </w:tc>
        <w:tc>
          <w:tcPr>
            <w:tcW w:w="1361" w:type="dxa"/>
            <w:vAlign w:val="center"/>
          </w:tcPr>
          <w:p>
            <w:pPr>
              <w:pStyle w:val="21"/>
              <w:spacing w:after="0"/>
              <w:jc w:val="center"/>
              <w:rPr>
                <w:rFonts w:ascii="Times New Roman" w:hAnsi="Times New Roman" w:eastAsia="宋体" w:cs="Times New Roman"/>
                <w:kern w:val="2"/>
                <w:sz w:val="18"/>
                <w:szCs w:val="18"/>
                <w:highlight w:val="none"/>
                <w:lang w:val="de-DE" w:eastAsia="zh-CN" w:bidi="ar-SA"/>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rFonts w:hint="eastAsia" w:cs="Times New Roman"/>
                <w:kern w:val="2"/>
                <w:sz w:val="18"/>
                <w:szCs w:val="18"/>
                <w:highlight w:val="yellow"/>
                <w:lang w:val="en-US" w:eastAsia="zh-CN" w:bidi="ar-SA"/>
              </w:rPr>
            </w:pPr>
            <w:r>
              <w:rPr>
                <w:rFonts w:hint="eastAsia"/>
                <w:sz w:val="18"/>
                <w:szCs w:val="18"/>
                <w:highlight w:val="yellow"/>
              </w:rPr>
              <w:t>褐煤</w:t>
            </w:r>
          </w:p>
        </w:tc>
        <w:tc>
          <w:tcPr>
            <w:tcW w:w="1818"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1.25</w:t>
            </w:r>
          </w:p>
        </w:tc>
        <w:tc>
          <w:tcPr>
            <w:tcW w:w="1395" w:type="dxa"/>
            <w:tcBorders>
              <w:right w:val="double" w:color="auto" w:sz="4" w:space="0"/>
            </w:tcBorders>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rPr>
              <w:t>白云石煅烧</w:t>
            </w:r>
          </w:p>
        </w:tc>
        <w:tc>
          <w:tcPr>
            <w:tcW w:w="1811" w:type="dxa"/>
            <w:vAlign w:val="center"/>
          </w:tcPr>
          <w:p>
            <w:pPr>
              <w:pStyle w:val="21"/>
              <w:spacing w:after="0"/>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rPr>
              <w:t>0.46844</w:t>
            </w:r>
          </w:p>
        </w:tc>
        <w:tc>
          <w:tcPr>
            <w:tcW w:w="1361" w:type="dxa"/>
            <w:vAlign w:val="center"/>
          </w:tcPr>
          <w:p>
            <w:pPr>
              <w:pStyle w:val="21"/>
              <w:spacing w:after="0"/>
              <w:jc w:val="center"/>
              <w:rPr>
                <w:rFonts w:ascii="Times New Roman" w:hAnsi="Times New Roman" w:eastAsia="宋体" w:cs="Times New Roman"/>
                <w:kern w:val="2"/>
                <w:sz w:val="18"/>
                <w:szCs w:val="18"/>
                <w:highlight w:val="none"/>
                <w:lang w:val="de-DE" w:eastAsia="zh-CN" w:bidi="ar-SA"/>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9" w:type="dxa"/>
            <w:vAlign w:val="center"/>
          </w:tcPr>
          <w:p>
            <w:pPr>
              <w:pStyle w:val="21"/>
              <w:spacing w:after="0"/>
              <w:jc w:val="center"/>
              <w:rPr>
                <w:rFonts w:hint="eastAsia" w:cs="Times New Roman"/>
                <w:kern w:val="2"/>
                <w:sz w:val="18"/>
                <w:szCs w:val="18"/>
                <w:highlight w:val="yellow"/>
                <w:lang w:val="en-US" w:eastAsia="zh-CN" w:bidi="ar-SA"/>
              </w:rPr>
            </w:pPr>
            <w:r>
              <w:rPr>
                <w:rFonts w:hint="eastAsia"/>
                <w:sz w:val="18"/>
                <w:szCs w:val="18"/>
                <w:highlight w:val="yellow"/>
              </w:rPr>
              <w:t>洗精煤</w:t>
            </w:r>
          </w:p>
        </w:tc>
        <w:tc>
          <w:tcPr>
            <w:tcW w:w="1818" w:type="dxa"/>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rFonts w:hint="eastAsia"/>
                <w:sz w:val="18"/>
                <w:szCs w:val="18"/>
              </w:rPr>
              <w:t>2.288</w:t>
            </w:r>
          </w:p>
        </w:tc>
        <w:tc>
          <w:tcPr>
            <w:tcW w:w="1395" w:type="dxa"/>
            <w:tcBorders>
              <w:right w:val="double" w:color="auto" w:sz="4" w:space="0"/>
            </w:tcBorders>
            <w:vAlign w:val="center"/>
          </w:tcPr>
          <w:p>
            <w:pPr>
              <w:pStyle w:val="21"/>
              <w:spacing w:after="0"/>
              <w:jc w:val="center"/>
              <w:rPr>
                <w:rFonts w:ascii="Times New Roman" w:hAnsi="Times New Roman" w:eastAsia="宋体" w:cs="Times New Roman"/>
                <w:kern w:val="2"/>
                <w:sz w:val="18"/>
                <w:szCs w:val="18"/>
                <w:highlight w:val="none"/>
                <w:lang w:val="en-US" w:eastAsia="zh-CN" w:bidi="ar-SA"/>
              </w:rPr>
            </w:pPr>
            <w:r>
              <w:rPr>
                <w:sz w:val="18"/>
                <w:szCs w:val="18"/>
                <w:lang w:val="de-DE"/>
              </w:rPr>
              <w:t>kgCO</w:t>
            </w:r>
            <w:r>
              <w:rPr>
                <w:sz w:val="18"/>
                <w:szCs w:val="18"/>
                <w:vertAlign w:val="subscript"/>
                <w:lang w:val="de-DE"/>
              </w:rPr>
              <w:t>2</w:t>
            </w:r>
            <w:r>
              <w:rPr>
                <w:sz w:val="18"/>
                <w:szCs w:val="18"/>
                <w:lang w:val="de-DE"/>
              </w:rPr>
              <w:t>e/kg</w:t>
            </w:r>
          </w:p>
        </w:tc>
        <w:tc>
          <w:tcPr>
            <w:tcW w:w="1667" w:type="dxa"/>
            <w:tcBorders>
              <w:left w:val="double" w:color="auto" w:sz="4" w:space="0"/>
            </w:tcBorders>
            <w:vAlign w:val="center"/>
          </w:tcPr>
          <w:p>
            <w:pPr>
              <w:pStyle w:val="21"/>
              <w:spacing w:after="0"/>
              <w:jc w:val="center"/>
              <w:rPr>
                <w:rFonts w:hint="default" w:ascii="Times New Roman" w:hAnsi="Times New Roman" w:eastAsia="宋体" w:cs="Times New Roman"/>
                <w:kern w:val="2"/>
                <w:sz w:val="18"/>
                <w:szCs w:val="18"/>
                <w:highlight w:val="none"/>
                <w:lang w:val="en-US" w:eastAsia="zh-CN" w:bidi="ar-SA"/>
              </w:rPr>
            </w:pPr>
          </w:p>
        </w:tc>
        <w:tc>
          <w:tcPr>
            <w:tcW w:w="1811" w:type="dxa"/>
            <w:vAlign w:val="center"/>
          </w:tcPr>
          <w:p>
            <w:pPr>
              <w:pStyle w:val="21"/>
              <w:spacing w:after="0"/>
              <w:jc w:val="center"/>
              <w:rPr>
                <w:rFonts w:hint="eastAsia" w:ascii="Times New Roman" w:hAnsi="Times New Roman" w:eastAsia="宋体" w:cs="Times New Roman"/>
                <w:kern w:val="2"/>
                <w:sz w:val="18"/>
                <w:szCs w:val="18"/>
                <w:highlight w:val="none"/>
                <w:lang w:val="en-US" w:eastAsia="zh-CN" w:bidi="ar-SA"/>
              </w:rPr>
            </w:pPr>
          </w:p>
        </w:tc>
        <w:tc>
          <w:tcPr>
            <w:tcW w:w="1361" w:type="dxa"/>
            <w:vAlign w:val="center"/>
          </w:tcPr>
          <w:p>
            <w:pPr>
              <w:pStyle w:val="21"/>
              <w:spacing w:after="0"/>
              <w:jc w:val="center"/>
              <w:rPr>
                <w:rFonts w:ascii="Times New Roman" w:hAnsi="Times New Roman" w:eastAsia="宋体" w:cs="Times New Roman"/>
                <w:kern w:val="2"/>
                <w:sz w:val="18"/>
                <w:szCs w:val="18"/>
                <w:highlight w:val="none"/>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571" w:type="dxa"/>
            <w:gridSpan w:val="6"/>
            <w:vAlign w:val="center"/>
          </w:tcPr>
          <w:p>
            <w:pPr>
              <w:pStyle w:val="21"/>
              <w:spacing w:after="0"/>
              <w:ind w:firstLine="360" w:firstLineChars="200"/>
              <w:jc w:val="left"/>
              <w:rPr>
                <w:sz w:val="18"/>
                <w:szCs w:val="18"/>
                <w:highlight w:val="none"/>
              </w:rPr>
            </w:pPr>
            <w:r>
              <w:rPr>
                <w:rFonts w:hint="eastAsia" w:ascii="黑体" w:hAnsi="黑体" w:eastAsia="黑体"/>
                <w:sz w:val="18"/>
                <w:szCs w:val="18"/>
                <w:highlight w:val="none"/>
              </w:rPr>
              <w:t>注：</w:t>
            </w:r>
            <w:r>
              <w:rPr>
                <w:rFonts w:hint="eastAsia"/>
                <w:sz w:val="18"/>
                <w:szCs w:val="18"/>
                <w:highlight w:val="none"/>
              </w:rPr>
              <w:t>数据来源</w:t>
            </w:r>
            <w:bookmarkStart w:id="172" w:name="_GoBack"/>
            <w:bookmarkEnd w:id="172"/>
            <w:r>
              <w:rPr>
                <w:rFonts w:hint="eastAsia"/>
                <w:sz w:val="18"/>
                <w:szCs w:val="18"/>
                <w:highlight w:val="none"/>
              </w:rPr>
              <w:t>于中国产品全生命周期温室气体排放系数数据库。</w:t>
            </w:r>
          </w:p>
        </w:tc>
      </w:tr>
    </w:tbl>
    <w:p>
      <w:pPr>
        <w:pStyle w:val="128"/>
        <w:widowControl w:val="0"/>
        <w:tabs>
          <w:tab w:val="left" w:pos="180"/>
          <w:tab w:val="left" w:pos="4201"/>
        </w:tabs>
        <w:spacing w:before="156" w:beforeLines="50" w:after="156" w:afterLines="50"/>
        <w:ind w:left="567" w:hanging="567"/>
        <w:textAlignment w:val="auto"/>
        <w:rPr>
          <w:szCs w:val="21"/>
        </w:rPr>
      </w:pPr>
      <w:r>
        <w:rPr>
          <w:rFonts w:hint="eastAsia" w:ascii="Times New Roman"/>
          <w:kern w:val="2"/>
          <w:szCs w:val="21"/>
        </w:rPr>
        <w:t>表C.2</w:t>
      </w:r>
      <w:r>
        <w:rPr>
          <w:rFonts w:ascii="Times New Roman"/>
          <w:kern w:val="2"/>
          <w:szCs w:val="21"/>
        </w:rPr>
        <w:t xml:space="preserve"> </w:t>
      </w:r>
      <w:r>
        <w:rPr>
          <w:rFonts w:hint="eastAsia" w:ascii="Times New Roman"/>
          <w:kern w:val="2"/>
          <w:szCs w:val="21"/>
        </w:rPr>
        <w:t>运输过程的</w:t>
      </w:r>
      <w:r>
        <w:rPr>
          <w:rFonts w:ascii="Times New Roman"/>
          <w:spacing w:val="-8"/>
        </w:rPr>
        <w:t>生命周期</w:t>
      </w:r>
      <w:r>
        <w:rPr>
          <w:rFonts w:ascii="Times New Roman"/>
          <w:szCs w:val="22"/>
        </w:rPr>
        <w:t>温室气体排放因子</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7"/>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运输方式类别</w:t>
            </w:r>
          </w:p>
        </w:tc>
        <w:tc>
          <w:tcPr>
            <w:tcW w:w="2165" w:type="pct"/>
            <w:vAlign w:val="center"/>
          </w:tcPr>
          <w:p>
            <w:pPr>
              <w:jc w:val="center"/>
              <w:rPr>
                <w:sz w:val="18"/>
                <w:szCs w:val="18"/>
              </w:rPr>
            </w:pPr>
            <w:r>
              <w:rPr>
                <w:sz w:val="18"/>
                <w:szCs w:val="18"/>
              </w:rPr>
              <w:t>生命周期温室气体</w:t>
            </w:r>
            <w:r>
              <w:rPr>
                <w:rFonts w:hint="eastAsia"/>
                <w:sz w:val="18"/>
                <w:szCs w:val="18"/>
              </w:rPr>
              <w:t>排放因子</w:t>
            </w:r>
            <w:r>
              <w:rPr>
                <w:sz w:val="18"/>
                <w:szCs w:val="18"/>
              </w:rPr>
              <w:t>[kgCO</w:t>
            </w:r>
            <w:r>
              <w:rPr>
                <w:sz w:val="18"/>
                <w:szCs w:val="18"/>
                <w:vertAlign w:val="subscript"/>
              </w:rPr>
              <w:t>2</w:t>
            </w:r>
            <w:r>
              <w:rPr>
                <w:sz w:val="18"/>
                <w:szCs w:val="18"/>
              </w:rPr>
              <w:t>e/(t·km)]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轻型汽油货车运输（载重</w:t>
            </w:r>
            <w:r>
              <w:rPr>
                <w:sz w:val="18"/>
                <w:szCs w:val="18"/>
              </w:rPr>
              <w:t>2t</w:t>
            </w:r>
            <w:r>
              <w:rPr>
                <w:rFonts w:hint="eastAsia"/>
                <w:sz w:val="18"/>
                <w:szCs w:val="18"/>
              </w:rPr>
              <w:t>）</w:t>
            </w:r>
          </w:p>
        </w:tc>
        <w:tc>
          <w:tcPr>
            <w:tcW w:w="2165" w:type="pct"/>
            <w:vAlign w:val="center"/>
          </w:tcPr>
          <w:p>
            <w:pPr>
              <w:jc w:val="center"/>
              <w:rPr>
                <w:sz w:val="18"/>
                <w:szCs w:val="18"/>
              </w:rPr>
            </w:pPr>
            <w:r>
              <w:rPr>
                <w:sz w:val="18"/>
                <w:szCs w:val="18"/>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中型汽油货车运输（载重</w:t>
            </w:r>
            <w:r>
              <w:rPr>
                <w:sz w:val="18"/>
                <w:szCs w:val="18"/>
              </w:rPr>
              <w:t>8t</w:t>
            </w:r>
            <w:r>
              <w:rPr>
                <w:rFonts w:hint="eastAsia"/>
                <w:sz w:val="18"/>
                <w:szCs w:val="18"/>
              </w:rPr>
              <w:t>）</w:t>
            </w:r>
          </w:p>
        </w:tc>
        <w:tc>
          <w:tcPr>
            <w:tcW w:w="2165" w:type="pct"/>
            <w:vAlign w:val="center"/>
          </w:tcPr>
          <w:p>
            <w:pPr>
              <w:jc w:val="center"/>
              <w:rPr>
                <w:sz w:val="18"/>
                <w:szCs w:val="18"/>
              </w:rPr>
            </w:pPr>
            <w:r>
              <w:rPr>
                <w:sz w:val="18"/>
                <w:szCs w:val="18"/>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重型汽油货车运输（载重</w:t>
            </w:r>
            <w:r>
              <w:rPr>
                <w:sz w:val="18"/>
                <w:szCs w:val="18"/>
              </w:rPr>
              <w:t>l0t</w:t>
            </w:r>
            <w:r>
              <w:rPr>
                <w:rFonts w:hint="eastAsia"/>
                <w:sz w:val="18"/>
                <w:szCs w:val="18"/>
              </w:rPr>
              <w:t>）</w:t>
            </w:r>
          </w:p>
        </w:tc>
        <w:tc>
          <w:tcPr>
            <w:tcW w:w="2165" w:type="pct"/>
            <w:vAlign w:val="center"/>
          </w:tcPr>
          <w:p>
            <w:pPr>
              <w:jc w:val="center"/>
              <w:rPr>
                <w:sz w:val="18"/>
                <w:szCs w:val="18"/>
              </w:rPr>
            </w:pPr>
            <w:r>
              <w:rPr>
                <w:sz w:val="18"/>
                <w:szCs w:val="18"/>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重型汽油货车运输（载重</w:t>
            </w:r>
            <w:r>
              <w:rPr>
                <w:sz w:val="18"/>
                <w:szCs w:val="18"/>
              </w:rPr>
              <w:t>18t</w:t>
            </w:r>
            <w:r>
              <w:rPr>
                <w:rFonts w:hint="eastAsia"/>
                <w:sz w:val="18"/>
                <w:szCs w:val="18"/>
              </w:rPr>
              <w:t>）</w:t>
            </w:r>
          </w:p>
        </w:tc>
        <w:tc>
          <w:tcPr>
            <w:tcW w:w="2165" w:type="pct"/>
            <w:vAlign w:val="center"/>
          </w:tcPr>
          <w:p>
            <w:pPr>
              <w:jc w:val="center"/>
              <w:rPr>
                <w:sz w:val="18"/>
                <w:szCs w:val="18"/>
              </w:rPr>
            </w:pPr>
            <w:r>
              <w:rPr>
                <w:sz w:val="18"/>
                <w:szCs w:val="18"/>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轻型柴油货车运输（载重</w:t>
            </w:r>
            <w:r>
              <w:rPr>
                <w:sz w:val="18"/>
                <w:szCs w:val="18"/>
              </w:rPr>
              <w:t>2t</w:t>
            </w:r>
            <w:r>
              <w:rPr>
                <w:rFonts w:hint="eastAsia"/>
                <w:sz w:val="18"/>
                <w:szCs w:val="18"/>
              </w:rPr>
              <w:t>）</w:t>
            </w:r>
          </w:p>
        </w:tc>
        <w:tc>
          <w:tcPr>
            <w:tcW w:w="2165" w:type="pct"/>
            <w:vAlign w:val="center"/>
          </w:tcPr>
          <w:p>
            <w:pPr>
              <w:jc w:val="center"/>
              <w:rPr>
                <w:sz w:val="18"/>
                <w:szCs w:val="18"/>
              </w:rPr>
            </w:pPr>
            <w:r>
              <w:rPr>
                <w:sz w:val="18"/>
                <w:szCs w:val="18"/>
              </w:rPr>
              <w:t>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中型柴油货车运输（载重</w:t>
            </w:r>
            <w:r>
              <w:rPr>
                <w:sz w:val="18"/>
                <w:szCs w:val="18"/>
              </w:rPr>
              <w:t>8t</w:t>
            </w:r>
            <w:r>
              <w:rPr>
                <w:rFonts w:hint="eastAsia"/>
                <w:sz w:val="18"/>
                <w:szCs w:val="18"/>
              </w:rPr>
              <w:t>）</w:t>
            </w:r>
          </w:p>
        </w:tc>
        <w:tc>
          <w:tcPr>
            <w:tcW w:w="2165" w:type="pct"/>
            <w:vAlign w:val="center"/>
          </w:tcPr>
          <w:p>
            <w:pPr>
              <w:jc w:val="center"/>
              <w:rPr>
                <w:sz w:val="18"/>
                <w:szCs w:val="18"/>
              </w:rPr>
            </w:pPr>
            <w:r>
              <w:rPr>
                <w:sz w:val="18"/>
                <w:szCs w:val="18"/>
              </w:rPr>
              <w:t>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重型柴油货车运输（载重</w:t>
            </w:r>
            <w:r>
              <w:rPr>
                <w:sz w:val="18"/>
                <w:szCs w:val="18"/>
              </w:rPr>
              <w:t>10t</w:t>
            </w:r>
            <w:r>
              <w:rPr>
                <w:rFonts w:hint="eastAsia"/>
                <w:sz w:val="18"/>
                <w:szCs w:val="18"/>
              </w:rPr>
              <w:t>）</w:t>
            </w:r>
          </w:p>
        </w:tc>
        <w:tc>
          <w:tcPr>
            <w:tcW w:w="2165" w:type="pct"/>
            <w:vAlign w:val="center"/>
          </w:tcPr>
          <w:p>
            <w:pPr>
              <w:jc w:val="center"/>
              <w:rPr>
                <w:sz w:val="18"/>
                <w:szCs w:val="18"/>
              </w:rPr>
            </w:pPr>
            <w:r>
              <w:rPr>
                <w:sz w:val="18"/>
                <w:szCs w:val="18"/>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重型柴油货车运输（载重</w:t>
            </w:r>
            <w:r>
              <w:rPr>
                <w:sz w:val="18"/>
                <w:szCs w:val="18"/>
              </w:rPr>
              <w:t>18t</w:t>
            </w:r>
            <w:r>
              <w:rPr>
                <w:rFonts w:hint="eastAsia"/>
                <w:sz w:val="18"/>
                <w:szCs w:val="18"/>
              </w:rPr>
              <w:t>）</w:t>
            </w:r>
          </w:p>
        </w:tc>
        <w:tc>
          <w:tcPr>
            <w:tcW w:w="2165" w:type="pct"/>
            <w:vAlign w:val="center"/>
          </w:tcPr>
          <w:p>
            <w:pPr>
              <w:jc w:val="center"/>
              <w:rPr>
                <w:sz w:val="18"/>
                <w:szCs w:val="18"/>
              </w:rPr>
            </w:pPr>
            <w:r>
              <w:rPr>
                <w:sz w:val="18"/>
                <w:szCs w:val="18"/>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重型柴油货车运输（载重</w:t>
            </w:r>
            <w:r>
              <w:rPr>
                <w:sz w:val="18"/>
                <w:szCs w:val="18"/>
              </w:rPr>
              <w:t>30t</w:t>
            </w:r>
            <w:r>
              <w:rPr>
                <w:rFonts w:hint="eastAsia"/>
                <w:sz w:val="18"/>
                <w:szCs w:val="18"/>
              </w:rPr>
              <w:t>）</w:t>
            </w:r>
          </w:p>
        </w:tc>
        <w:tc>
          <w:tcPr>
            <w:tcW w:w="2165" w:type="pct"/>
            <w:vAlign w:val="center"/>
          </w:tcPr>
          <w:p>
            <w:pPr>
              <w:jc w:val="center"/>
              <w:rPr>
                <w:sz w:val="18"/>
                <w:szCs w:val="18"/>
              </w:rPr>
            </w:pPr>
            <w:r>
              <w:rPr>
                <w:sz w:val="18"/>
                <w:szCs w:val="18"/>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重型柴油货车运输（载重</w:t>
            </w:r>
            <w:r>
              <w:rPr>
                <w:sz w:val="18"/>
                <w:szCs w:val="18"/>
              </w:rPr>
              <w:t>46t</w:t>
            </w:r>
            <w:r>
              <w:rPr>
                <w:rFonts w:hint="eastAsia"/>
                <w:sz w:val="18"/>
                <w:szCs w:val="18"/>
              </w:rPr>
              <w:t>）</w:t>
            </w:r>
          </w:p>
        </w:tc>
        <w:tc>
          <w:tcPr>
            <w:tcW w:w="2165" w:type="pct"/>
            <w:vAlign w:val="center"/>
          </w:tcPr>
          <w:p>
            <w:pPr>
              <w:jc w:val="center"/>
              <w:rPr>
                <w:sz w:val="18"/>
                <w:szCs w:val="18"/>
              </w:rPr>
            </w:pPr>
            <w:r>
              <w:rPr>
                <w:sz w:val="18"/>
                <w:szCs w:val="18"/>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电力机车运输</w:t>
            </w:r>
          </w:p>
        </w:tc>
        <w:tc>
          <w:tcPr>
            <w:tcW w:w="2165" w:type="pct"/>
            <w:vAlign w:val="center"/>
          </w:tcPr>
          <w:p>
            <w:pPr>
              <w:jc w:val="center"/>
              <w:rPr>
                <w:sz w:val="18"/>
                <w:szCs w:val="18"/>
              </w:rPr>
            </w:pPr>
            <w:r>
              <w:rPr>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内燃机车运输</w:t>
            </w:r>
          </w:p>
        </w:tc>
        <w:tc>
          <w:tcPr>
            <w:tcW w:w="2165" w:type="pct"/>
            <w:vAlign w:val="center"/>
          </w:tcPr>
          <w:p>
            <w:pPr>
              <w:jc w:val="center"/>
              <w:rPr>
                <w:sz w:val="18"/>
                <w:szCs w:val="18"/>
              </w:rPr>
            </w:pPr>
            <w:r>
              <w:rPr>
                <w:sz w:val="18"/>
                <w:szCs w:val="18"/>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铁路运输（中国市场平均）</w:t>
            </w:r>
          </w:p>
        </w:tc>
        <w:tc>
          <w:tcPr>
            <w:tcW w:w="2165" w:type="pct"/>
            <w:vAlign w:val="center"/>
          </w:tcPr>
          <w:p>
            <w:pPr>
              <w:jc w:val="center"/>
              <w:rPr>
                <w:sz w:val="18"/>
                <w:szCs w:val="18"/>
              </w:rPr>
            </w:pPr>
            <w:r>
              <w:rPr>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液货船运输（载重</w:t>
            </w:r>
            <w:r>
              <w:rPr>
                <w:sz w:val="18"/>
                <w:szCs w:val="18"/>
              </w:rPr>
              <w:t>2000t</w:t>
            </w:r>
            <w:r>
              <w:rPr>
                <w:rFonts w:hint="eastAsia"/>
                <w:sz w:val="18"/>
                <w:szCs w:val="18"/>
              </w:rPr>
              <w:t>）</w:t>
            </w:r>
          </w:p>
        </w:tc>
        <w:tc>
          <w:tcPr>
            <w:tcW w:w="2165" w:type="pct"/>
            <w:vAlign w:val="center"/>
          </w:tcPr>
          <w:p>
            <w:pPr>
              <w:jc w:val="center"/>
              <w:rPr>
                <w:sz w:val="18"/>
                <w:szCs w:val="18"/>
              </w:rPr>
            </w:pPr>
            <w:r>
              <w:rPr>
                <w:sz w:val="18"/>
                <w:szCs w:val="18"/>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干散货船运输（载重</w:t>
            </w:r>
            <w:r>
              <w:rPr>
                <w:sz w:val="18"/>
                <w:szCs w:val="18"/>
              </w:rPr>
              <w:t>2500t</w:t>
            </w:r>
            <w:r>
              <w:rPr>
                <w:rFonts w:hint="eastAsia"/>
                <w:sz w:val="18"/>
                <w:szCs w:val="18"/>
              </w:rPr>
              <w:t>）</w:t>
            </w:r>
          </w:p>
        </w:tc>
        <w:tc>
          <w:tcPr>
            <w:tcW w:w="2165" w:type="pct"/>
            <w:vAlign w:val="center"/>
          </w:tcPr>
          <w:p>
            <w:pPr>
              <w:jc w:val="center"/>
              <w:rPr>
                <w:sz w:val="18"/>
                <w:szCs w:val="18"/>
              </w:rPr>
            </w:pPr>
            <w:r>
              <w:rPr>
                <w:sz w:val="18"/>
                <w:szCs w:val="18"/>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pPr>
              <w:jc w:val="center"/>
              <w:rPr>
                <w:sz w:val="18"/>
                <w:szCs w:val="18"/>
              </w:rPr>
            </w:pPr>
            <w:r>
              <w:rPr>
                <w:rFonts w:hint="eastAsia"/>
                <w:sz w:val="18"/>
                <w:szCs w:val="18"/>
              </w:rPr>
              <w:t>集装箱船运输（载重</w:t>
            </w:r>
            <w:r>
              <w:rPr>
                <w:sz w:val="18"/>
                <w:szCs w:val="18"/>
              </w:rPr>
              <w:t>200T EU</w:t>
            </w:r>
            <w:r>
              <w:rPr>
                <w:rFonts w:hint="eastAsia"/>
                <w:sz w:val="18"/>
                <w:szCs w:val="18"/>
              </w:rPr>
              <w:t>）</w:t>
            </w:r>
          </w:p>
        </w:tc>
        <w:tc>
          <w:tcPr>
            <w:tcW w:w="2165" w:type="pct"/>
            <w:vAlign w:val="center"/>
          </w:tcPr>
          <w:p>
            <w:pPr>
              <w:jc w:val="center"/>
              <w:rPr>
                <w:sz w:val="18"/>
                <w:szCs w:val="18"/>
              </w:rPr>
            </w:pPr>
            <w:r>
              <w:rPr>
                <w:sz w:val="18"/>
                <w:szCs w:val="18"/>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00" w:type="pct"/>
            <w:gridSpan w:val="2"/>
            <w:vAlign w:val="center"/>
          </w:tcPr>
          <w:p>
            <w:pPr>
              <w:ind w:firstLine="360" w:firstLineChars="200"/>
              <w:jc w:val="left"/>
              <w:rPr>
                <w:sz w:val="18"/>
                <w:szCs w:val="18"/>
              </w:rPr>
            </w:pPr>
            <w:r>
              <w:rPr>
                <w:rFonts w:hint="eastAsia" w:ascii="黑体" w:hAnsi="黑体" w:eastAsia="黑体"/>
                <w:sz w:val="18"/>
                <w:szCs w:val="18"/>
              </w:rPr>
              <w:t>注：</w:t>
            </w:r>
            <w:r>
              <w:rPr>
                <w:rFonts w:hint="eastAsia"/>
                <w:sz w:val="18"/>
                <w:szCs w:val="18"/>
              </w:rPr>
              <w:t>数据来源于GB/T 51366-2019《建筑碳排放计算标准》。</w:t>
            </w:r>
          </w:p>
        </w:tc>
      </w:tr>
    </w:tbl>
    <w:p>
      <w:pPr>
        <w:pStyle w:val="128"/>
        <w:widowControl w:val="0"/>
        <w:tabs>
          <w:tab w:val="left" w:pos="180"/>
          <w:tab w:val="left" w:pos="4201"/>
        </w:tabs>
        <w:spacing w:before="156" w:beforeLines="50" w:after="156" w:afterLines="50"/>
        <w:ind w:left="567" w:hanging="567"/>
        <w:textAlignment w:val="auto"/>
        <w:rPr>
          <w:szCs w:val="21"/>
        </w:rPr>
      </w:pPr>
      <w:r>
        <w:rPr>
          <w:rFonts w:hint="eastAsia" w:ascii="Times New Roman"/>
          <w:kern w:val="2"/>
          <w:szCs w:val="21"/>
        </w:rPr>
        <w:t>表C</w:t>
      </w:r>
      <w:r>
        <w:rPr>
          <w:rFonts w:ascii="Times New Roman"/>
          <w:kern w:val="2"/>
          <w:szCs w:val="21"/>
        </w:rPr>
        <w:t>.</w:t>
      </w:r>
      <w:r>
        <w:rPr>
          <w:rFonts w:hint="eastAsia" w:ascii="Times New Roman"/>
          <w:kern w:val="2"/>
          <w:szCs w:val="21"/>
        </w:rPr>
        <w:t>3</w:t>
      </w:r>
      <w:r>
        <w:rPr>
          <w:rFonts w:ascii="Times New Roman"/>
          <w:kern w:val="2"/>
          <w:szCs w:val="21"/>
        </w:rPr>
        <w:t xml:space="preserve"> </w:t>
      </w:r>
      <w:r>
        <w:rPr>
          <w:rFonts w:hint="eastAsia" w:ascii="Times New Roman"/>
          <w:kern w:val="2"/>
          <w:szCs w:val="21"/>
        </w:rPr>
        <w:t>常见化石燃料</w:t>
      </w:r>
      <w:r>
        <w:rPr>
          <w:rFonts w:ascii="Times New Roman"/>
          <w:kern w:val="2"/>
          <w:szCs w:val="21"/>
        </w:rPr>
        <w:t>燃烧</w:t>
      </w:r>
      <w:r>
        <w:rPr>
          <w:rFonts w:hint="eastAsia" w:ascii="Times New Roman"/>
          <w:kern w:val="2"/>
          <w:szCs w:val="21"/>
        </w:rPr>
        <w:t>的</w:t>
      </w:r>
      <w:r>
        <w:rPr>
          <w:rFonts w:ascii="Times New Roman"/>
          <w:szCs w:val="22"/>
        </w:rPr>
        <w:t>温室气体排放因子</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4104"/>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pPr>
              <w:pStyle w:val="21"/>
              <w:spacing w:after="0"/>
              <w:jc w:val="center"/>
              <w:rPr>
                <w:sz w:val="18"/>
                <w:szCs w:val="18"/>
              </w:rPr>
            </w:pPr>
            <w:r>
              <w:rPr>
                <w:rFonts w:hint="eastAsia"/>
                <w:sz w:val="18"/>
                <w:szCs w:val="18"/>
              </w:rPr>
              <w:t>燃料种类</w:t>
            </w:r>
          </w:p>
        </w:tc>
        <w:tc>
          <w:tcPr>
            <w:tcW w:w="2144" w:type="pct"/>
            <w:vAlign w:val="center"/>
          </w:tcPr>
          <w:p>
            <w:pPr>
              <w:pStyle w:val="21"/>
              <w:spacing w:after="0"/>
              <w:jc w:val="center"/>
              <w:rPr>
                <w:sz w:val="18"/>
                <w:szCs w:val="18"/>
                <w:lang w:val="de-DE"/>
              </w:rPr>
            </w:pPr>
            <w:r>
              <w:rPr>
                <w:rFonts w:hint="eastAsia"/>
                <w:sz w:val="18"/>
                <w:szCs w:val="18"/>
              </w:rPr>
              <w:t>上游生产生命周期温室气体排放因子</w:t>
            </w:r>
          </w:p>
        </w:tc>
        <w:tc>
          <w:tcPr>
            <w:tcW w:w="1668" w:type="pct"/>
            <w:vAlign w:val="center"/>
          </w:tcPr>
          <w:p>
            <w:pPr>
              <w:pStyle w:val="21"/>
              <w:spacing w:after="0"/>
              <w:jc w:val="center"/>
              <w:rPr>
                <w:sz w:val="18"/>
                <w:szCs w:val="18"/>
              </w:rPr>
            </w:pPr>
            <w:r>
              <w:rPr>
                <w:rFonts w:hint="eastAsia"/>
                <w:sz w:val="18"/>
                <w:szCs w:val="18"/>
              </w:rPr>
              <w:t>排放因子单位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pPr>
              <w:pStyle w:val="21"/>
              <w:spacing w:after="0"/>
              <w:jc w:val="center"/>
              <w:rPr>
                <w:sz w:val="18"/>
                <w:szCs w:val="18"/>
              </w:rPr>
            </w:pPr>
            <w:r>
              <w:rPr>
                <w:rFonts w:hint="eastAsia"/>
                <w:sz w:val="18"/>
                <w:szCs w:val="18"/>
              </w:rPr>
              <w:t>天然气</w:t>
            </w:r>
          </w:p>
        </w:tc>
        <w:tc>
          <w:tcPr>
            <w:tcW w:w="2144" w:type="pct"/>
            <w:vAlign w:val="center"/>
          </w:tcPr>
          <w:p>
            <w:pPr>
              <w:pStyle w:val="21"/>
              <w:spacing w:after="0"/>
              <w:jc w:val="center"/>
              <w:rPr>
                <w:sz w:val="18"/>
                <w:szCs w:val="18"/>
              </w:rPr>
            </w:pPr>
            <w:r>
              <w:rPr>
                <w:sz w:val="18"/>
                <w:szCs w:val="18"/>
              </w:rPr>
              <w:t>0.64</w:t>
            </w:r>
          </w:p>
        </w:tc>
        <w:tc>
          <w:tcPr>
            <w:tcW w:w="1668" w:type="pct"/>
            <w:vAlign w:val="center"/>
          </w:tcPr>
          <w:p>
            <w:pPr>
              <w:pStyle w:val="21"/>
              <w:spacing w:after="0"/>
              <w:jc w:val="center"/>
              <w:rPr>
                <w:sz w:val="18"/>
                <w:szCs w:val="18"/>
                <w:lang w:val="de-DE"/>
              </w:rPr>
            </w:pPr>
            <w:r>
              <w:rPr>
                <w:sz w:val="18"/>
                <w:szCs w:val="18"/>
                <w:lang w:val="de-DE"/>
              </w:rPr>
              <w:t>kgCO</w:t>
            </w:r>
            <w:r>
              <w:rPr>
                <w:sz w:val="18"/>
                <w:szCs w:val="18"/>
                <w:vertAlign w:val="subscript"/>
                <w:lang w:val="de-DE"/>
              </w:rPr>
              <w:t>2</w:t>
            </w:r>
            <w:r>
              <w:rPr>
                <w:sz w:val="18"/>
                <w:szCs w:val="18"/>
                <w:lang w:val="de-DE"/>
              </w:rPr>
              <w:t>e/m</w:t>
            </w:r>
            <w:r>
              <w:rPr>
                <w:sz w:val="18"/>
                <w:szCs w:val="18"/>
                <w:vertAlign w:val="superscript"/>
                <w:lang w:val="de-D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pPr>
              <w:pStyle w:val="21"/>
              <w:spacing w:after="0"/>
              <w:jc w:val="center"/>
              <w:rPr>
                <w:sz w:val="18"/>
                <w:szCs w:val="18"/>
              </w:rPr>
            </w:pPr>
            <w:r>
              <w:rPr>
                <w:rFonts w:hint="eastAsia"/>
                <w:sz w:val="18"/>
                <w:szCs w:val="18"/>
              </w:rPr>
              <w:t>汽油</w:t>
            </w:r>
          </w:p>
        </w:tc>
        <w:tc>
          <w:tcPr>
            <w:tcW w:w="2144" w:type="pct"/>
            <w:vAlign w:val="center"/>
          </w:tcPr>
          <w:p>
            <w:pPr>
              <w:pStyle w:val="21"/>
              <w:spacing w:after="0"/>
              <w:jc w:val="center"/>
              <w:rPr>
                <w:sz w:val="18"/>
                <w:szCs w:val="18"/>
              </w:rPr>
            </w:pPr>
            <w:r>
              <w:rPr>
                <w:sz w:val="18"/>
                <w:szCs w:val="18"/>
              </w:rPr>
              <w:t>0.81</w:t>
            </w:r>
          </w:p>
        </w:tc>
        <w:tc>
          <w:tcPr>
            <w:tcW w:w="1668" w:type="pct"/>
            <w:vAlign w:val="center"/>
          </w:tcPr>
          <w:p>
            <w:pPr>
              <w:pStyle w:val="21"/>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pPr>
              <w:pStyle w:val="21"/>
              <w:spacing w:after="0"/>
              <w:jc w:val="center"/>
              <w:rPr>
                <w:sz w:val="18"/>
                <w:szCs w:val="18"/>
              </w:rPr>
            </w:pPr>
            <w:r>
              <w:rPr>
                <w:rFonts w:hint="eastAsia"/>
                <w:sz w:val="18"/>
                <w:szCs w:val="18"/>
              </w:rPr>
              <w:t>柴油</w:t>
            </w:r>
          </w:p>
        </w:tc>
        <w:tc>
          <w:tcPr>
            <w:tcW w:w="2144" w:type="pct"/>
            <w:vAlign w:val="center"/>
          </w:tcPr>
          <w:p>
            <w:pPr>
              <w:pStyle w:val="21"/>
              <w:spacing w:after="0"/>
              <w:jc w:val="center"/>
              <w:rPr>
                <w:sz w:val="18"/>
                <w:szCs w:val="18"/>
              </w:rPr>
            </w:pPr>
            <w:r>
              <w:rPr>
                <w:sz w:val="18"/>
                <w:szCs w:val="18"/>
              </w:rPr>
              <w:t>0.67</w:t>
            </w:r>
          </w:p>
        </w:tc>
        <w:tc>
          <w:tcPr>
            <w:tcW w:w="1668" w:type="pct"/>
            <w:vAlign w:val="center"/>
          </w:tcPr>
          <w:p>
            <w:pPr>
              <w:pStyle w:val="21"/>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21"/>
              <w:spacing w:after="0"/>
              <w:ind w:firstLine="360" w:firstLineChars="200"/>
              <w:rPr>
                <w:sz w:val="18"/>
                <w:szCs w:val="18"/>
                <w:lang w:val="de-DE"/>
              </w:rPr>
            </w:pPr>
            <w:r>
              <w:rPr>
                <w:rFonts w:hint="eastAsia" w:ascii="黑体" w:hAnsi="黑体" w:eastAsia="黑体"/>
                <w:sz w:val="18"/>
                <w:szCs w:val="18"/>
              </w:rPr>
              <w:t>注：</w:t>
            </w:r>
            <w:r>
              <w:rPr>
                <w:rFonts w:hint="eastAsia"/>
                <w:sz w:val="18"/>
                <w:szCs w:val="18"/>
              </w:rPr>
              <w:t>数据来源于中国产品全生命周期温室气体排放系数数据库。</w:t>
            </w:r>
          </w:p>
        </w:tc>
      </w:tr>
    </w:tbl>
    <w:p>
      <w:pPr>
        <w:pStyle w:val="128"/>
        <w:widowControl w:val="0"/>
        <w:tabs>
          <w:tab w:val="left" w:pos="180"/>
          <w:tab w:val="left" w:pos="4201"/>
        </w:tabs>
        <w:spacing w:before="156" w:beforeLines="50" w:after="156" w:afterLines="50"/>
        <w:ind w:left="567" w:hanging="567"/>
        <w:textAlignment w:val="auto"/>
        <w:rPr>
          <w:szCs w:val="21"/>
        </w:rPr>
      </w:pPr>
      <w:r>
        <w:rPr>
          <w:rFonts w:hint="eastAsia" w:ascii="Times New Roman"/>
          <w:kern w:val="2"/>
          <w:szCs w:val="21"/>
        </w:rPr>
        <w:t>表C.4各类废弃物</w:t>
      </w:r>
      <w:r>
        <w:rPr>
          <w:rFonts w:ascii="Times New Roman"/>
          <w:kern w:val="2"/>
          <w:szCs w:val="21"/>
        </w:rPr>
        <w:t>下游</w:t>
      </w:r>
      <w:r>
        <w:rPr>
          <w:rFonts w:hint="eastAsia" w:ascii="Times New Roman"/>
          <w:kern w:val="2"/>
          <w:szCs w:val="21"/>
        </w:rPr>
        <w:t>处置</w:t>
      </w:r>
      <w:r>
        <w:rPr>
          <w:rFonts w:ascii="Times New Roman"/>
          <w:kern w:val="2"/>
          <w:szCs w:val="21"/>
        </w:rPr>
        <w:t>过程</w:t>
      </w:r>
      <w:r>
        <w:rPr>
          <w:rFonts w:hint="eastAsia" w:ascii="Times New Roman"/>
          <w:kern w:val="2"/>
          <w:szCs w:val="21"/>
        </w:rPr>
        <w:t>的</w:t>
      </w:r>
      <w:r>
        <w:rPr>
          <w:rFonts w:ascii="Times New Roman"/>
          <w:szCs w:val="22"/>
        </w:rPr>
        <w:t>生命周期温室气体排放因子</w:t>
      </w:r>
    </w:p>
    <w:tbl>
      <w:tblPr>
        <w:tblStyle w:val="41"/>
        <w:tblW w:w="97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050"/>
        <w:gridCol w:w="1494"/>
        <w:gridCol w:w="1276"/>
        <w:gridCol w:w="21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05" w:type="dxa"/>
            <w:vAlign w:val="center"/>
          </w:tcPr>
          <w:p>
            <w:pPr>
              <w:pStyle w:val="21"/>
              <w:spacing w:after="0"/>
              <w:jc w:val="center"/>
              <w:rPr>
                <w:sz w:val="18"/>
                <w:szCs w:val="18"/>
              </w:rPr>
            </w:pPr>
            <w:r>
              <w:rPr>
                <w:rFonts w:hint="eastAsia"/>
                <w:sz w:val="18"/>
                <w:szCs w:val="18"/>
              </w:rPr>
              <w:t>废弃物类型</w:t>
            </w:r>
          </w:p>
        </w:tc>
        <w:tc>
          <w:tcPr>
            <w:tcW w:w="2050" w:type="dxa"/>
            <w:vAlign w:val="center"/>
          </w:tcPr>
          <w:p>
            <w:pPr>
              <w:pStyle w:val="21"/>
              <w:spacing w:after="0"/>
              <w:jc w:val="center"/>
              <w:rPr>
                <w:sz w:val="18"/>
                <w:szCs w:val="18"/>
              </w:rPr>
            </w:pPr>
            <w:r>
              <w:rPr>
                <w:sz w:val="18"/>
                <w:szCs w:val="18"/>
              </w:rPr>
              <w:t>下游处置过程</w:t>
            </w:r>
            <w:r>
              <w:rPr>
                <w:rFonts w:hint="eastAsia"/>
                <w:sz w:val="18"/>
                <w:szCs w:val="18"/>
              </w:rPr>
              <w:t>的</w:t>
            </w:r>
            <w:r>
              <w:rPr>
                <w:sz w:val="18"/>
                <w:szCs w:val="18"/>
              </w:rPr>
              <w:t>生命周期温室气体排放因子</w:t>
            </w:r>
          </w:p>
        </w:tc>
        <w:tc>
          <w:tcPr>
            <w:tcW w:w="1494" w:type="dxa"/>
            <w:vAlign w:val="center"/>
          </w:tcPr>
          <w:p>
            <w:pPr>
              <w:pStyle w:val="21"/>
              <w:spacing w:after="0"/>
              <w:jc w:val="center"/>
              <w:rPr>
                <w:sz w:val="18"/>
                <w:szCs w:val="18"/>
              </w:rPr>
            </w:pPr>
            <w:r>
              <w:rPr>
                <w:rFonts w:hint="eastAsia"/>
                <w:sz w:val="18"/>
                <w:szCs w:val="18"/>
              </w:rPr>
              <w:t>排放因子单位</w:t>
            </w:r>
          </w:p>
        </w:tc>
        <w:tc>
          <w:tcPr>
            <w:tcW w:w="1276" w:type="dxa"/>
            <w:vAlign w:val="center"/>
          </w:tcPr>
          <w:p>
            <w:pPr>
              <w:pStyle w:val="21"/>
              <w:spacing w:after="0"/>
              <w:jc w:val="center"/>
              <w:rPr>
                <w:sz w:val="18"/>
                <w:szCs w:val="18"/>
              </w:rPr>
            </w:pPr>
            <w:r>
              <w:rPr>
                <w:rFonts w:hint="eastAsia"/>
                <w:sz w:val="18"/>
                <w:szCs w:val="18"/>
              </w:rPr>
              <w:t>废弃物类型</w:t>
            </w:r>
          </w:p>
        </w:tc>
        <w:tc>
          <w:tcPr>
            <w:tcW w:w="2126" w:type="dxa"/>
            <w:vAlign w:val="center"/>
          </w:tcPr>
          <w:p>
            <w:pPr>
              <w:pStyle w:val="21"/>
              <w:spacing w:after="0"/>
              <w:jc w:val="center"/>
              <w:rPr>
                <w:sz w:val="18"/>
                <w:szCs w:val="18"/>
              </w:rPr>
            </w:pPr>
            <w:r>
              <w:rPr>
                <w:sz w:val="18"/>
                <w:szCs w:val="18"/>
              </w:rPr>
              <w:t>下游处置过程</w:t>
            </w:r>
            <w:r>
              <w:rPr>
                <w:rFonts w:hint="eastAsia"/>
                <w:sz w:val="18"/>
                <w:szCs w:val="18"/>
              </w:rPr>
              <w:t>的</w:t>
            </w:r>
            <w:r>
              <w:rPr>
                <w:sz w:val="18"/>
                <w:szCs w:val="18"/>
              </w:rPr>
              <w:t>生命周期温室气体排放因子</w:t>
            </w:r>
          </w:p>
        </w:tc>
        <w:tc>
          <w:tcPr>
            <w:tcW w:w="1526" w:type="dxa"/>
            <w:vAlign w:val="center"/>
          </w:tcPr>
          <w:p>
            <w:pPr>
              <w:pStyle w:val="21"/>
              <w:spacing w:after="0"/>
              <w:jc w:val="center"/>
              <w:rPr>
                <w:sz w:val="18"/>
                <w:szCs w:val="18"/>
              </w:rPr>
            </w:pPr>
            <w:r>
              <w:rPr>
                <w:rFonts w:hint="eastAsia"/>
                <w:sz w:val="18"/>
                <w:szCs w:val="18"/>
              </w:rPr>
              <w:t>排放因子单位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05" w:type="dxa"/>
            <w:vAlign w:val="center"/>
          </w:tcPr>
          <w:p>
            <w:pPr>
              <w:pStyle w:val="21"/>
              <w:spacing w:after="0"/>
              <w:jc w:val="center"/>
              <w:rPr>
                <w:sz w:val="18"/>
                <w:szCs w:val="18"/>
              </w:rPr>
            </w:pPr>
            <w:r>
              <w:rPr>
                <w:rFonts w:hint="eastAsia"/>
                <w:sz w:val="18"/>
                <w:szCs w:val="18"/>
              </w:rPr>
              <w:t>废水</w:t>
            </w:r>
          </w:p>
        </w:tc>
        <w:tc>
          <w:tcPr>
            <w:tcW w:w="2050" w:type="dxa"/>
            <w:vAlign w:val="center"/>
          </w:tcPr>
          <w:p>
            <w:pPr>
              <w:pStyle w:val="21"/>
              <w:spacing w:after="0"/>
              <w:jc w:val="center"/>
              <w:rPr>
                <w:sz w:val="18"/>
                <w:szCs w:val="18"/>
              </w:rPr>
            </w:pPr>
            <w:r>
              <w:rPr>
                <w:sz w:val="18"/>
                <w:szCs w:val="18"/>
              </w:rPr>
              <w:t>15.32</w:t>
            </w:r>
          </w:p>
        </w:tc>
        <w:tc>
          <w:tcPr>
            <w:tcW w:w="1494" w:type="dxa"/>
            <w:vAlign w:val="center"/>
          </w:tcPr>
          <w:p>
            <w:pPr>
              <w:pStyle w:val="21"/>
              <w:spacing w:after="0"/>
              <w:jc w:val="center"/>
              <w:rPr>
                <w:sz w:val="18"/>
                <w:szCs w:val="18"/>
              </w:rPr>
            </w:pPr>
            <w:r>
              <w:rPr>
                <w:sz w:val="18"/>
                <w:szCs w:val="18"/>
              </w:rPr>
              <w:t>kgCO</w:t>
            </w:r>
            <w:r>
              <w:rPr>
                <w:sz w:val="18"/>
                <w:szCs w:val="18"/>
                <w:vertAlign w:val="subscript"/>
              </w:rPr>
              <w:t>2</w:t>
            </w:r>
            <w:r>
              <w:rPr>
                <w:sz w:val="18"/>
                <w:szCs w:val="18"/>
              </w:rPr>
              <w:t>e/kg</w:t>
            </w:r>
          </w:p>
        </w:tc>
        <w:tc>
          <w:tcPr>
            <w:tcW w:w="1276" w:type="dxa"/>
            <w:vAlign w:val="center"/>
          </w:tcPr>
          <w:p>
            <w:pPr>
              <w:pStyle w:val="21"/>
              <w:spacing w:after="0"/>
              <w:jc w:val="center"/>
              <w:rPr>
                <w:sz w:val="18"/>
                <w:szCs w:val="18"/>
              </w:rPr>
            </w:pPr>
            <w:r>
              <w:rPr>
                <w:rFonts w:hint="eastAsia"/>
                <w:sz w:val="18"/>
                <w:szCs w:val="18"/>
              </w:rPr>
              <w:t>危废</w:t>
            </w:r>
          </w:p>
        </w:tc>
        <w:tc>
          <w:tcPr>
            <w:tcW w:w="2126" w:type="dxa"/>
            <w:vAlign w:val="center"/>
          </w:tcPr>
          <w:p>
            <w:pPr>
              <w:pStyle w:val="21"/>
              <w:spacing w:after="0"/>
              <w:jc w:val="center"/>
              <w:rPr>
                <w:sz w:val="18"/>
                <w:szCs w:val="18"/>
              </w:rPr>
            </w:pPr>
            <w:r>
              <w:rPr>
                <w:sz w:val="18"/>
                <w:szCs w:val="18"/>
              </w:rPr>
              <w:t>0.21</w:t>
            </w:r>
          </w:p>
        </w:tc>
        <w:tc>
          <w:tcPr>
            <w:tcW w:w="1526" w:type="dxa"/>
            <w:vAlign w:val="center"/>
          </w:tcPr>
          <w:p>
            <w:pPr>
              <w:pStyle w:val="21"/>
              <w:spacing w:after="0"/>
              <w:jc w:val="center"/>
              <w:rPr>
                <w:sz w:val="18"/>
                <w:szCs w:val="18"/>
              </w:rPr>
            </w:pPr>
            <w:r>
              <w:rPr>
                <w:sz w:val="18"/>
                <w:szCs w:val="18"/>
              </w:rPr>
              <w:t>kgCO</w:t>
            </w:r>
            <w:r>
              <w:rPr>
                <w:sz w:val="18"/>
                <w:szCs w:val="18"/>
                <w:vertAlign w:val="subscript"/>
              </w:rPr>
              <w:t>2</w:t>
            </w:r>
            <w:r>
              <w:rPr>
                <w:sz w:val="18"/>
                <w:szCs w:val="18"/>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05" w:type="dxa"/>
            <w:vAlign w:val="center"/>
          </w:tcPr>
          <w:p>
            <w:pPr>
              <w:pStyle w:val="21"/>
              <w:spacing w:after="0"/>
              <w:jc w:val="center"/>
              <w:rPr>
                <w:sz w:val="18"/>
                <w:szCs w:val="18"/>
              </w:rPr>
            </w:pPr>
            <w:r>
              <w:rPr>
                <w:rFonts w:hint="eastAsia"/>
                <w:sz w:val="18"/>
                <w:szCs w:val="18"/>
              </w:rPr>
              <w:t>固废</w:t>
            </w:r>
          </w:p>
        </w:tc>
        <w:tc>
          <w:tcPr>
            <w:tcW w:w="2050" w:type="dxa"/>
            <w:vAlign w:val="center"/>
          </w:tcPr>
          <w:p>
            <w:pPr>
              <w:pStyle w:val="21"/>
              <w:spacing w:after="0"/>
              <w:jc w:val="center"/>
              <w:rPr>
                <w:sz w:val="18"/>
                <w:szCs w:val="18"/>
              </w:rPr>
            </w:pPr>
            <w:r>
              <w:rPr>
                <w:sz w:val="18"/>
                <w:szCs w:val="18"/>
              </w:rPr>
              <w:t>0.05</w:t>
            </w:r>
          </w:p>
        </w:tc>
        <w:tc>
          <w:tcPr>
            <w:tcW w:w="1494" w:type="dxa"/>
            <w:vAlign w:val="center"/>
          </w:tcPr>
          <w:p>
            <w:pPr>
              <w:pStyle w:val="21"/>
              <w:spacing w:after="0"/>
              <w:jc w:val="center"/>
              <w:rPr>
                <w:sz w:val="18"/>
                <w:szCs w:val="18"/>
              </w:rPr>
            </w:pPr>
            <w:r>
              <w:rPr>
                <w:sz w:val="18"/>
                <w:szCs w:val="18"/>
              </w:rPr>
              <w:t>kgCO</w:t>
            </w:r>
            <w:r>
              <w:rPr>
                <w:sz w:val="18"/>
                <w:szCs w:val="18"/>
                <w:vertAlign w:val="subscript"/>
              </w:rPr>
              <w:t>2</w:t>
            </w:r>
            <w:r>
              <w:rPr>
                <w:sz w:val="18"/>
                <w:szCs w:val="18"/>
              </w:rPr>
              <w:t>e/kg</w:t>
            </w:r>
          </w:p>
        </w:tc>
        <w:tc>
          <w:tcPr>
            <w:tcW w:w="1276" w:type="dxa"/>
            <w:vAlign w:val="center"/>
          </w:tcPr>
          <w:p>
            <w:pPr>
              <w:pStyle w:val="21"/>
              <w:spacing w:after="0"/>
              <w:jc w:val="center"/>
              <w:rPr>
                <w:sz w:val="18"/>
                <w:szCs w:val="18"/>
              </w:rPr>
            </w:pPr>
            <w:r>
              <w:rPr>
                <w:rFonts w:hint="eastAsia"/>
                <w:sz w:val="18"/>
                <w:szCs w:val="18"/>
              </w:rPr>
              <w:t>污泥</w:t>
            </w:r>
          </w:p>
        </w:tc>
        <w:tc>
          <w:tcPr>
            <w:tcW w:w="2126" w:type="dxa"/>
            <w:vAlign w:val="center"/>
          </w:tcPr>
          <w:p>
            <w:pPr>
              <w:pStyle w:val="21"/>
              <w:spacing w:after="0"/>
              <w:jc w:val="center"/>
              <w:rPr>
                <w:sz w:val="18"/>
                <w:szCs w:val="18"/>
              </w:rPr>
            </w:pPr>
            <w:r>
              <w:rPr>
                <w:sz w:val="18"/>
                <w:szCs w:val="18"/>
              </w:rPr>
              <w:t>0.13</w:t>
            </w:r>
          </w:p>
        </w:tc>
        <w:tc>
          <w:tcPr>
            <w:tcW w:w="1526" w:type="dxa"/>
            <w:vAlign w:val="center"/>
          </w:tcPr>
          <w:p>
            <w:pPr>
              <w:pStyle w:val="21"/>
              <w:spacing w:after="0"/>
              <w:jc w:val="center"/>
              <w:rPr>
                <w:sz w:val="18"/>
                <w:szCs w:val="18"/>
              </w:rPr>
            </w:pPr>
            <w:r>
              <w:rPr>
                <w:sz w:val="18"/>
                <w:szCs w:val="18"/>
              </w:rPr>
              <w:t>kgCO</w:t>
            </w:r>
            <w:r>
              <w:rPr>
                <w:sz w:val="18"/>
                <w:szCs w:val="18"/>
                <w:vertAlign w:val="subscript"/>
              </w:rPr>
              <w:t>2</w:t>
            </w:r>
            <w:r>
              <w:rPr>
                <w:sz w:val="18"/>
                <w:szCs w:val="18"/>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77" w:type="dxa"/>
            <w:gridSpan w:val="6"/>
            <w:vAlign w:val="center"/>
          </w:tcPr>
          <w:p>
            <w:pPr>
              <w:pStyle w:val="21"/>
              <w:spacing w:after="0"/>
              <w:ind w:firstLine="360" w:firstLineChars="200"/>
              <w:jc w:val="left"/>
              <w:rPr>
                <w:sz w:val="18"/>
                <w:szCs w:val="18"/>
              </w:rPr>
            </w:pPr>
            <w:r>
              <w:rPr>
                <w:rFonts w:hint="eastAsia" w:ascii="黑体" w:hAnsi="黑体" w:eastAsia="黑体"/>
                <w:sz w:val="18"/>
                <w:szCs w:val="18"/>
              </w:rPr>
              <w:t>注：</w:t>
            </w:r>
            <w:r>
              <w:rPr>
                <w:rFonts w:hint="eastAsia"/>
                <w:sz w:val="18"/>
                <w:szCs w:val="18"/>
              </w:rPr>
              <w:t>数据来源于中国产品全生命周期温室气体排放系数数据库。</w:t>
            </w:r>
          </w:p>
        </w:tc>
      </w:tr>
      <w:bookmarkEnd w:id="147"/>
    </w:tbl>
    <w:p>
      <w:pPr>
        <w:pageBreakBefore/>
        <w:spacing w:before="156" w:beforeLines="50" w:line="360" w:lineRule="auto"/>
        <w:jc w:val="center"/>
        <w:outlineLvl w:val="0"/>
        <w:rPr>
          <w:rStyle w:val="195"/>
          <w:rFonts w:hint="default"/>
          <w:sz w:val="24"/>
        </w:rPr>
      </w:pPr>
      <w:r>
        <w:rPr>
          <w:rStyle w:val="195"/>
          <w:rFonts w:hint="default"/>
          <w:sz w:val="24"/>
        </w:rPr>
        <w:t xml:space="preserve">附 录 </w:t>
      </w:r>
      <w:r>
        <w:rPr>
          <w:rStyle w:val="195"/>
          <w:sz w:val="24"/>
        </w:rPr>
        <w:t>D</w:t>
      </w:r>
      <w:r>
        <w:rPr>
          <w:rFonts w:hint="eastAsia" w:ascii="黑体" w:hAnsi="黑体" w:eastAsia="黑体"/>
          <w:color w:val="000000"/>
          <w:sz w:val="24"/>
          <w:szCs w:val="22"/>
        </w:rPr>
        <w:br w:type="textWrapping"/>
      </w:r>
      <w:r>
        <w:rPr>
          <w:rStyle w:val="195"/>
          <w:rFonts w:hint="default"/>
          <w:sz w:val="24"/>
        </w:rPr>
        <w:t>（资料性）</w:t>
      </w:r>
      <w:r>
        <w:rPr>
          <w:rFonts w:hint="eastAsia" w:ascii="黑体" w:hAnsi="黑体" w:eastAsia="黑体"/>
          <w:color w:val="000000"/>
          <w:sz w:val="24"/>
          <w:szCs w:val="22"/>
        </w:rPr>
        <w:br w:type="textWrapping"/>
      </w:r>
      <w:r>
        <w:rPr>
          <w:rFonts w:ascii="黑体" w:hAnsi="黑体" w:eastAsia="黑体"/>
          <w:color w:val="000000"/>
          <w:sz w:val="24"/>
          <w:szCs w:val="22"/>
        </w:rPr>
        <w:t>产品碳足迹研究报告模板</w:t>
      </w:r>
      <w:bookmarkEnd w:id="146"/>
    </w:p>
    <w:p>
      <w:pPr>
        <w:widowControl/>
        <w:jc w:val="center"/>
        <w:rPr>
          <w:rFonts w:ascii="宋体" w:hAnsi="宋体" w:cs="宋体"/>
          <w:color w:val="000000"/>
          <w:kern w:val="0"/>
          <w:sz w:val="36"/>
          <w:szCs w:val="36"/>
        </w:rPr>
      </w:pPr>
    </w:p>
    <w:p>
      <w:pPr>
        <w:widowControl/>
        <w:jc w:val="center"/>
        <w:rPr>
          <w:rFonts w:ascii="宋体" w:hAnsi="宋体" w:cs="宋体"/>
          <w:color w:val="000000"/>
          <w:kern w:val="0"/>
          <w:sz w:val="36"/>
          <w:szCs w:val="36"/>
        </w:rPr>
      </w:pPr>
    </w:p>
    <w:p>
      <w:pPr>
        <w:widowControl/>
        <w:jc w:val="center"/>
        <w:rPr>
          <w:rFonts w:ascii="宋体" w:hAnsi="宋体" w:cs="宋体"/>
          <w:color w:val="000000"/>
          <w:kern w:val="0"/>
          <w:sz w:val="36"/>
          <w:szCs w:val="36"/>
        </w:rPr>
      </w:pPr>
    </w:p>
    <w:p>
      <w:pPr>
        <w:widowControl/>
        <w:jc w:val="center"/>
        <w:outlineLvl w:val="0"/>
        <w:rPr>
          <w:rFonts w:ascii="宋体" w:hAnsi="宋体" w:cs="宋体"/>
          <w:b/>
          <w:kern w:val="0"/>
          <w:sz w:val="24"/>
        </w:rPr>
      </w:pPr>
      <w:bookmarkStart w:id="148" w:name="_Toc26554"/>
      <w:bookmarkStart w:id="149" w:name="_Toc7591"/>
      <w:r>
        <w:rPr>
          <w:rFonts w:ascii="宋体" w:hAnsi="宋体" w:cs="宋体"/>
          <w:b/>
          <w:color w:val="000000"/>
          <w:kern w:val="0"/>
          <w:sz w:val="36"/>
          <w:szCs w:val="36"/>
        </w:rPr>
        <w:t>产品碳足迹研究报告（模板）</w:t>
      </w:r>
      <w:bookmarkEnd w:id="148"/>
      <w:bookmarkEnd w:id="149"/>
    </w:p>
    <w:p>
      <w:pPr>
        <w:widowControl/>
        <w:rPr>
          <w:rFonts w:ascii="宋体" w:hAnsi="宋体" w:cs="宋体"/>
          <w:color w:val="000000"/>
          <w:kern w:val="0"/>
          <w:sz w:val="22"/>
        </w:rPr>
      </w:pPr>
    </w:p>
    <w:p>
      <w:pPr>
        <w:widowControl/>
        <w:rPr>
          <w:rFonts w:ascii="宋体" w:hAnsi="宋体" w:cs="宋体"/>
          <w:color w:val="000000"/>
          <w:kern w:val="0"/>
          <w:sz w:val="22"/>
        </w:rPr>
      </w:pPr>
    </w:p>
    <w:p>
      <w:pPr>
        <w:widowControl/>
        <w:rPr>
          <w:rFonts w:ascii="宋体" w:hAnsi="宋体" w:cs="宋体"/>
          <w:color w:val="000000"/>
          <w:kern w:val="0"/>
          <w:sz w:val="22"/>
        </w:rPr>
      </w:pPr>
    </w:p>
    <w:p>
      <w:pPr>
        <w:widowControl/>
        <w:rPr>
          <w:rFonts w:ascii="宋体" w:hAnsi="宋体" w:cs="宋体"/>
          <w:color w:val="000000"/>
          <w:kern w:val="0"/>
          <w:sz w:val="22"/>
        </w:rPr>
      </w:pPr>
    </w:p>
    <w:p>
      <w:pPr>
        <w:widowControl/>
        <w:rPr>
          <w:rFonts w:ascii="宋体" w:hAnsi="宋体" w:cs="宋体"/>
          <w:color w:val="000000"/>
          <w:kern w:val="0"/>
          <w:sz w:val="28"/>
        </w:rPr>
      </w:pPr>
    </w:p>
    <w:p>
      <w:pPr>
        <w:widowControl/>
        <w:rPr>
          <w:rFonts w:ascii="宋体" w:hAnsi="宋体" w:cs="宋体"/>
          <w:b/>
          <w:color w:val="000000"/>
          <w:kern w:val="0"/>
          <w:sz w:val="24"/>
          <w:szCs w:val="21"/>
        </w:rPr>
      </w:pPr>
      <w:r>
        <w:rPr>
          <w:rFonts w:ascii="宋体" w:hAnsi="宋体" w:cs="宋体"/>
          <w:b/>
          <w:color w:val="000000"/>
          <w:kern w:val="0"/>
          <w:sz w:val="24"/>
          <w:szCs w:val="21"/>
        </w:rPr>
        <mc:AlternateContent>
          <mc:Choice Requires="wps">
            <w:drawing>
              <wp:anchor distT="0" distB="0" distL="114300" distR="114300" simplePos="0" relativeHeight="251674624" behindDoc="0" locked="0" layoutInCell="1" allowOverlap="1">
                <wp:simplePos x="0" y="0"/>
                <wp:positionH relativeFrom="column">
                  <wp:posOffset>785495</wp:posOffset>
                </wp:positionH>
                <wp:positionV relativeFrom="paragraph">
                  <wp:posOffset>192405</wp:posOffset>
                </wp:positionV>
                <wp:extent cx="2464435" cy="0"/>
                <wp:effectExtent l="0" t="7620" r="0" b="8255"/>
                <wp:wrapNone/>
                <wp:docPr id="19" name="自选图形 27"/>
                <wp:cNvGraphicFramePr/>
                <a:graphic xmlns:a="http://schemas.openxmlformats.org/drawingml/2006/main">
                  <a:graphicData uri="http://schemas.microsoft.com/office/word/2010/wordprocessingShape">
                    <wps:wsp>
                      <wps:cNvCnPr/>
                      <wps:spPr>
                        <a:xfrm flipV="1">
                          <a:off x="0" y="0"/>
                          <a:ext cx="246443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flip:y;margin-left:61.85pt;margin-top:15.15pt;height:0pt;width:194.05pt;z-index:251674624;mso-width-relative:page;mso-height-relative:page;" filled="f" stroked="t" coordsize="21600,21600" o:gfxdata="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ymx3XAAAACQEAAA8AAAAAAAAAAQAgAAAAIgAAAGRycy9kb3ducmV2&#10;LnhtbFBLAQIUABQAAAAIAIdO4kDIO5/I/QEAAPADAAAOAAAAAAAAAAEAIAAAACYBAABkcnMvZTJv&#10;RG9jLnhtbFBLBQYAAAAABgAGAFkBAACVBQAAAAA=&#10;">
                <v:fill on="f" focussize="0,0"/>
                <v:stroke weight="1.25pt" color="#000000" joinstyle="round"/>
                <v:imagedata o:title=""/>
                <o:lock v:ext="edit" aspectratio="f"/>
              </v:shape>
            </w:pict>
          </mc:Fallback>
        </mc:AlternateContent>
      </w:r>
      <w:r>
        <w:rPr>
          <w:rFonts w:ascii="宋体" w:hAnsi="宋体" w:cs="宋体"/>
          <w:b/>
          <w:color w:val="000000"/>
          <w:kern w:val="0"/>
          <w:sz w:val="24"/>
          <w:szCs w:val="21"/>
        </w:rPr>
        <w:t>产品名称：</w:t>
      </w:r>
    </w:p>
    <w:p>
      <w:pPr>
        <w:widowControl/>
        <w:outlineLvl w:val="0"/>
        <w:rPr>
          <w:rFonts w:ascii="宋体" w:hAnsi="宋体" w:cs="宋体"/>
          <w:b/>
          <w:color w:val="000000"/>
          <w:kern w:val="0"/>
          <w:sz w:val="24"/>
          <w:szCs w:val="21"/>
        </w:rPr>
      </w:pPr>
      <w:bookmarkStart w:id="150" w:name="_Toc5351"/>
      <w:bookmarkStart w:id="151" w:name="_Toc7447"/>
      <w:r>
        <w:rPr>
          <w:rFonts w:hint="eastAsia" w:ascii="宋体" w:hAnsi="宋体" w:cs="宋体"/>
          <w:b/>
          <w:color w:val="000000"/>
          <w:kern w:val="0"/>
          <w:sz w:val="24"/>
          <w:szCs w:val="21"/>
        </w:rPr>
        <w:br w:type="textWrapping"/>
      </w:r>
      <w:r>
        <w:rPr>
          <w:rFonts w:ascii="宋体" w:hAnsi="宋体" w:cs="宋体"/>
          <w:b/>
          <w:color w:val="000000"/>
          <w:kern w:val="0"/>
          <w:sz w:val="24"/>
          <w:szCs w:val="21"/>
        </w:rPr>
        <w:t>产品规格型号：</w:t>
      </w:r>
      <w:bookmarkEnd w:id="150"/>
      <w:bookmarkEnd w:id="151"/>
    </w:p>
    <w:p>
      <w:pPr>
        <w:widowControl/>
        <w:rPr>
          <w:rFonts w:ascii="宋体" w:hAnsi="宋体" w:cs="宋体"/>
          <w:b/>
          <w:color w:val="000000"/>
          <w:kern w:val="0"/>
          <w:sz w:val="24"/>
          <w:szCs w:val="21"/>
        </w:rPr>
      </w:pPr>
      <w:r>
        <w:rPr>
          <w:rFonts w:ascii="宋体" w:hAnsi="宋体" w:cs="宋体"/>
          <w:b/>
          <w:color w:val="000000"/>
          <w:kern w:val="0"/>
          <w:sz w:val="24"/>
          <w:szCs w:val="21"/>
        </w:rPr>
        <mc:AlternateContent>
          <mc:Choice Requires="wps">
            <w:drawing>
              <wp:anchor distT="0" distB="0" distL="114300" distR="114300" simplePos="0" relativeHeight="251675648" behindDoc="0" locked="0" layoutInCell="1" allowOverlap="1">
                <wp:simplePos x="0" y="0"/>
                <wp:positionH relativeFrom="column">
                  <wp:posOffset>1049020</wp:posOffset>
                </wp:positionH>
                <wp:positionV relativeFrom="paragraph">
                  <wp:posOffset>11430</wp:posOffset>
                </wp:positionV>
                <wp:extent cx="2464435" cy="0"/>
                <wp:effectExtent l="0" t="7620" r="0" b="8255"/>
                <wp:wrapNone/>
                <wp:docPr id="20" name="自选图形 28"/>
                <wp:cNvGraphicFramePr/>
                <a:graphic xmlns:a="http://schemas.openxmlformats.org/drawingml/2006/main">
                  <a:graphicData uri="http://schemas.microsoft.com/office/word/2010/wordprocessingShape">
                    <wps:wsp>
                      <wps:cNvCnPr/>
                      <wps:spPr>
                        <a:xfrm flipV="1">
                          <a:off x="0" y="0"/>
                          <a:ext cx="246443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flip:y;margin-left:82.6pt;margin-top:0.9pt;height:0pt;width:194.05pt;z-index:251675648;mso-width-relative:page;mso-height-relative:page;" filled="f" stroked="t" coordsize="21600,21600" o:gfxdata="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7GfutYAAAAHAQAADwAAAAAAAAABACAAAAAiAAAAZHJzL2Rvd25yZXYu&#10;eG1sUEsBAhQAFAAAAAgAh07iQCSAc639AQAA8AMAAA4AAAAAAAAAAQAgAAAAJQEAAGRycy9lMm9E&#10;b2MueG1sUEsFBgAAAAAGAAYAWQEAAJQFAAAAAA==&#10;">
                <v:fill on="f" focussize="0,0"/>
                <v:stroke weight="1.25pt" color="#000000" joinstyle="round"/>
                <v:imagedata o:title=""/>
                <o:lock v:ext="edit" aspectratio="f"/>
              </v:shape>
            </w:pict>
          </mc:Fallback>
        </mc:AlternateContent>
      </w:r>
      <w:r>
        <w:rPr>
          <w:rFonts w:hint="eastAsia" w:ascii="宋体" w:hAnsi="宋体" w:cs="宋体"/>
          <w:b/>
          <w:color w:val="000000"/>
          <w:kern w:val="0"/>
          <w:sz w:val="24"/>
          <w:szCs w:val="21"/>
        </w:rPr>
        <w:br w:type="textWrapping"/>
      </w:r>
      <w:r>
        <w:rPr>
          <w:rFonts w:ascii="宋体" w:hAnsi="宋体" w:cs="宋体"/>
          <w:b/>
          <w:color w:val="000000"/>
          <w:kern w:val="0"/>
          <w:sz w:val="24"/>
          <w:szCs w:val="21"/>
        </w:rPr>
        <w:t>生产者名称：</w:t>
      </w:r>
    </w:p>
    <w:p>
      <w:pPr>
        <w:widowControl/>
        <w:rPr>
          <w:rFonts w:ascii="宋体" w:hAnsi="宋体" w:cs="宋体"/>
          <w:b/>
          <w:kern w:val="0"/>
          <w:sz w:val="24"/>
          <w:szCs w:val="21"/>
        </w:rPr>
      </w:pPr>
      <w:r>
        <w:rPr>
          <w:rFonts w:ascii="宋体" w:hAnsi="宋体" w:cs="宋体"/>
          <w:b/>
          <w:color w:val="000000"/>
          <w:kern w:val="0"/>
          <w:sz w:val="24"/>
          <w:szCs w:val="21"/>
        </w:rPr>
        <mc:AlternateContent>
          <mc:Choice Requires="wps">
            <w:drawing>
              <wp:anchor distT="0" distB="0" distL="114300" distR="114300" simplePos="0" relativeHeight="251676672" behindDoc="0" locked="0" layoutInCell="1" allowOverlap="1">
                <wp:simplePos x="0" y="0"/>
                <wp:positionH relativeFrom="column">
                  <wp:posOffset>883285</wp:posOffset>
                </wp:positionH>
                <wp:positionV relativeFrom="paragraph">
                  <wp:posOffset>12700</wp:posOffset>
                </wp:positionV>
                <wp:extent cx="2464435" cy="0"/>
                <wp:effectExtent l="0" t="7620" r="0" b="8255"/>
                <wp:wrapNone/>
                <wp:docPr id="21" name="自选图形 29"/>
                <wp:cNvGraphicFramePr/>
                <a:graphic xmlns:a="http://schemas.openxmlformats.org/drawingml/2006/main">
                  <a:graphicData uri="http://schemas.microsoft.com/office/word/2010/wordprocessingShape">
                    <wps:wsp>
                      <wps:cNvCnPr/>
                      <wps:spPr>
                        <a:xfrm flipV="1">
                          <a:off x="0" y="0"/>
                          <a:ext cx="246443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flip:y;margin-left:69.55pt;margin-top:1pt;height:0pt;width:194.05pt;z-index:251676672;mso-width-relative:page;mso-height-relative:page;" filled="f" stroked="t" coordsize="21600,21600" o:gfxdata="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U35hjWAAAABwEAAA8AAAAAAAAAAQAgAAAAIgAAAGRycy9kb3ducmV2&#10;LnhtbFBLAQIUABQAAAAIAIdO4kAYss5z/gEAAPADAAAOAAAAAAAAAAEAIAAAACUBAABkcnMvZTJv&#10;RG9jLnhtbFBLBQYAAAAABgAGAFkBAACVBQAAAAA=&#10;">
                <v:fill on="f" focussize="0,0"/>
                <v:stroke weight="1.25pt" color="#000000" joinstyle="round"/>
                <v:imagedata o:title=""/>
                <o:lock v:ext="edit" aspectratio="f"/>
              </v:shape>
            </w:pict>
          </mc:Fallback>
        </mc:AlternateContent>
      </w:r>
      <w:r>
        <w:rPr>
          <w:rFonts w:ascii="宋体" w:hAnsi="宋体" w:cs="宋体"/>
          <w:b/>
          <w:color w:val="000000"/>
          <w:kern w:val="0"/>
          <w:sz w:val="24"/>
          <w:szCs w:val="21"/>
        </w:rPr>
        <mc:AlternateContent>
          <mc:Choice Requires="wps">
            <w:drawing>
              <wp:anchor distT="0" distB="0" distL="114300" distR="114300" simplePos="0" relativeHeight="251677696" behindDoc="0" locked="0" layoutInCell="1" allowOverlap="1">
                <wp:simplePos x="0" y="0"/>
                <wp:positionH relativeFrom="column">
                  <wp:posOffset>785495</wp:posOffset>
                </wp:positionH>
                <wp:positionV relativeFrom="paragraph">
                  <wp:posOffset>378460</wp:posOffset>
                </wp:positionV>
                <wp:extent cx="2464435" cy="0"/>
                <wp:effectExtent l="0" t="7620" r="0" b="8255"/>
                <wp:wrapNone/>
                <wp:docPr id="22" name="自选图形 30"/>
                <wp:cNvGraphicFramePr/>
                <a:graphic xmlns:a="http://schemas.openxmlformats.org/drawingml/2006/main">
                  <a:graphicData uri="http://schemas.microsoft.com/office/word/2010/wordprocessingShape">
                    <wps:wsp>
                      <wps:cNvCnPr/>
                      <wps:spPr>
                        <a:xfrm flipV="1">
                          <a:off x="0" y="0"/>
                          <a:ext cx="246443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y;margin-left:61.85pt;margin-top:29.8pt;height:0pt;width:194.05pt;z-index:251677696;mso-width-relative:page;mso-height-relative:page;" filled="f" stroked="t" coordsize="21600,21600" o:gfxdata="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WhNkfYAAAACQEAAA8AAAAAAAAAAQAgAAAAIgAAAGRycy9kb3ducmV2&#10;LnhtbFBLAQIUABQAAAAIAIdO4kCpjs9Q/AEAAPADAAAOAAAAAAAAAAEAIAAAACcBAABkcnMvZTJv&#10;RG9jLnhtbFBLBQYAAAAABgAGAFkBAACVBQAAAAA=&#10;">
                <v:fill on="f" focussize="0,0"/>
                <v:stroke weight="1.25pt" color="#000000" joinstyle="round"/>
                <v:imagedata o:title=""/>
                <o:lock v:ext="edit" aspectratio="f"/>
              </v:shape>
            </w:pict>
          </mc:Fallback>
        </mc:AlternateContent>
      </w:r>
      <w:r>
        <w:rPr>
          <w:rFonts w:hint="eastAsia" w:ascii="宋体" w:hAnsi="宋体" w:cs="宋体"/>
          <w:b/>
          <w:color w:val="000000"/>
          <w:kern w:val="0"/>
          <w:sz w:val="24"/>
          <w:szCs w:val="21"/>
        </w:rPr>
        <w:br w:type="textWrapping"/>
      </w:r>
      <w:r>
        <w:rPr>
          <w:rFonts w:ascii="宋体" w:hAnsi="宋体" w:cs="宋体"/>
          <w:b/>
          <w:color w:val="000000"/>
          <w:kern w:val="0"/>
          <w:sz w:val="24"/>
          <w:szCs w:val="21"/>
        </w:rPr>
        <w:t>报告编号：</w:t>
      </w:r>
    </w:p>
    <w:p>
      <w:pPr>
        <w:pStyle w:val="2"/>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widowControl/>
        <w:ind w:right="440"/>
        <w:jc w:val="center"/>
        <w:outlineLvl w:val="0"/>
        <w:rPr>
          <w:rFonts w:ascii="宋体" w:hAnsi="宋体" w:cs="宋体"/>
          <w:color w:val="000000"/>
          <w:kern w:val="0"/>
          <w:sz w:val="22"/>
          <w:szCs w:val="22"/>
        </w:rPr>
      </w:pPr>
      <w:r>
        <w:rPr>
          <w:rFonts w:hint="eastAsia" w:ascii="宋体" w:hAnsi="宋体" w:cs="宋体"/>
          <w:color w:val="000000"/>
          <w:kern w:val="0"/>
          <w:sz w:val="22"/>
        </w:rPr>
        <w:t xml:space="preserve">                         </w:t>
      </w:r>
      <w:bookmarkStart w:id="152" w:name="_Toc16750"/>
      <w:bookmarkStart w:id="153" w:name="_Toc26831"/>
      <w:r>
        <w:rPr>
          <w:rFonts w:ascii="宋体" w:hAnsi="宋体" w:cs="宋体"/>
          <w:color w:val="000000"/>
          <w:kern w:val="0"/>
          <w:sz w:val="22"/>
        </w:rPr>
        <w:t xml:space="preserve">出具报告机构： </w:t>
      </w:r>
      <w:r>
        <w:rPr>
          <w:rFonts w:hint="eastAsia" w:ascii="宋体" w:hAnsi="宋体" w:cs="宋体"/>
          <w:color w:val="000000"/>
          <w:kern w:val="0"/>
          <w:sz w:val="22"/>
        </w:rPr>
        <w:t xml:space="preserve">         </w:t>
      </w:r>
      <w:r>
        <w:rPr>
          <w:rFonts w:ascii="宋体" w:hAnsi="宋体" w:cs="宋体"/>
          <w:color w:val="000000"/>
          <w:kern w:val="0"/>
          <w:sz w:val="22"/>
        </w:rPr>
        <w:t>（盖章 ）</w:t>
      </w:r>
      <w:bookmarkEnd w:id="152"/>
      <w:bookmarkEnd w:id="153"/>
    </w:p>
    <w:p>
      <w:pPr>
        <w:widowControl/>
        <w:jc w:val="right"/>
        <w:rPr>
          <w:rFonts w:ascii="宋体" w:hAnsi="宋体" w:cs="宋体"/>
          <w:color w:val="000000"/>
          <w:kern w:val="0"/>
          <w:sz w:val="22"/>
          <w:szCs w:val="22"/>
        </w:rPr>
      </w:pPr>
    </w:p>
    <w:p>
      <w:pPr>
        <w:widowControl/>
        <w:ind w:firstLine="4840" w:firstLineChars="2200"/>
        <w:jc w:val="left"/>
        <w:rPr>
          <w:rFonts w:ascii="宋体" w:hAnsi="宋体" w:cs="宋体"/>
          <w:color w:val="000000"/>
          <w:kern w:val="0"/>
          <w:sz w:val="22"/>
        </w:rPr>
      </w:pPr>
      <w:r>
        <w:rPr>
          <w:rFonts w:ascii="宋体" w:hAnsi="宋体" w:cs="宋体"/>
          <w:color w:val="000000"/>
          <w:kern w:val="0"/>
          <w:sz w:val="22"/>
        </w:rPr>
        <w:t xml:space="preserve">日期： </w:t>
      </w:r>
      <w:r>
        <w:rPr>
          <w:rFonts w:hint="eastAsia" w:ascii="宋体" w:hAnsi="宋体" w:cs="宋体"/>
          <w:color w:val="000000"/>
          <w:kern w:val="0"/>
          <w:sz w:val="22"/>
        </w:rPr>
        <w:t xml:space="preserve">   </w:t>
      </w:r>
      <w:r>
        <w:rPr>
          <w:rFonts w:ascii="宋体" w:hAnsi="宋体" w:cs="宋体"/>
          <w:color w:val="000000"/>
          <w:kern w:val="0"/>
          <w:sz w:val="22"/>
        </w:rPr>
        <w:t>年</w:t>
      </w:r>
      <w:r>
        <w:rPr>
          <w:rFonts w:hint="eastAsia" w:ascii="宋体" w:hAnsi="宋体" w:cs="宋体"/>
          <w:color w:val="000000"/>
          <w:kern w:val="0"/>
          <w:sz w:val="22"/>
        </w:rPr>
        <w:t xml:space="preserve">   </w:t>
      </w:r>
      <w:r>
        <w:rPr>
          <w:rFonts w:ascii="宋体" w:hAnsi="宋体" w:cs="宋体"/>
          <w:color w:val="000000"/>
          <w:kern w:val="0"/>
          <w:sz w:val="22"/>
        </w:rPr>
        <w:t xml:space="preserve"> 月 </w:t>
      </w:r>
      <w:r>
        <w:rPr>
          <w:rFonts w:hint="eastAsia" w:ascii="宋体" w:hAnsi="宋体" w:cs="宋体"/>
          <w:color w:val="000000"/>
          <w:kern w:val="0"/>
          <w:sz w:val="22"/>
        </w:rPr>
        <w:t xml:space="preserve">   </w:t>
      </w:r>
      <w:r>
        <w:rPr>
          <w:rFonts w:ascii="宋体" w:hAnsi="宋体" w:cs="宋体"/>
          <w:color w:val="000000"/>
          <w:kern w:val="0"/>
          <w:sz w:val="22"/>
        </w:rPr>
        <w:t>日</w:t>
      </w: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spacing w:line="360" w:lineRule="auto"/>
        <w:jc w:val="center"/>
        <w:rPr>
          <w:rFonts w:ascii="黑体" w:hAnsi="黑体" w:eastAsia="黑体"/>
          <w:b/>
          <w:szCs w:val="21"/>
        </w:rPr>
      </w:pPr>
    </w:p>
    <w:p>
      <w:pPr>
        <w:pStyle w:val="2"/>
        <w:widowControl/>
        <w:numPr>
          <w:ilvl w:val="0"/>
          <w:numId w:val="30"/>
        </w:numPr>
        <w:ind w:firstLineChars="0"/>
        <w:jc w:val="left"/>
        <w:outlineLvl w:val="0"/>
        <w:rPr>
          <w:rFonts w:ascii="黑体" w:hAnsi="黑体" w:eastAsia="黑体" w:cs="宋体"/>
          <w:color w:val="000000"/>
          <w:kern w:val="0"/>
          <w:sz w:val="22"/>
        </w:rPr>
      </w:pPr>
      <w:bookmarkStart w:id="154" w:name="_Toc29794"/>
      <w:bookmarkStart w:id="155" w:name="_Toc17662"/>
      <w:r>
        <w:rPr>
          <w:rFonts w:ascii="黑体" w:hAnsi="黑体" w:eastAsia="黑体" w:cs="宋体"/>
          <w:color w:val="000000"/>
          <w:kern w:val="0"/>
          <w:sz w:val="22"/>
        </w:rPr>
        <w:t>概况</w:t>
      </w:r>
      <w:bookmarkEnd w:id="154"/>
      <w:bookmarkEnd w:id="155"/>
    </w:p>
    <w:p>
      <w:pPr>
        <w:pStyle w:val="2"/>
        <w:widowControl/>
        <w:ind w:left="966" w:firstLine="0" w:firstLineChars="0"/>
        <w:jc w:val="left"/>
        <w:rPr>
          <w:color w:val="000000"/>
          <w:kern w:val="0"/>
          <w:sz w:val="22"/>
        </w:rPr>
      </w:pPr>
      <w:r>
        <w:rPr>
          <w:b/>
          <w:bCs/>
          <w:color w:val="000000"/>
          <w:kern w:val="0"/>
          <w:sz w:val="22"/>
        </w:rPr>
        <w:t>1</w:t>
      </w:r>
      <w:r>
        <w:rPr>
          <w:color w:val="000000"/>
          <w:kern w:val="0"/>
          <w:sz w:val="22"/>
        </w:rPr>
        <w:t>、 生产者信息</w:t>
      </w:r>
      <w:r>
        <w:rPr>
          <w:color w:val="000000"/>
          <w:kern w:val="0"/>
          <w:sz w:val="22"/>
          <w:szCs w:val="22"/>
        </w:rPr>
        <w:br w:type="textWrapping"/>
      </w:r>
      <w:r>
        <w:rPr>
          <w:color w:val="000000"/>
          <w:kern w:val="0"/>
          <w:sz w:val="22"/>
        </w:rPr>
        <w:t>生产者名称：</w:t>
      </w:r>
      <w:r>
        <w:rPr>
          <w:color w:val="000000"/>
          <w:kern w:val="0"/>
          <w:sz w:val="22"/>
          <w:szCs w:val="22"/>
        </w:rPr>
        <w:br w:type="textWrapping"/>
      </w:r>
      <w:r>
        <w:rPr>
          <w:color w:val="000000"/>
          <w:kern w:val="0"/>
          <w:sz w:val="22"/>
        </w:rPr>
        <w:t>地址：</w:t>
      </w:r>
      <w:r>
        <w:rPr>
          <w:color w:val="000000"/>
          <w:kern w:val="0"/>
          <w:sz w:val="22"/>
          <w:szCs w:val="22"/>
        </w:rPr>
        <w:br w:type="textWrapping"/>
      </w:r>
      <w:r>
        <w:rPr>
          <w:color w:val="000000"/>
          <w:kern w:val="0"/>
          <w:sz w:val="22"/>
        </w:rPr>
        <w:t>法定代表人：</w:t>
      </w:r>
      <w:r>
        <w:rPr>
          <w:color w:val="000000"/>
          <w:kern w:val="0"/>
          <w:sz w:val="22"/>
          <w:szCs w:val="22"/>
        </w:rPr>
        <w:br w:type="textWrapping"/>
      </w:r>
      <w:r>
        <w:rPr>
          <w:color w:val="000000"/>
          <w:kern w:val="0"/>
          <w:sz w:val="22"/>
        </w:rPr>
        <w:t>授权人（联系人）：</w:t>
      </w:r>
      <w:r>
        <w:rPr>
          <w:color w:val="000000"/>
          <w:kern w:val="0"/>
          <w:sz w:val="22"/>
          <w:szCs w:val="22"/>
        </w:rPr>
        <w:br w:type="textWrapping"/>
      </w:r>
      <w:r>
        <w:rPr>
          <w:color w:val="000000"/>
          <w:kern w:val="0"/>
          <w:sz w:val="22"/>
        </w:rPr>
        <w:t>联系电话：</w:t>
      </w:r>
      <w:r>
        <w:rPr>
          <w:color w:val="000000"/>
          <w:kern w:val="0"/>
          <w:sz w:val="22"/>
          <w:szCs w:val="22"/>
        </w:rPr>
        <w:br w:type="textWrapping"/>
      </w:r>
      <w:r>
        <w:rPr>
          <w:color w:val="000000"/>
          <w:kern w:val="0"/>
          <w:sz w:val="22"/>
          <w:szCs w:val="22"/>
        </w:rPr>
        <w:t>公司</w:t>
      </w:r>
      <w:r>
        <w:rPr>
          <w:color w:val="000000"/>
          <w:kern w:val="0"/>
          <w:sz w:val="22"/>
        </w:rPr>
        <w:t>概况：</w:t>
      </w:r>
      <w:r>
        <w:rPr>
          <w:color w:val="000000"/>
          <w:kern w:val="0"/>
          <w:sz w:val="22"/>
          <w:szCs w:val="22"/>
        </w:rPr>
        <w:br w:type="textWrapping"/>
      </w:r>
      <w:r>
        <w:rPr>
          <w:b/>
          <w:bCs/>
          <w:color w:val="000000"/>
          <w:kern w:val="0"/>
          <w:sz w:val="22"/>
        </w:rPr>
        <w:t>2</w:t>
      </w:r>
      <w:r>
        <w:rPr>
          <w:color w:val="000000"/>
          <w:kern w:val="0"/>
          <w:sz w:val="22"/>
        </w:rPr>
        <w:t>、 产品信息</w:t>
      </w:r>
      <w:r>
        <w:rPr>
          <w:color w:val="000000"/>
          <w:kern w:val="0"/>
          <w:sz w:val="22"/>
          <w:szCs w:val="22"/>
        </w:rPr>
        <w:br w:type="textWrapping"/>
      </w:r>
      <w:r>
        <w:rPr>
          <w:color w:val="000000"/>
          <w:kern w:val="0"/>
          <w:sz w:val="22"/>
        </w:rPr>
        <w:t>产品名称：</w:t>
      </w:r>
      <w:r>
        <w:rPr>
          <w:color w:val="000000"/>
          <w:kern w:val="0"/>
          <w:sz w:val="22"/>
          <w:szCs w:val="22"/>
        </w:rPr>
        <w:br w:type="textWrapping"/>
      </w:r>
      <w:r>
        <w:rPr>
          <w:color w:val="000000"/>
          <w:kern w:val="0"/>
          <w:sz w:val="22"/>
        </w:rPr>
        <w:t>产品功能：</w:t>
      </w:r>
      <w:r>
        <w:rPr>
          <w:color w:val="000000"/>
          <w:kern w:val="0"/>
          <w:sz w:val="22"/>
          <w:szCs w:val="22"/>
        </w:rPr>
        <w:br w:type="textWrapping"/>
      </w:r>
      <w:r>
        <w:rPr>
          <w:color w:val="000000"/>
          <w:kern w:val="0"/>
          <w:sz w:val="22"/>
        </w:rPr>
        <w:t>产品介绍：</w:t>
      </w:r>
      <w:r>
        <w:rPr>
          <w:color w:val="000000"/>
          <w:kern w:val="0"/>
          <w:sz w:val="22"/>
          <w:szCs w:val="22"/>
        </w:rPr>
        <w:br w:type="textWrapping"/>
      </w:r>
      <w:r>
        <w:rPr>
          <w:color w:val="000000"/>
          <w:kern w:val="0"/>
          <w:sz w:val="22"/>
        </w:rPr>
        <w:t>产品图片：</w:t>
      </w:r>
      <w:r>
        <w:rPr>
          <w:color w:val="000000"/>
          <w:kern w:val="0"/>
          <w:sz w:val="22"/>
          <w:szCs w:val="22"/>
        </w:rPr>
        <w:br w:type="textWrapping"/>
      </w:r>
      <w:r>
        <w:rPr>
          <w:b/>
          <w:bCs/>
          <w:color w:val="000000"/>
          <w:kern w:val="0"/>
          <w:sz w:val="22"/>
        </w:rPr>
        <w:t>3</w:t>
      </w:r>
      <w:r>
        <w:rPr>
          <w:color w:val="000000"/>
          <w:kern w:val="0"/>
          <w:sz w:val="22"/>
        </w:rPr>
        <w:t>、 量化方法</w:t>
      </w:r>
      <w:r>
        <w:rPr>
          <w:color w:val="000000"/>
          <w:kern w:val="0"/>
          <w:sz w:val="22"/>
          <w:szCs w:val="22"/>
        </w:rPr>
        <w:br w:type="textWrapping"/>
      </w:r>
      <w:r>
        <w:rPr>
          <w:color w:val="000000"/>
          <w:kern w:val="0"/>
          <w:sz w:val="22"/>
        </w:rPr>
        <w:t>依据标准：</w:t>
      </w:r>
    </w:p>
    <w:p>
      <w:pPr>
        <w:pStyle w:val="2"/>
        <w:widowControl/>
        <w:numPr>
          <w:ilvl w:val="0"/>
          <w:numId w:val="30"/>
        </w:numPr>
        <w:ind w:firstLineChars="0"/>
        <w:jc w:val="left"/>
        <w:outlineLvl w:val="0"/>
        <w:rPr>
          <w:rFonts w:eastAsia="黑体"/>
          <w:kern w:val="0"/>
          <w:sz w:val="24"/>
        </w:rPr>
      </w:pPr>
      <w:bookmarkStart w:id="156" w:name="_Toc29663"/>
      <w:bookmarkStart w:id="157" w:name="_Toc23070"/>
      <w:r>
        <w:rPr>
          <w:rFonts w:eastAsia="黑体"/>
          <w:color w:val="000000"/>
          <w:kern w:val="0"/>
          <w:sz w:val="22"/>
        </w:rPr>
        <w:t>量化目的</w:t>
      </w:r>
      <w:bookmarkEnd w:id="156"/>
      <w:bookmarkEnd w:id="157"/>
    </w:p>
    <w:p>
      <w:pPr>
        <w:pStyle w:val="2"/>
        <w:widowControl/>
        <w:ind w:left="426" w:firstLine="0" w:firstLineChars="0"/>
        <w:jc w:val="left"/>
        <w:rPr>
          <w:rFonts w:eastAsia="黑体"/>
          <w:kern w:val="0"/>
          <w:sz w:val="24"/>
        </w:rPr>
      </w:pPr>
    </w:p>
    <w:p>
      <w:pPr>
        <w:pStyle w:val="2"/>
        <w:widowControl/>
        <w:numPr>
          <w:ilvl w:val="0"/>
          <w:numId w:val="30"/>
        </w:numPr>
        <w:ind w:firstLineChars="0"/>
        <w:jc w:val="left"/>
        <w:outlineLvl w:val="0"/>
        <w:rPr>
          <w:rFonts w:eastAsia="黑体"/>
          <w:kern w:val="0"/>
          <w:sz w:val="24"/>
        </w:rPr>
      </w:pPr>
      <w:bookmarkStart w:id="158" w:name="_Toc19588"/>
      <w:bookmarkStart w:id="159" w:name="_Toc9894"/>
      <w:r>
        <w:rPr>
          <w:rFonts w:eastAsia="黑体"/>
          <w:color w:val="000000"/>
          <w:kern w:val="0"/>
          <w:sz w:val="22"/>
        </w:rPr>
        <w:t>量化范围</w:t>
      </w:r>
      <w:bookmarkEnd w:id="158"/>
      <w:bookmarkEnd w:id="159"/>
    </w:p>
    <w:p>
      <w:pPr>
        <w:pStyle w:val="2"/>
        <w:widowControl/>
        <w:ind w:left="966" w:firstLine="0" w:firstLineChars="0"/>
        <w:jc w:val="left"/>
        <w:rPr>
          <w:kern w:val="0"/>
          <w:sz w:val="24"/>
        </w:rPr>
      </w:pPr>
      <w:r>
        <w:rPr>
          <w:b/>
          <w:bCs/>
          <w:color w:val="000000"/>
          <w:kern w:val="0"/>
          <w:sz w:val="22"/>
        </w:rPr>
        <w:t>1</w:t>
      </w:r>
      <w:r>
        <w:rPr>
          <w:color w:val="000000"/>
          <w:kern w:val="0"/>
          <w:sz w:val="22"/>
        </w:rPr>
        <w:t>、 功能单位或声明单位</w:t>
      </w:r>
      <w:r>
        <w:rPr>
          <w:color w:val="000000"/>
          <w:kern w:val="0"/>
          <w:sz w:val="22"/>
          <w:szCs w:val="22"/>
        </w:rPr>
        <w:br w:type="textWrapping"/>
      </w:r>
      <w:r>
        <w:rPr>
          <w:b/>
          <w:bCs/>
          <w:color w:val="000000"/>
          <w:kern w:val="0"/>
          <w:sz w:val="22"/>
        </w:rPr>
        <w:t>2</w:t>
      </w:r>
      <w:r>
        <w:rPr>
          <w:color w:val="000000"/>
          <w:kern w:val="0"/>
          <w:sz w:val="22"/>
        </w:rPr>
        <w:t>、 系统边界</w:t>
      </w:r>
      <w:r>
        <w:rPr>
          <w:color w:val="000000"/>
          <w:kern w:val="0"/>
          <w:sz w:val="22"/>
          <w:szCs w:val="22"/>
        </w:rPr>
        <w:br w:type="textWrapping"/>
      </w:r>
      <w:r>
        <w:rPr>
          <w:b/>
          <w:bCs/>
          <w:color w:val="000000"/>
          <w:kern w:val="0"/>
          <w:sz w:val="22"/>
        </w:rPr>
        <w:t>3</w:t>
      </w:r>
      <w:r>
        <w:rPr>
          <w:color w:val="000000"/>
          <w:kern w:val="0"/>
          <w:sz w:val="22"/>
        </w:rPr>
        <w:t>、 取舍准则</w:t>
      </w:r>
      <w:r>
        <w:rPr>
          <w:color w:val="000000"/>
          <w:kern w:val="0"/>
          <w:sz w:val="22"/>
          <w:szCs w:val="22"/>
        </w:rPr>
        <w:br w:type="textWrapping"/>
      </w:r>
      <w:r>
        <w:rPr>
          <w:b/>
          <w:bCs/>
          <w:color w:val="000000"/>
          <w:kern w:val="0"/>
          <w:sz w:val="22"/>
        </w:rPr>
        <w:t>4</w:t>
      </w:r>
      <w:r>
        <w:rPr>
          <w:color w:val="000000"/>
          <w:kern w:val="0"/>
          <w:sz w:val="22"/>
        </w:rPr>
        <w:t>、 时间范围</w:t>
      </w:r>
    </w:p>
    <w:p>
      <w:pPr>
        <w:pStyle w:val="2"/>
        <w:widowControl/>
        <w:numPr>
          <w:ilvl w:val="0"/>
          <w:numId w:val="30"/>
        </w:numPr>
        <w:ind w:firstLineChars="0"/>
        <w:jc w:val="left"/>
        <w:outlineLvl w:val="0"/>
        <w:rPr>
          <w:rFonts w:eastAsia="黑体"/>
          <w:kern w:val="0"/>
          <w:sz w:val="24"/>
        </w:rPr>
      </w:pPr>
      <w:bookmarkStart w:id="160" w:name="_Toc17031"/>
      <w:bookmarkStart w:id="161" w:name="_Toc27728"/>
      <w:r>
        <w:rPr>
          <w:rFonts w:eastAsia="黑体"/>
          <w:color w:val="000000"/>
          <w:kern w:val="0"/>
          <w:sz w:val="22"/>
        </w:rPr>
        <w:t>清单分析</w:t>
      </w:r>
      <w:bookmarkEnd w:id="160"/>
      <w:bookmarkEnd w:id="161"/>
    </w:p>
    <w:p>
      <w:pPr>
        <w:pStyle w:val="2"/>
        <w:widowControl/>
        <w:ind w:left="966" w:firstLine="0" w:firstLineChars="0"/>
        <w:jc w:val="left"/>
        <w:rPr>
          <w:kern w:val="0"/>
          <w:sz w:val="24"/>
        </w:rPr>
      </w:pPr>
      <w:r>
        <w:rPr>
          <w:b/>
          <w:bCs/>
          <w:color w:val="000000"/>
          <w:kern w:val="0"/>
          <w:sz w:val="22"/>
        </w:rPr>
        <w:t>1</w:t>
      </w:r>
      <w:r>
        <w:rPr>
          <w:color w:val="000000"/>
          <w:kern w:val="0"/>
          <w:sz w:val="22"/>
        </w:rPr>
        <w:t>、 数据来源说明</w:t>
      </w:r>
    </w:p>
    <w:p>
      <w:pPr>
        <w:pStyle w:val="2"/>
        <w:widowControl/>
        <w:ind w:left="966" w:firstLine="440"/>
        <w:jc w:val="left"/>
        <w:rPr>
          <w:color w:val="000000"/>
          <w:kern w:val="0"/>
          <w:sz w:val="22"/>
        </w:rPr>
      </w:pPr>
      <w:r>
        <w:rPr>
          <w:color w:val="000000"/>
          <w:kern w:val="0"/>
          <w:sz w:val="22"/>
        </w:rPr>
        <w:t xml:space="preserve">初级数据： </w:t>
      </w:r>
    </w:p>
    <w:p>
      <w:pPr>
        <w:pStyle w:val="2"/>
        <w:widowControl/>
        <w:ind w:left="966" w:firstLine="440"/>
        <w:jc w:val="left"/>
        <w:rPr>
          <w:color w:val="000000"/>
          <w:kern w:val="0"/>
          <w:sz w:val="22"/>
        </w:rPr>
      </w:pPr>
      <w:r>
        <w:rPr>
          <w:color w:val="000000"/>
          <w:kern w:val="0"/>
          <w:sz w:val="22"/>
        </w:rPr>
        <w:t xml:space="preserve">次级数据： </w:t>
      </w:r>
      <w:r>
        <w:rPr>
          <w:color w:val="000000"/>
          <w:kern w:val="0"/>
          <w:sz w:val="22"/>
          <w:szCs w:val="22"/>
        </w:rPr>
        <w:br w:type="textWrapping"/>
      </w:r>
      <w:r>
        <w:rPr>
          <w:b/>
          <w:bCs/>
          <w:color w:val="000000"/>
          <w:kern w:val="0"/>
          <w:sz w:val="22"/>
        </w:rPr>
        <w:t>2</w:t>
      </w:r>
      <w:r>
        <w:rPr>
          <w:color w:val="000000"/>
          <w:kern w:val="0"/>
          <w:sz w:val="22"/>
        </w:rPr>
        <w:t>、 分配原则与程序</w:t>
      </w:r>
      <w:r>
        <w:rPr>
          <w:color w:val="000000"/>
          <w:kern w:val="0"/>
          <w:sz w:val="22"/>
          <w:szCs w:val="22"/>
        </w:rPr>
        <w:br w:type="textWrapping"/>
      </w:r>
      <w:r>
        <w:rPr>
          <w:color w:val="000000"/>
          <w:kern w:val="0"/>
          <w:sz w:val="22"/>
        </w:rPr>
        <w:t>分配依据： ；</w:t>
      </w:r>
      <w:r>
        <w:rPr>
          <w:color w:val="000000"/>
          <w:kern w:val="0"/>
          <w:sz w:val="22"/>
          <w:szCs w:val="22"/>
        </w:rPr>
        <w:br w:type="textWrapping"/>
      </w:r>
      <w:r>
        <w:rPr>
          <w:color w:val="000000"/>
          <w:kern w:val="0"/>
          <w:sz w:val="22"/>
        </w:rPr>
        <w:t>分配程序： ；</w:t>
      </w:r>
      <w:r>
        <w:rPr>
          <w:color w:val="000000"/>
          <w:kern w:val="0"/>
          <w:sz w:val="22"/>
          <w:szCs w:val="22"/>
        </w:rPr>
        <w:br w:type="textWrapping"/>
      </w:r>
      <w:r>
        <w:rPr>
          <w:color w:val="000000"/>
          <w:kern w:val="0"/>
          <w:sz w:val="22"/>
        </w:rPr>
        <w:t>具体分配情况如下：</w:t>
      </w:r>
    </w:p>
    <w:p>
      <w:pPr>
        <w:pStyle w:val="2"/>
        <w:widowControl/>
        <w:ind w:left="873" w:leftChars="416" w:firstLine="0" w:firstLineChars="0"/>
        <w:jc w:val="left"/>
        <w:rPr>
          <w:color w:val="000000"/>
          <w:kern w:val="0"/>
          <w:sz w:val="22"/>
        </w:rPr>
      </w:pPr>
      <w:r>
        <w:rPr>
          <w:b/>
          <w:bCs/>
          <w:color w:val="000000"/>
          <w:kern w:val="0"/>
          <w:sz w:val="22"/>
        </w:rPr>
        <w:t>3</w:t>
      </w:r>
      <w:r>
        <w:rPr>
          <w:color w:val="000000"/>
          <w:kern w:val="0"/>
          <w:sz w:val="22"/>
        </w:rPr>
        <w:t>、 清单结果及计算</w:t>
      </w:r>
      <w:r>
        <w:rPr>
          <w:color w:val="000000"/>
          <w:kern w:val="0"/>
          <w:sz w:val="22"/>
          <w:szCs w:val="22"/>
        </w:rPr>
        <w:br w:type="textWrapping"/>
      </w:r>
      <w:r>
        <w:rPr>
          <w:color w:val="000000"/>
          <w:kern w:val="0"/>
          <w:sz w:val="22"/>
        </w:rPr>
        <w:t>生命周期各个阶段碳排放计算说明见表1。</w:t>
      </w:r>
    </w:p>
    <w:p>
      <w:pPr>
        <w:pStyle w:val="2"/>
        <w:widowControl/>
        <w:ind w:left="966" w:firstLine="440"/>
        <w:jc w:val="center"/>
        <w:rPr>
          <w:color w:val="000000"/>
          <w:kern w:val="0"/>
          <w:sz w:val="22"/>
        </w:rPr>
      </w:pPr>
      <w:r>
        <w:rPr>
          <w:color w:val="000000"/>
          <w:kern w:val="0"/>
          <w:sz w:val="22"/>
        </w:rPr>
        <w:t xml:space="preserve">表1  </w:t>
      </w:r>
      <w:r>
        <w:rPr>
          <w:rFonts w:hint="eastAsia"/>
          <w:color w:val="000000"/>
          <w:kern w:val="0"/>
          <w:sz w:val="22"/>
        </w:rPr>
        <w:t>原生镁锭</w:t>
      </w:r>
      <w:r>
        <w:rPr>
          <w:color w:val="000000"/>
          <w:kern w:val="0"/>
          <w:sz w:val="22"/>
        </w:rPr>
        <w:t>产品生命周期碳排放清单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871"/>
        <w:gridCol w:w="187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pStyle w:val="2"/>
              <w:widowControl/>
              <w:ind w:firstLine="0" w:firstLineChars="0"/>
              <w:jc w:val="center"/>
              <w:rPr>
                <w:color w:val="000000"/>
                <w:kern w:val="0"/>
                <w:sz w:val="22"/>
              </w:rPr>
            </w:pPr>
            <w:r>
              <w:rPr>
                <w:color w:val="000000"/>
                <w:kern w:val="0"/>
                <w:sz w:val="22"/>
              </w:rPr>
              <w:t>生命周期阶段</w:t>
            </w:r>
          </w:p>
        </w:tc>
        <w:tc>
          <w:tcPr>
            <w:tcW w:w="1871" w:type="dxa"/>
            <w:vAlign w:val="center"/>
          </w:tcPr>
          <w:p>
            <w:pPr>
              <w:pStyle w:val="2"/>
              <w:widowControl/>
              <w:ind w:firstLine="440"/>
              <w:rPr>
                <w:color w:val="000000"/>
                <w:kern w:val="0"/>
                <w:sz w:val="22"/>
              </w:rPr>
            </w:pPr>
            <w:r>
              <w:rPr>
                <w:color w:val="000000"/>
                <w:kern w:val="0"/>
                <w:sz w:val="22"/>
              </w:rPr>
              <w:t>活动数据</w:t>
            </w:r>
          </w:p>
        </w:tc>
        <w:tc>
          <w:tcPr>
            <w:tcW w:w="1871" w:type="dxa"/>
            <w:vAlign w:val="center"/>
          </w:tcPr>
          <w:p>
            <w:pPr>
              <w:pStyle w:val="2"/>
              <w:widowControl/>
              <w:ind w:firstLine="440"/>
              <w:rPr>
                <w:color w:val="000000"/>
                <w:kern w:val="0"/>
                <w:sz w:val="22"/>
              </w:rPr>
            </w:pPr>
            <w:r>
              <w:rPr>
                <w:color w:val="000000"/>
                <w:kern w:val="0"/>
                <w:sz w:val="22"/>
              </w:rPr>
              <w:t>排放因子</w:t>
            </w:r>
          </w:p>
        </w:tc>
        <w:tc>
          <w:tcPr>
            <w:tcW w:w="2334" w:type="dxa"/>
            <w:vAlign w:val="center"/>
          </w:tcPr>
          <w:p>
            <w:pPr>
              <w:pStyle w:val="2"/>
              <w:widowControl/>
              <w:ind w:firstLine="0" w:firstLineChars="0"/>
              <w:rPr>
                <w:color w:val="000000"/>
                <w:kern w:val="0"/>
                <w:sz w:val="22"/>
              </w:rPr>
            </w:pPr>
            <w:r>
              <w:rPr>
                <w:color w:val="000000"/>
                <w:kern w:val="0"/>
                <w:sz w:val="22"/>
              </w:rPr>
              <w:t>碳足迹（</w:t>
            </w:r>
            <w:r>
              <w:rPr>
                <w:rFonts w:hint="eastAsia"/>
                <w:color w:val="000000"/>
                <w:kern w:val="0"/>
                <w:sz w:val="22"/>
              </w:rPr>
              <w:t xml:space="preserve">t </w:t>
            </w:r>
            <w:r>
              <w:rPr>
                <w:color w:val="000000"/>
                <w:kern w:val="0"/>
                <w:sz w:val="22"/>
              </w:rPr>
              <w:t>CO</w:t>
            </w:r>
            <w:r>
              <w:rPr>
                <w:color w:val="000000"/>
                <w:kern w:val="0"/>
                <w:sz w:val="22"/>
                <w:vertAlign w:val="subscript"/>
              </w:rPr>
              <w:t>2</w:t>
            </w:r>
            <w:r>
              <w:rPr>
                <w:color w:val="000000"/>
                <w:kern w:val="0"/>
                <w:sz w:val="22"/>
              </w:rPr>
              <w:t>e/</w:t>
            </w:r>
            <w:r>
              <w:rPr>
                <w:rFonts w:hint="eastAsia"/>
                <w:color w:val="000000"/>
                <w:kern w:val="0"/>
                <w:sz w:val="22"/>
              </w:rPr>
              <w:t>tMg</w:t>
            </w:r>
            <w:r>
              <w:rPr>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restart"/>
            <w:vAlign w:val="center"/>
          </w:tcPr>
          <w:p>
            <w:pPr>
              <w:pStyle w:val="2"/>
              <w:widowControl/>
              <w:ind w:firstLine="0" w:firstLineChars="0"/>
              <w:jc w:val="center"/>
              <w:rPr>
                <w:color w:val="000000"/>
                <w:kern w:val="0"/>
                <w:sz w:val="22"/>
              </w:rPr>
            </w:pPr>
            <w:r>
              <w:rPr>
                <w:color w:val="000000"/>
                <w:kern w:val="0"/>
                <w:sz w:val="22"/>
              </w:rPr>
              <w:t>原辅材料和能源获取</w:t>
            </w: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vAlign w:val="center"/>
          </w:tcPr>
          <w:p>
            <w:pPr>
              <w:pStyle w:val="2"/>
              <w:widowControl/>
              <w:ind w:firstLine="440"/>
              <w:jc w:val="center"/>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vAlign w:val="center"/>
          </w:tcPr>
          <w:p>
            <w:pPr>
              <w:pStyle w:val="2"/>
              <w:widowControl/>
              <w:ind w:firstLine="440"/>
              <w:jc w:val="center"/>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vAlign w:val="center"/>
          </w:tcPr>
          <w:p>
            <w:pPr>
              <w:pStyle w:val="2"/>
              <w:widowControl/>
              <w:ind w:firstLine="440"/>
              <w:jc w:val="center"/>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restart"/>
            <w:vAlign w:val="center"/>
          </w:tcPr>
          <w:p>
            <w:pPr>
              <w:pStyle w:val="2"/>
              <w:widowControl/>
              <w:ind w:firstLine="0" w:firstLineChars="0"/>
              <w:jc w:val="center"/>
              <w:rPr>
                <w:color w:val="000000"/>
                <w:kern w:val="0"/>
                <w:sz w:val="22"/>
              </w:rPr>
            </w:pPr>
            <w:r>
              <w:rPr>
                <w:color w:val="000000"/>
                <w:kern w:val="0"/>
                <w:sz w:val="22"/>
              </w:rPr>
              <w:t>产品生产</w:t>
            </w: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Merge w:val="continue"/>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1871" w:type="dxa"/>
          </w:tcPr>
          <w:p>
            <w:pPr>
              <w:pStyle w:val="2"/>
              <w:widowControl/>
              <w:ind w:firstLine="440"/>
              <w:jc w:val="left"/>
              <w:rPr>
                <w:color w:val="000000"/>
                <w:kern w:val="0"/>
                <w:sz w:val="22"/>
              </w:rPr>
            </w:pPr>
          </w:p>
        </w:tc>
        <w:tc>
          <w:tcPr>
            <w:tcW w:w="2334" w:type="dxa"/>
          </w:tcPr>
          <w:p>
            <w:pPr>
              <w:pStyle w:val="2"/>
              <w:widowControl/>
              <w:ind w:firstLine="440"/>
              <w:jc w:val="left"/>
              <w:rPr>
                <w:color w:val="000000"/>
                <w:kern w:val="0"/>
                <w:sz w:val="22"/>
              </w:rPr>
            </w:pPr>
          </w:p>
        </w:tc>
      </w:tr>
    </w:tbl>
    <w:p>
      <w:pPr>
        <w:widowControl/>
        <w:ind w:left="953" w:leftChars="454"/>
        <w:jc w:val="left"/>
        <w:rPr>
          <w:color w:val="000000"/>
          <w:kern w:val="0"/>
          <w:sz w:val="22"/>
        </w:rPr>
      </w:pPr>
    </w:p>
    <w:p>
      <w:pPr>
        <w:widowControl/>
        <w:ind w:left="953" w:leftChars="454"/>
        <w:jc w:val="left"/>
        <w:rPr>
          <w:color w:val="000000"/>
          <w:kern w:val="0"/>
          <w:sz w:val="22"/>
        </w:rPr>
      </w:pPr>
      <w:r>
        <w:rPr>
          <w:b/>
          <w:bCs/>
          <w:color w:val="000000"/>
          <w:kern w:val="0"/>
          <w:sz w:val="22"/>
        </w:rPr>
        <w:t>4、</w:t>
      </w:r>
      <w:r>
        <w:rPr>
          <w:color w:val="000000"/>
          <w:kern w:val="0"/>
          <w:sz w:val="22"/>
        </w:rPr>
        <w:t>数据质量评价（可选项）</w:t>
      </w:r>
      <w:r>
        <w:rPr>
          <w:color w:val="000000"/>
          <w:kern w:val="0"/>
          <w:sz w:val="22"/>
          <w:szCs w:val="22"/>
        </w:rPr>
        <w:br w:type="textWrapping"/>
      </w:r>
      <w:r>
        <w:rPr>
          <w:color w:val="000000"/>
          <w:kern w:val="0"/>
          <w:sz w:val="22"/>
        </w:rPr>
        <w:t>数据质量可从定性和定量两个方面对报告使用的初级数据和次级数据进行评价，具体评价内容包括：数据来源、完整性、数据代表性（时间、地理、技术）和准确性。</w:t>
      </w:r>
    </w:p>
    <w:p>
      <w:pPr>
        <w:pStyle w:val="2"/>
        <w:ind w:firstLine="0" w:firstLineChars="0"/>
      </w:pPr>
    </w:p>
    <w:p>
      <w:pPr>
        <w:pStyle w:val="2"/>
        <w:widowControl/>
        <w:numPr>
          <w:ilvl w:val="0"/>
          <w:numId w:val="30"/>
        </w:numPr>
        <w:ind w:firstLineChars="0"/>
        <w:jc w:val="left"/>
        <w:outlineLvl w:val="0"/>
        <w:rPr>
          <w:rFonts w:eastAsia="黑体"/>
          <w:kern w:val="0"/>
          <w:sz w:val="24"/>
        </w:rPr>
      </w:pPr>
      <w:bookmarkStart w:id="162" w:name="_Toc13508"/>
      <w:bookmarkStart w:id="163" w:name="_Toc15079"/>
      <w:r>
        <w:rPr>
          <w:rFonts w:eastAsia="黑体"/>
          <w:color w:val="000000"/>
          <w:kern w:val="0"/>
          <w:sz w:val="22"/>
          <w:szCs w:val="22"/>
        </w:rPr>
        <w:t>影响评价</w:t>
      </w:r>
      <w:bookmarkEnd w:id="162"/>
      <w:bookmarkEnd w:id="163"/>
    </w:p>
    <w:p>
      <w:pPr>
        <w:pStyle w:val="2"/>
        <w:widowControl/>
        <w:numPr>
          <w:ilvl w:val="0"/>
          <w:numId w:val="31"/>
        </w:numPr>
        <w:ind w:firstLineChars="0"/>
        <w:jc w:val="left"/>
        <w:outlineLvl w:val="1"/>
        <w:rPr>
          <w:color w:val="000000"/>
          <w:kern w:val="0"/>
          <w:sz w:val="22"/>
        </w:rPr>
      </w:pPr>
      <w:bookmarkStart w:id="164" w:name="_Toc15469"/>
      <w:bookmarkStart w:id="165" w:name="_Toc3342"/>
      <w:r>
        <w:rPr>
          <w:color w:val="000000"/>
          <w:kern w:val="0"/>
          <w:sz w:val="22"/>
        </w:rPr>
        <w:t>影响类型和特征化因子选择</w:t>
      </w:r>
      <w:bookmarkEnd w:id="164"/>
      <w:bookmarkEnd w:id="165"/>
    </w:p>
    <w:p>
      <w:pPr>
        <w:widowControl/>
        <w:ind w:firstLine="990" w:firstLineChars="450"/>
        <w:jc w:val="left"/>
        <w:rPr>
          <w:color w:val="000000"/>
          <w:kern w:val="0"/>
          <w:sz w:val="22"/>
        </w:rPr>
      </w:pPr>
      <w:r>
        <w:rPr>
          <w:color w:val="000000"/>
          <w:kern w:val="0"/>
          <w:sz w:val="22"/>
        </w:rPr>
        <w:t>选择政府间气候变化专门委员会（IPCC） 给出的100年全球变暖潜势（GWP）。</w:t>
      </w:r>
    </w:p>
    <w:p>
      <w:pPr>
        <w:widowControl/>
        <w:numPr>
          <w:ilvl w:val="0"/>
          <w:numId w:val="31"/>
        </w:numPr>
        <w:jc w:val="left"/>
        <w:outlineLvl w:val="1"/>
        <w:rPr>
          <w:color w:val="000000"/>
          <w:kern w:val="0"/>
          <w:sz w:val="22"/>
        </w:rPr>
      </w:pPr>
      <w:bookmarkStart w:id="166" w:name="_Toc19423"/>
      <w:bookmarkStart w:id="167" w:name="_Toc13229"/>
      <w:r>
        <w:rPr>
          <w:color w:val="000000"/>
          <w:kern w:val="0"/>
          <w:sz w:val="22"/>
        </w:rPr>
        <w:t>产品碳足迹结果计算</w:t>
      </w:r>
      <w:bookmarkEnd w:id="166"/>
      <w:bookmarkEnd w:id="167"/>
    </w:p>
    <w:p>
      <w:pPr>
        <w:pStyle w:val="2"/>
        <w:ind w:left="970" w:firstLine="0" w:firstLineChars="0"/>
      </w:pPr>
    </w:p>
    <w:p>
      <w:pPr>
        <w:pStyle w:val="2"/>
        <w:widowControl/>
        <w:numPr>
          <w:ilvl w:val="0"/>
          <w:numId w:val="30"/>
        </w:numPr>
        <w:ind w:firstLineChars="0"/>
        <w:jc w:val="left"/>
        <w:outlineLvl w:val="0"/>
        <w:rPr>
          <w:kern w:val="0"/>
          <w:sz w:val="24"/>
        </w:rPr>
      </w:pPr>
      <w:bookmarkStart w:id="168" w:name="_Toc9226"/>
      <w:bookmarkStart w:id="169" w:name="_Toc9646"/>
      <w:r>
        <w:rPr>
          <w:rFonts w:eastAsia="黑体"/>
          <w:color w:val="000000"/>
          <w:kern w:val="0"/>
          <w:sz w:val="22"/>
          <w:szCs w:val="22"/>
        </w:rPr>
        <w:t>结果解释</w:t>
      </w:r>
      <w:r>
        <w:rPr>
          <w:color w:val="000000"/>
          <w:kern w:val="0"/>
          <w:sz w:val="22"/>
          <w:szCs w:val="22"/>
        </w:rPr>
        <w:br w:type="textWrapping"/>
      </w:r>
      <w:r>
        <w:rPr>
          <w:b/>
          <w:bCs/>
          <w:color w:val="000000"/>
          <w:kern w:val="0"/>
          <w:sz w:val="22"/>
        </w:rPr>
        <w:t>1</w:t>
      </w:r>
      <w:r>
        <w:rPr>
          <w:color w:val="000000"/>
          <w:kern w:val="0"/>
          <w:sz w:val="22"/>
        </w:rPr>
        <w:t>、</w:t>
      </w:r>
      <w:r>
        <w:rPr>
          <w:color w:val="000000"/>
          <w:kern w:val="0"/>
          <w:sz w:val="22"/>
          <w:szCs w:val="22"/>
        </w:rPr>
        <w:t>结果说明</w:t>
      </w:r>
      <w:bookmarkEnd w:id="168"/>
      <w:bookmarkEnd w:id="169"/>
    </w:p>
    <w:p>
      <w:pPr>
        <w:pStyle w:val="2"/>
        <w:widowControl/>
        <w:ind w:left="786" w:firstLine="0" w:firstLineChars="0"/>
        <w:jc w:val="left"/>
        <w:rPr>
          <w:color w:val="000000"/>
          <w:kern w:val="0"/>
          <w:sz w:val="22"/>
        </w:rPr>
      </w:pPr>
      <w:r>
        <w:rPr>
          <w:color w:val="000000"/>
          <w:kern w:val="0"/>
          <w:sz w:val="22"/>
          <w:vertAlign w:val="subscript"/>
        </w:rPr>
        <w:t>——————</w:t>
      </w:r>
      <w:r>
        <w:rPr>
          <w:color w:val="000000"/>
          <w:kern w:val="0"/>
          <w:sz w:val="22"/>
        </w:rPr>
        <w:t>公司（填写产品生产者的全名）生产的</w:t>
      </w:r>
      <w:r>
        <w:rPr>
          <w:color w:val="000000"/>
          <w:kern w:val="0"/>
          <w:sz w:val="22"/>
          <w:vertAlign w:val="subscript"/>
        </w:rPr>
        <w:t>——————</w:t>
      </w:r>
      <w:r>
        <w:rPr>
          <w:color w:val="000000"/>
          <w:kern w:val="0"/>
          <w:sz w:val="22"/>
        </w:rPr>
        <w:t>（填写所评价的产品名称， 每功能单位的产品）， 从</w:t>
      </w:r>
      <w:r>
        <w:rPr>
          <w:color w:val="000000"/>
          <w:kern w:val="0"/>
          <w:sz w:val="22"/>
          <w:vertAlign w:val="subscript"/>
        </w:rPr>
        <w:t>——————</w:t>
      </w:r>
      <w:r>
        <w:rPr>
          <w:color w:val="000000"/>
          <w:kern w:val="0"/>
          <w:sz w:val="22"/>
        </w:rPr>
        <w:t>（填写某生命周期阶段）到</w:t>
      </w:r>
      <w:r>
        <w:rPr>
          <w:color w:val="000000"/>
          <w:kern w:val="0"/>
          <w:sz w:val="22"/>
          <w:vertAlign w:val="subscript"/>
        </w:rPr>
        <w:t>——————</w:t>
      </w:r>
      <w:r>
        <w:rPr>
          <w:color w:val="000000"/>
          <w:kern w:val="0"/>
          <w:sz w:val="22"/>
        </w:rPr>
        <w:t>（填写某生命周期阶段）生命周期碳足迹为</w:t>
      </w:r>
      <w:r>
        <w:rPr>
          <w:color w:val="000000"/>
          <w:kern w:val="0"/>
          <w:sz w:val="22"/>
          <w:vertAlign w:val="subscript"/>
        </w:rPr>
        <w:t>——————</w:t>
      </w:r>
      <w:r>
        <w:rPr>
          <w:color w:val="000000"/>
          <w:kern w:val="0"/>
          <w:sz w:val="22"/>
        </w:rPr>
        <w:t>kgCO</w:t>
      </w:r>
      <w:r>
        <w:rPr>
          <w:color w:val="000000"/>
          <w:kern w:val="0"/>
          <w:sz w:val="14"/>
        </w:rPr>
        <w:t>2</w:t>
      </w:r>
      <w:r>
        <w:rPr>
          <w:color w:val="000000"/>
          <w:kern w:val="0"/>
          <w:sz w:val="22"/>
        </w:rPr>
        <w:t>e。各生命周期阶段的温室气体排放情况如表2和图1所示。</w:t>
      </w:r>
    </w:p>
    <w:p>
      <w:pPr>
        <w:pStyle w:val="2"/>
        <w:widowControl/>
        <w:ind w:left="966" w:firstLine="440"/>
        <w:jc w:val="center"/>
        <w:rPr>
          <w:color w:val="000000"/>
          <w:kern w:val="0"/>
          <w:sz w:val="22"/>
        </w:rPr>
      </w:pPr>
    </w:p>
    <w:p>
      <w:pPr>
        <w:pStyle w:val="2"/>
        <w:widowControl/>
        <w:ind w:left="966" w:firstLine="440"/>
        <w:jc w:val="center"/>
        <w:rPr>
          <w:color w:val="000000"/>
          <w:kern w:val="0"/>
          <w:sz w:val="22"/>
        </w:rPr>
      </w:pPr>
      <w:r>
        <w:rPr>
          <w:color w:val="000000"/>
          <w:kern w:val="0"/>
          <w:sz w:val="22"/>
        </w:rPr>
        <w:t xml:space="preserve">表2 </w:t>
      </w:r>
      <w:r>
        <w:rPr>
          <w:rFonts w:hint="eastAsia"/>
          <w:color w:val="000000"/>
          <w:kern w:val="0"/>
          <w:sz w:val="22"/>
        </w:rPr>
        <w:t>原生镁锭</w:t>
      </w:r>
      <w:r>
        <w:rPr>
          <w:color w:val="000000"/>
          <w:kern w:val="0"/>
          <w:sz w:val="22"/>
        </w:rPr>
        <w:t>产品生命周期各阶段碳排放情况</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928"/>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Align w:val="center"/>
          </w:tcPr>
          <w:p>
            <w:pPr>
              <w:pStyle w:val="2"/>
              <w:widowControl/>
              <w:ind w:firstLine="440"/>
              <w:jc w:val="center"/>
              <w:rPr>
                <w:color w:val="000000"/>
                <w:kern w:val="0"/>
                <w:sz w:val="22"/>
              </w:rPr>
            </w:pPr>
            <w:r>
              <w:rPr>
                <w:color w:val="000000"/>
                <w:kern w:val="0"/>
                <w:sz w:val="22"/>
              </w:rPr>
              <w:t>生命周期阶段</w:t>
            </w:r>
          </w:p>
        </w:tc>
        <w:tc>
          <w:tcPr>
            <w:tcW w:w="1928" w:type="dxa"/>
            <w:vAlign w:val="center"/>
          </w:tcPr>
          <w:p>
            <w:pPr>
              <w:pStyle w:val="2"/>
              <w:widowControl/>
              <w:ind w:firstLine="440"/>
              <w:jc w:val="center"/>
              <w:rPr>
                <w:color w:val="000000"/>
                <w:kern w:val="0"/>
                <w:sz w:val="22"/>
              </w:rPr>
            </w:pPr>
            <w:r>
              <w:rPr>
                <w:color w:val="000000"/>
                <w:kern w:val="0"/>
                <w:sz w:val="22"/>
              </w:rPr>
              <w:t>碳足迹（kg CO</w:t>
            </w:r>
            <w:r>
              <w:rPr>
                <w:color w:val="000000"/>
                <w:kern w:val="0"/>
                <w:sz w:val="22"/>
                <w:vertAlign w:val="subscript"/>
              </w:rPr>
              <w:t>2</w:t>
            </w:r>
            <w:r>
              <w:rPr>
                <w:color w:val="000000"/>
                <w:kern w:val="0"/>
                <w:sz w:val="22"/>
              </w:rPr>
              <w:t>e/功能单位）</w:t>
            </w:r>
          </w:p>
        </w:tc>
        <w:tc>
          <w:tcPr>
            <w:tcW w:w="1928" w:type="dxa"/>
            <w:vAlign w:val="center"/>
          </w:tcPr>
          <w:p>
            <w:pPr>
              <w:pStyle w:val="2"/>
              <w:widowControl/>
              <w:ind w:firstLine="440"/>
              <w:jc w:val="center"/>
              <w:rPr>
                <w:color w:val="000000"/>
                <w:kern w:val="0"/>
                <w:sz w:val="22"/>
              </w:rPr>
            </w:pPr>
            <w:r>
              <w:rPr>
                <w:color w:val="000000"/>
                <w:kern w:val="0"/>
                <w:sz w:val="22"/>
              </w:rPr>
              <w:t>百分比（%）</w:t>
            </w:r>
          </w:p>
        </w:tc>
        <w:tc>
          <w:tcPr>
            <w:tcW w:w="1928" w:type="dxa"/>
            <w:vAlign w:val="center"/>
          </w:tcPr>
          <w:p>
            <w:pPr>
              <w:pStyle w:val="2"/>
              <w:widowControl/>
              <w:ind w:firstLine="0" w:firstLineChars="0"/>
              <w:jc w:val="center"/>
              <w:rPr>
                <w:color w:val="000000"/>
                <w:kern w:val="0"/>
                <w:sz w:val="22"/>
              </w:rPr>
            </w:pPr>
            <w:r>
              <w:rPr>
                <w:color w:val="000000"/>
                <w:kern w:val="0"/>
                <w:sz w:val="22"/>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restart"/>
            <w:vAlign w:val="center"/>
          </w:tcPr>
          <w:p>
            <w:pPr>
              <w:pStyle w:val="2"/>
              <w:widowControl/>
              <w:ind w:firstLine="0" w:firstLineChars="0"/>
              <w:jc w:val="center"/>
              <w:rPr>
                <w:color w:val="000000"/>
                <w:kern w:val="0"/>
                <w:sz w:val="22"/>
              </w:rPr>
            </w:pPr>
            <w:r>
              <w:rPr>
                <w:color w:val="000000"/>
                <w:kern w:val="0"/>
                <w:sz w:val="22"/>
              </w:rPr>
              <w:t>原辅材料和能源获取</w:t>
            </w: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vAlign w:val="center"/>
          </w:tcPr>
          <w:p>
            <w:pPr>
              <w:pStyle w:val="2"/>
              <w:widowControl/>
              <w:ind w:firstLine="440"/>
              <w:jc w:val="center"/>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vAlign w:val="center"/>
          </w:tcPr>
          <w:p>
            <w:pPr>
              <w:pStyle w:val="2"/>
              <w:widowControl/>
              <w:ind w:firstLine="440"/>
              <w:jc w:val="center"/>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vAlign w:val="center"/>
          </w:tcPr>
          <w:p>
            <w:pPr>
              <w:pStyle w:val="2"/>
              <w:widowControl/>
              <w:ind w:firstLine="440"/>
              <w:jc w:val="center"/>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restart"/>
            <w:vAlign w:val="center"/>
          </w:tcPr>
          <w:p>
            <w:pPr>
              <w:pStyle w:val="2"/>
              <w:widowControl/>
              <w:ind w:firstLine="0" w:firstLineChars="0"/>
              <w:jc w:val="center"/>
              <w:rPr>
                <w:color w:val="000000"/>
                <w:kern w:val="0"/>
                <w:sz w:val="22"/>
              </w:rPr>
            </w:pPr>
            <w:r>
              <w:rPr>
                <w:color w:val="000000"/>
                <w:kern w:val="0"/>
                <w:sz w:val="22"/>
              </w:rPr>
              <w:t>产品生产</w:t>
            </w: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Merge w:val="continue"/>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c>
          <w:tcPr>
            <w:tcW w:w="1928" w:type="dxa"/>
          </w:tcPr>
          <w:p>
            <w:pPr>
              <w:pStyle w:val="2"/>
              <w:widowControl/>
              <w:ind w:firstLine="440"/>
              <w:jc w:val="left"/>
              <w:rPr>
                <w:color w:val="000000"/>
                <w:kern w:val="0"/>
                <w:sz w:val="22"/>
              </w:rPr>
            </w:pPr>
          </w:p>
        </w:tc>
      </w:tr>
    </w:tbl>
    <w:p>
      <w:pPr>
        <w:pStyle w:val="2"/>
        <w:widowControl/>
        <w:ind w:left="966" w:firstLine="440"/>
        <w:rPr>
          <w:color w:val="000000"/>
          <w:kern w:val="0"/>
          <w:sz w:val="22"/>
        </w:rPr>
      </w:pPr>
    </w:p>
    <w:p>
      <w:pPr>
        <w:pStyle w:val="2"/>
        <w:widowControl/>
        <w:ind w:left="966" w:firstLine="440"/>
        <w:jc w:val="center"/>
        <w:rPr>
          <w:color w:val="000000"/>
          <w:kern w:val="0"/>
          <w:sz w:val="22"/>
        </w:rPr>
      </w:pPr>
    </w:p>
    <w:p>
      <w:pPr>
        <w:pStyle w:val="2"/>
        <w:widowControl/>
        <w:ind w:left="966" w:firstLine="440"/>
        <w:jc w:val="center"/>
        <w:rPr>
          <w:color w:val="000000"/>
          <w:kern w:val="0"/>
          <w:sz w:val="22"/>
        </w:rPr>
      </w:pPr>
    </w:p>
    <w:p>
      <w:pPr>
        <w:pStyle w:val="2"/>
        <w:widowControl/>
        <w:ind w:left="966" w:firstLine="440"/>
        <w:jc w:val="center"/>
        <w:rPr>
          <w:color w:val="000000"/>
          <w:kern w:val="0"/>
          <w:sz w:val="22"/>
        </w:rPr>
      </w:pPr>
    </w:p>
    <w:p>
      <w:pPr>
        <w:pStyle w:val="2"/>
        <w:widowControl/>
        <w:ind w:left="966" w:firstLine="440"/>
        <w:jc w:val="center"/>
        <w:rPr>
          <w:color w:val="000000"/>
          <w:kern w:val="0"/>
          <w:sz w:val="22"/>
        </w:rPr>
      </w:pPr>
      <w:r>
        <w:rPr>
          <w:color w:val="000000"/>
          <w:kern w:val="0"/>
          <w:sz w:val="22"/>
        </w:rPr>
        <w:t xml:space="preserve">图 1 </w:t>
      </w:r>
      <w:r>
        <w:rPr>
          <w:rFonts w:hint="eastAsia"/>
          <w:color w:val="000000"/>
          <w:kern w:val="0"/>
          <w:sz w:val="22"/>
        </w:rPr>
        <w:t>原生镁锭</w:t>
      </w:r>
      <w:r>
        <w:rPr>
          <w:color w:val="000000"/>
          <w:kern w:val="0"/>
          <w:sz w:val="22"/>
        </w:rPr>
        <w:t>产品各生命周期阶段碳排放分布图（饼状图或柱形图）</w:t>
      </w:r>
    </w:p>
    <w:p>
      <w:pPr>
        <w:pStyle w:val="2"/>
        <w:widowControl/>
        <w:ind w:firstLine="1320" w:firstLineChars="600"/>
        <w:rPr>
          <w:color w:val="000000"/>
          <w:kern w:val="0"/>
          <w:sz w:val="22"/>
        </w:rPr>
      </w:pPr>
    </w:p>
    <w:p>
      <w:pPr>
        <w:widowControl/>
        <w:ind w:left="1111" w:leftChars="365" w:hanging="345" w:hangingChars="157"/>
        <w:jc w:val="left"/>
        <w:rPr>
          <w:color w:val="000000"/>
          <w:kern w:val="0"/>
          <w:sz w:val="22"/>
          <w:szCs w:val="22"/>
        </w:rPr>
      </w:pPr>
      <w:r>
        <w:rPr>
          <w:b/>
          <w:bCs/>
          <w:color w:val="000000"/>
          <w:kern w:val="0"/>
          <w:sz w:val="22"/>
        </w:rPr>
        <w:t>2</w:t>
      </w:r>
      <w:r>
        <w:rPr>
          <w:color w:val="000000"/>
          <w:kern w:val="0"/>
          <w:sz w:val="22"/>
        </w:rPr>
        <w:t>、</w:t>
      </w:r>
      <w:r>
        <w:rPr>
          <w:b/>
          <w:bCs/>
          <w:color w:val="000000"/>
          <w:kern w:val="0"/>
          <w:sz w:val="22"/>
          <w:szCs w:val="22"/>
        </w:rPr>
        <w:t xml:space="preserve"> </w:t>
      </w:r>
      <w:r>
        <w:rPr>
          <w:color w:val="000000"/>
          <w:kern w:val="0"/>
          <w:sz w:val="22"/>
          <w:szCs w:val="22"/>
        </w:rPr>
        <w:t>假设和局限性说明（可选项）</w:t>
      </w:r>
      <w:r>
        <w:rPr>
          <w:color w:val="000000"/>
          <w:kern w:val="0"/>
          <w:sz w:val="22"/>
          <w:szCs w:val="22"/>
        </w:rPr>
        <w:br w:type="textWrapping"/>
      </w:r>
      <w:r>
        <w:rPr>
          <w:color w:val="000000"/>
          <w:kern w:val="0"/>
          <w:sz w:val="22"/>
          <w:szCs w:val="22"/>
        </w:rPr>
        <w:t>结合量化情况，对范围、数据选择、情景设定等相关的假设和局限进行说明。</w:t>
      </w:r>
    </w:p>
    <w:p>
      <w:pPr>
        <w:widowControl/>
        <w:ind w:left="1111" w:leftChars="365" w:hanging="345" w:hangingChars="157"/>
        <w:jc w:val="left"/>
        <w:rPr>
          <w:rFonts w:ascii="宋体" w:hAnsi="宋体" w:cs="宋体"/>
          <w:color w:val="000000"/>
          <w:kern w:val="0"/>
          <w:sz w:val="22"/>
          <w:szCs w:val="22"/>
        </w:rPr>
      </w:pPr>
      <w:r>
        <w:rPr>
          <w:b/>
          <w:bCs/>
          <w:color w:val="000000"/>
          <w:kern w:val="0"/>
          <w:sz w:val="22"/>
        </w:rPr>
        <w:t>3</w:t>
      </w:r>
      <w:r>
        <w:rPr>
          <w:color w:val="000000"/>
          <w:kern w:val="0"/>
          <w:sz w:val="22"/>
        </w:rPr>
        <w:t>、</w:t>
      </w:r>
      <w:r>
        <w:rPr>
          <w:b/>
          <w:bCs/>
          <w:color w:val="000000"/>
          <w:kern w:val="0"/>
          <w:sz w:val="22"/>
          <w:szCs w:val="22"/>
        </w:rPr>
        <w:t xml:space="preserve"> </w:t>
      </w:r>
      <w:r>
        <w:rPr>
          <w:color w:val="000000"/>
          <w:kern w:val="0"/>
          <w:sz w:val="22"/>
          <w:szCs w:val="22"/>
        </w:rPr>
        <w:t>改进建议</w:t>
      </w:r>
    </w:p>
    <w:p>
      <w:pPr>
        <w:pStyle w:val="2"/>
        <w:widowControl/>
        <w:ind w:left="786" w:firstLine="0" w:firstLineChars="0"/>
        <w:jc w:val="left"/>
        <w:rPr>
          <w:rFonts w:ascii="宋体" w:hAnsi="宋体" w:cs="宋体"/>
          <w:kern w:val="0"/>
          <w:sz w:val="24"/>
        </w:rPr>
      </w:pPr>
    </w:p>
    <w:p>
      <w:pPr>
        <w:spacing w:line="360" w:lineRule="auto"/>
        <w:jc w:val="center"/>
        <w:rPr>
          <w:rFonts w:ascii="黑体" w:hAnsi="黑体" w:eastAsia="黑体"/>
          <w:b/>
          <w:szCs w:val="21"/>
        </w:rPr>
      </w:pPr>
    </w:p>
    <w:p>
      <w:pPr>
        <w:pageBreakBefore/>
        <w:spacing w:line="360" w:lineRule="auto"/>
        <w:jc w:val="center"/>
        <w:outlineLvl w:val="0"/>
        <w:rPr>
          <w:rFonts w:ascii="黑体" w:hAnsi="黑体" w:eastAsia="黑体"/>
          <w:b/>
          <w:szCs w:val="21"/>
        </w:rPr>
      </w:pPr>
      <w:bookmarkStart w:id="170" w:name="_Toc3640"/>
      <w:r>
        <w:rPr>
          <w:rFonts w:hint="eastAsia" w:ascii="黑体" w:hAnsi="黑体" w:eastAsia="黑体"/>
          <w:b/>
          <w:szCs w:val="21"/>
        </w:rPr>
        <w:t>参考文献</w:t>
      </w:r>
      <w:bookmarkEnd w:id="170"/>
    </w:p>
    <w:p>
      <w:pPr>
        <w:pStyle w:val="80"/>
        <w:numPr>
          <w:ilvl w:val="0"/>
          <w:numId w:val="32"/>
        </w:numPr>
        <w:ind w:firstLine="420"/>
        <w:contextualSpacing/>
        <w:rPr>
          <w:rFonts w:ascii="Times New Roman"/>
          <w:szCs w:val="21"/>
        </w:rPr>
      </w:pPr>
      <w:r>
        <w:rPr>
          <w:rFonts w:hint="eastAsia"/>
          <w:szCs w:val="21"/>
        </w:rPr>
        <w:t>GB/T 51366-2019 建筑碳排放计算标准</w:t>
      </w:r>
    </w:p>
    <w:p>
      <w:pPr>
        <w:pStyle w:val="80"/>
        <w:numPr>
          <w:ilvl w:val="0"/>
          <w:numId w:val="32"/>
        </w:numPr>
        <w:ind w:firstLine="420"/>
        <w:contextualSpacing/>
        <w:rPr>
          <w:rFonts w:ascii="Times New Roman"/>
          <w:szCs w:val="21"/>
        </w:rPr>
      </w:pPr>
      <w:r>
        <w:rPr>
          <w:rFonts w:ascii="Times New Roman"/>
          <w:szCs w:val="21"/>
        </w:rPr>
        <w:t>G</w:t>
      </w:r>
      <w:r>
        <w:rPr>
          <w:rFonts w:hint="eastAsia" w:ascii="Times New Roman"/>
          <w:szCs w:val="21"/>
        </w:rPr>
        <w:t xml:space="preserve">ood practice guidance for calculation of primary aluminium and precursor product carbon footprints </w:t>
      </w:r>
      <w:r>
        <w:rPr>
          <w:rFonts w:ascii="Times New Roman"/>
          <w:szCs w:val="21"/>
        </w:rPr>
        <w:t>–</w:t>
      </w:r>
      <w:r>
        <w:rPr>
          <w:rFonts w:hint="eastAsia" w:ascii="Times New Roman"/>
          <w:szCs w:val="21"/>
        </w:rPr>
        <w:t xml:space="preserve"> Aluminium carbon footprint good practice guidance v2.0.</w:t>
      </w:r>
    </w:p>
    <w:p>
      <w:pPr>
        <w:pStyle w:val="80"/>
        <w:numPr>
          <w:ilvl w:val="0"/>
          <w:numId w:val="32"/>
        </w:numPr>
        <w:ind w:firstLine="420"/>
        <w:contextualSpacing/>
        <w:rPr>
          <w:rFonts w:ascii="Times New Roman"/>
          <w:szCs w:val="21"/>
        </w:rPr>
      </w:pPr>
      <w:r>
        <w:rPr>
          <w:rFonts w:ascii="Times New Roman"/>
          <w:szCs w:val="21"/>
        </w:rPr>
        <w:t>ISO 14026:2017 Environmental labels and declarations - Principles, requirements and guidelines for communication of footprint information</w:t>
      </w:r>
      <w:r>
        <w:rPr>
          <w:rFonts w:hint="eastAsia" w:ascii="Times New Roman"/>
          <w:szCs w:val="21"/>
        </w:rPr>
        <w:t>.</w:t>
      </w:r>
    </w:p>
    <w:p>
      <w:pPr>
        <w:pStyle w:val="80"/>
        <w:numPr>
          <w:ilvl w:val="0"/>
          <w:numId w:val="32"/>
        </w:numPr>
        <w:ind w:firstLine="420"/>
        <w:contextualSpacing/>
        <w:rPr>
          <w:rFonts w:ascii="Times New Roman"/>
          <w:szCs w:val="21"/>
        </w:rPr>
      </w:pPr>
      <w:r>
        <w:rPr>
          <w:rFonts w:hint="eastAsia" w:ascii="Times New Roman"/>
          <w:szCs w:val="21"/>
        </w:rPr>
        <w:t xml:space="preserve">ISO/TS 14027:2017 </w:t>
      </w:r>
      <w:r>
        <w:rPr>
          <w:rFonts w:ascii="Times New Roman"/>
          <w:szCs w:val="21"/>
        </w:rPr>
        <w:t xml:space="preserve">Environmental labels and declarations - </w:t>
      </w:r>
      <w:r>
        <w:rPr>
          <w:rFonts w:hint="eastAsia" w:ascii="Times New Roman"/>
          <w:szCs w:val="21"/>
        </w:rPr>
        <w:t>Development of product category rules.</w:t>
      </w:r>
    </w:p>
    <w:p>
      <w:pPr>
        <w:pStyle w:val="80"/>
        <w:numPr>
          <w:ilvl w:val="0"/>
          <w:numId w:val="32"/>
        </w:numPr>
        <w:ind w:firstLine="420"/>
        <w:contextualSpacing/>
        <w:rPr>
          <w:rFonts w:ascii="Times New Roman"/>
          <w:szCs w:val="21"/>
        </w:rPr>
      </w:pPr>
      <w:r>
        <w:rPr>
          <w:rFonts w:hint="eastAsia" w:ascii="Times New Roman"/>
          <w:szCs w:val="21"/>
        </w:rPr>
        <w:t>ISO/TS 14067:2018 Greenhouse gases-Carbon footprint of products-Requirements and guidelines for quantification and communication.</w:t>
      </w:r>
    </w:p>
    <w:p>
      <w:pPr>
        <w:pStyle w:val="80"/>
        <w:numPr>
          <w:ilvl w:val="0"/>
          <w:numId w:val="32"/>
        </w:numPr>
        <w:ind w:firstLine="420"/>
        <w:contextualSpacing/>
        <w:rPr>
          <w:rFonts w:ascii="Times New Roman"/>
          <w:szCs w:val="21"/>
        </w:rPr>
      </w:pPr>
      <w:r>
        <w:rPr>
          <w:rFonts w:hint="eastAsia" w:ascii="Times New Roman"/>
          <w:szCs w:val="21"/>
        </w:rPr>
        <w:t>The aluminium sector greenhouse gas protocol – greenhouse gas emissions monitoring and reporting by the aluminium industry .</w:t>
      </w:r>
    </w:p>
    <w:p>
      <w:pPr>
        <w:pStyle w:val="80"/>
        <w:numPr>
          <w:ilvl w:val="0"/>
          <w:numId w:val="32"/>
        </w:numPr>
        <w:ind w:firstLine="420"/>
        <w:contextualSpacing/>
        <w:rPr>
          <w:rFonts w:ascii="Times New Roman"/>
          <w:szCs w:val="21"/>
        </w:rPr>
      </w:pPr>
      <w:r>
        <w:rPr>
          <w:rFonts w:hint="eastAsia" w:ascii="Times New Roman"/>
          <w:szCs w:val="21"/>
        </w:rPr>
        <w:t>PAS 2050:2008  Specification for the assessment of the life cycle greenhouse emissions of goods and services.</w:t>
      </w:r>
    </w:p>
    <w:p>
      <w:pPr>
        <w:pStyle w:val="80"/>
        <w:numPr>
          <w:ilvl w:val="0"/>
          <w:numId w:val="32"/>
        </w:numPr>
        <w:ind w:firstLine="420"/>
        <w:contextualSpacing/>
        <w:rPr>
          <w:rFonts w:ascii="Times New Roman"/>
          <w:szCs w:val="21"/>
        </w:rPr>
      </w:pPr>
      <w:r>
        <w:rPr>
          <w:rFonts w:ascii="Times New Roman"/>
          <w:color w:val="000000"/>
          <w:szCs w:val="21"/>
          <w:lang w:bidi="ar"/>
        </w:rPr>
        <w:t>ISO 21930:2017 Sustainability in buildings and civil engineering works — Core rules for environmental product declarations of construction products and service</w:t>
      </w:r>
      <w:r>
        <w:rPr>
          <w:rFonts w:hint="eastAsia" w:ascii="Times New Roman"/>
          <w:color w:val="000000"/>
          <w:szCs w:val="21"/>
          <w:lang w:bidi="ar"/>
        </w:rPr>
        <w:t>s.</w:t>
      </w:r>
    </w:p>
    <w:p>
      <w:pPr>
        <w:pStyle w:val="80"/>
        <w:numPr>
          <w:ilvl w:val="0"/>
          <w:numId w:val="32"/>
        </w:numPr>
        <w:ind w:firstLine="420"/>
        <w:contextualSpacing/>
        <w:rPr>
          <w:rFonts w:ascii="Times New Roman"/>
          <w:szCs w:val="21"/>
        </w:rPr>
      </w:pPr>
      <w:r>
        <w:rPr>
          <w:rFonts w:ascii="Times New Roman"/>
          <w:color w:val="000000"/>
          <w:szCs w:val="21"/>
          <w:lang w:bidi="ar"/>
        </w:rPr>
        <w:t xml:space="preserve">WRI </w:t>
      </w:r>
      <w:r>
        <w:rPr>
          <w:rFonts w:hint="eastAsia" w:hAnsi="宋体" w:cs="宋体"/>
          <w:color w:val="000000"/>
          <w:szCs w:val="21"/>
          <w:lang w:bidi="ar"/>
        </w:rPr>
        <w:t xml:space="preserve">和 </w:t>
      </w:r>
      <w:r>
        <w:rPr>
          <w:rFonts w:ascii="Times New Roman"/>
          <w:color w:val="000000"/>
          <w:szCs w:val="21"/>
          <w:lang w:bidi="ar"/>
        </w:rPr>
        <w:t>WBCSD</w:t>
      </w:r>
      <w:r>
        <w:rPr>
          <w:rFonts w:hint="eastAsia" w:hAnsi="宋体" w:cs="宋体"/>
          <w:color w:val="000000"/>
          <w:szCs w:val="21"/>
          <w:lang w:bidi="ar"/>
        </w:rPr>
        <w:t>《温室气体议定书：产品寿命周期核算与报告标准》，</w:t>
      </w:r>
      <w:r>
        <w:rPr>
          <w:rFonts w:ascii="Times New Roman"/>
          <w:color w:val="000000"/>
          <w:szCs w:val="21"/>
          <w:lang w:bidi="ar"/>
        </w:rPr>
        <w:t xml:space="preserve"> </w:t>
      </w:r>
      <w:r>
        <w:rPr>
          <w:rFonts w:hint="eastAsia" w:hAnsi="宋体" w:cs="宋体"/>
          <w:color w:val="000000"/>
          <w:szCs w:val="21"/>
          <w:lang w:bidi="ar"/>
        </w:rPr>
        <w:t>世界资源研究所和世界可持续发展工商理事会，2</w:t>
      </w:r>
      <w:r>
        <w:rPr>
          <w:rFonts w:ascii="Times New Roman"/>
          <w:color w:val="000000"/>
          <w:szCs w:val="21"/>
          <w:lang w:bidi="ar"/>
        </w:rPr>
        <w:t>011</w:t>
      </w:r>
      <w:r>
        <w:rPr>
          <w:rFonts w:hint="eastAsia" w:ascii="Times New Roman"/>
          <w:color w:val="000000"/>
          <w:szCs w:val="21"/>
          <w:lang w:bidi="ar"/>
        </w:rPr>
        <w:t>年</w:t>
      </w:r>
    </w:p>
    <w:p>
      <w:pPr>
        <w:pStyle w:val="80"/>
        <w:numPr>
          <w:ilvl w:val="0"/>
          <w:numId w:val="32"/>
        </w:numPr>
        <w:ind w:firstLine="420"/>
        <w:contextualSpacing/>
        <w:rPr>
          <w:rFonts w:ascii="Times New Roman"/>
          <w:szCs w:val="21"/>
        </w:rPr>
      </w:pPr>
      <w:r>
        <w:rPr>
          <w:rFonts w:ascii="Times New Roman"/>
          <w:color w:val="000000"/>
          <w:szCs w:val="21"/>
          <w:lang w:bidi="ar"/>
        </w:rPr>
        <w:t>IPCC</w:t>
      </w:r>
      <w:r>
        <w:rPr>
          <w:rFonts w:hint="eastAsia" w:hAnsi="宋体" w:cs="宋体"/>
          <w:color w:val="000000"/>
          <w:szCs w:val="21"/>
          <w:lang w:bidi="ar"/>
        </w:rPr>
        <w:t>《</w:t>
      </w:r>
      <w:r>
        <w:rPr>
          <w:rFonts w:ascii="Times New Roman"/>
          <w:color w:val="000000"/>
          <w:szCs w:val="21"/>
          <w:lang w:bidi="ar"/>
        </w:rPr>
        <w:t xml:space="preserve">2006 </w:t>
      </w:r>
      <w:r>
        <w:rPr>
          <w:rFonts w:hint="eastAsia" w:hAnsi="宋体" w:cs="宋体"/>
          <w:color w:val="000000"/>
          <w:szCs w:val="21"/>
          <w:lang w:bidi="ar"/>
        </w:rPr>
        <w:t xml:space="preserve">年 </w:t>
      </w:r>
      <w:r>
        <w:rPr>
          <w:rFonts w:ascii="Times New Roman"/>
          <w:color w:val="000000"/>
          <w:szCs w:val="21"/>
          <w:lang w:bidi="ar"/>
        </w:rPr>
        <w:t xml:space="preserve">IPCC </w:t>
      </w:r>
      <w:r>
        <w:rPr>
          <w:rFonts w:hint="eastAsia" w:hAnsi="宋体" w:cs="宋体"/>
          <w:color w:val="000000"/>
          <w:szCs w:val="21"/>
          <w:lang w:bidi="ar"/>
        </w:rPr>
        <w:t xml:space="preserve">国家温室气体清单指南》，由国家温室气体清单计划 </w:t>
      </w:r>
      <w:r>
        <w:rPr>
          <w:rFonts w:ascii="Times New Roman"/>
          <w:color w:val="000000"/>
          <w:szCs w:val="21"/>
          <w:lang w:bidi="ar"/>
        </w:rPr>
        <w:t xml:space="preserve">Eggleston H.S., Buendia L., Miwa K., Ngara T. and Tanabe K. (eds) </w:t>
      </w:r>
      <w:r>
        <w:rPr>
          <w:rFonts w:hint="eastAsia" w:hAnsi="宋体" w:cs="宋体"/>
          <w:color w:val="000000"/>
          <w:szCs w:val="21"/>
          <w:lang w:bidi="ar"/>
        </w:rPr>
        <w:t>编制，</w:t>
      </w:r>
      <w:r>
        <w:rPr>
          <w:rFonts w:ascii="Times New Roman"/>
          <w:color w:val="000000"/>
          <w:szCs w:val="21"/>
          <w:lang w:bidi="ar"/>
        </w:rPr>
        <w:t xml:space="preserve"> IGES</w:t>
      </w:r>
      <w:r>
        <w:rPr>
          <w:rFonts w:hint="eastAsia" w:ascii="Times New Roman"/>
          <w:color w:val="000000"/>
          <w:szCs w:val="21"/>
          <w:lang w:bidi="ar"/>
        </w:rPr>
        <w:t>，</w:t>
      </w:r>
      <w:r>
        <w:rPr>
          <w:rFonts w:ascii="Times New Roman"/>
          <w:color w:val="000000"/>
          <w:szCs w:val="21"/>
          <w:lang w:bidi="ar"/>
        </w:rPr>
        <w:t xml:space="preserve"> </w:t>
      </w:r>
      <w:r>
        <w:rPr>
          <w:rFonts w:hint="eastAsia" w:hAnsi="宋体" w:cs="宋体"/>
          <w:color w:val="000000"/>
          <w:szCs w:val="21"/>
          <w:lang w:bidi="ar"/>
        </w:rPr>
        <w:t>日本，</w:t>
      </w:r>
      <w:r>
        <w:rPr>
          <w:rFonts w:ascii="Times New Roman"/>
          <w:color w:val="000000"/>
          <w:szCs w:val="21"/>
          <w:lang w:bidi="ar"/>
        </w:rPr>
        <w:t xml:space="preserve"> 2006</w:t>
      </w:r>
      <w:r>
        <w:rPr>
          <w:rFonts w:hint="eastAsia" w:ascii="Times New Roman"/>
          <w:color w:val="000000"/>
          <w:szCs w:val="21"/>
          <w:lang w:bidi="ar"/>
        </w:rPr>
        <w:t>年</w:t>
      </w:r>
    </w:p>
    <w:p>
      <w:pPr>
        <w:pStyle w:val="80"/>
        <w:ind w:firstLine="420"/>
        <w:contextualSpacing/>
        <w:rPr>
          <w:rFonts w:ascii="Times New Roman"/>
          <w:szCs w:val="21"/>
        </w:rPr>
      </w:pPr>
      <w:r>
        <w:rPr>
          <w:rFonts w:hint="eastAsia" w:ascii="Times New Roman"/>
          <w:szCs w:val="21"/>
        </w:rPr>
        <w:t xml:space="preserve">   </w:t>
      </w:r>
    </w:p>
    <w:p>
      <w:pPr>
        <w:pStyle w:val="80"/>
        <w:ind w:firstLine="420"/>
        <w:contextualSpacing/>
        <w:rPr>
          <w:rFonts w:ascii="Times New Roman"/>
          <w:szCs w:val="21"/>
        </w:rPr>
      </w:pPr>
    </w:p>
    <w:bookmarkEnd w:id="6"/>
    <w:p>
      <w:pPr>
        <w:spacing w:line="360" w:lineRule="auto"/>
        <w:rPr>
          <w:rFonts w:ascii="黑体" w:hAnsi="黑体" w:eastAsia="黑体"/>
          <w:b/>
          <w:szCs w:val="21"/>
        </w:rPr>
      </w:pPr>
    </w:p>
    <w:p>
      <w:pPr>
        <w:pStyle w:val="2"/>
        <w:rPr>
          <w:rFonts w:ascii="黑体" w:hAnsi="黑体" w:eastAsia="黑体"/>
          <w:b/>
          <w:szCs w:val="21"/>
        </w:rPr>
      </w:pPr>
      <w:r>
        <mc:AlternateContent>
          <mc:Choice Requires="wps">
            <w:drawing>
              <wp:anchor distT="0" distB="0" distL="114300" distR="114300" simplePos="0" relativeHeight="251660288" behindDoc="0" locked="0" layoutInCell="1" allowOverlap="1">
                <wp:simplePos x="0" y="0"/>
                <wp:positionH relativeFrom="column">
                  <wp:posOffset>1381760</wp:posOffset>
                </wp:positionH>
                <wp:positionV relativeFrom="paragraph">
                  <wp:posOffset>193675</wp:posOffset>
                </wp:positionV>
                <wp:extent cx="3065780" cy="635"/>
                <wp:effectExtent l="0" t="0" r="0" b="0"/>
                <wp:wrapNone/>
                <wp:docPr id="2" name="直线 2"/>
                <wp:cNvGraphicFramePr/>
                <a:graphic xmlns:a="http://schemas.openxmlformats.org/drawingml/2006/main">
                  <a:graphicData uri="http://schemas.microsoft.com/office/word/2010/wordprocessingShape">
                    <wps:wsp>
                      <wps:cNvCnPr/>
                      <wps:spPr>
                        <a:xfrm>
                          <a:off x="0" y="0"/>
                          <a:ext cx="306578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8.8pt;margin-top:15.25pt;height:0.05pt;width:241.4pt;z-index:251660288;mso-width-relative:page;mso-height-relative:page;" filled="f" stroked="t" coordsize="21600,21600" o:gfxdata="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u&#10;pFbYAAAACQEAAA8AAAAAAAAAAQAgAAAAIgAAAGRycy9kb3ducmV2LnhtbFBLAQIUABQAAAAIAIdO&#10;4kDUP3Kg6gEAAN4DAAAOAAAAAAAAAAEAIAAAACcBAABkcnMvZTJvRG9jLnhtbFBLBQYAAAAABgAG&#10;AFkBAACDBQAAAAA=&#10;">
                <v:fill on="f" focussize="0,0"/>
                <v:stroke weight="1.25pt" color="#000000" joinstyle="round"/>
                <v:imagedata o:title=""/>
                <o:lock v:ext="edit" aspectratio="f"/>
              </v:line>
            </w:pict>
          </mc:Fallback>
        </mc:AlternateContent>
      </w: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428"/>
        <w:rPr>
          <w:rFonts w:ascii="黑体" w:hAnsi="黑体" w:eastAsia="黑体"/>
          <w:b/>
          <w:szCs w:val="21"/>
        </w:rPr>
      </w:pPr>
    </w:p>
    <w:p>
      <w:pPr>
        <w:pStyle w:val="2"/>
        <w:ind w:firstLine="0" w:firstLineChars="0"/>
      </w:pPr>
    </w:p>
    <w:sectPr>
      <w:headerReference r:id="rId7" w:type="default"/>
      <w:footerReference r:id="rId9" w:type="default"/>
      <w:headerReference r:id="rId8" w:type="even"/>
      <w:footerReference r:id="rId10" w:type="even"/>
      <w:pgSz w:w="11907" w:h="16839"/>
      <w:pgMar w:top="1418" w:right="1134" w:bottom="1418" w:left="1418" w:header="1134" w:footer="113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B06040202020202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仿宋_GB2312">
    <w:altName w:val="仿宋"/>
    <w:panose1 w:val="020B0604020202020204"/>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rPr>
        <w:rStyle w:val="62"/>
      </w:rP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57785" cy="207645"/>
              <wp:effectExtent l="0" t="0" r="0" b="0"/>
              <wp:wrapNone/>
              <wp:docPr id="24" name="文本框 3"/>
              <wp:cNvGraphicFramePr/>
              <a:graphic xmlns:a="http://schemas.openxmlformats.org/drawingml/2006/main">
                <a:graphicData uri="http://schemas.microsoft.com/office/word/2010/wordprocessingShape">
                  <wps:wsp>
                    <wps:cNvSpPr txBox="1"/>
                    <wps:spPr>
                      <a:xfrm>
                        <a:off x="0" y="0"/>
                        <a:ext cx="57785" cy="207645"/>
                      </a:xfrm>
                      <a:prstGeom prst="rect">
                        <a:avLst/>
                      </a:prstGeom>
                      <a:noFill/>
                      <a:ln w="15875">
                        <a:noFill/>
                      </a:ln>
                    </wps:spPr>
                    <wps:txbx>
                      <w:txbxContent>
                        <w:p>
                          <w:pPr>
                            <w:pStyle w:val="119"/>
                          </w:pPr>
                          <w:r>
                            <w:rPr>
                              <w:rStyle w:val="62"/>
                            </w:rPr>
                            <w:fldChar w:fldCharType="begin"/>
                          </w:r>
                          <w:r>
                            <w:rPr>
                              <w:rStyle w:val="62"/>
                            </w:rPr>
                            <w:instrText xml:space="preserve">PAGE  </w:instrText>
                          </w:r>
                          <w:r>
                            <w:rPr>
                              <w:rStyle w:val="62"/>
                            </w:rPr>
                            <w:fldChar w:fldCharType="separate"/>
                          </w:r>
                          <w:r>
                            <w:rPr>
                              <w:rStyle w:val="62"/>
                            </w:rPr>
                            <w:t>1</w:t>
                          </w:r>
                          <w:r>
                            <w:rPr>
                              <w:rStyle w:val="62"/>
                            </w:rPr>
                            <w:fldChar w:fldCharType="end"/>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16.35pt;width:4.55pt;mso-position-horizontal:right;mso-position-horizontal-relative:margin;mso-wrap-style:none;z-index:251670528;mso-width-relative:page;mso-height-relative:page;" filled="f" stroked="f" coordsize="21600,21600" o:gfxdata="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vsApNQAAAACAQAA&#10;DwAAAAAAAAABACAAAAAiAAAAZHJzL2Rvd25yZXYueG1sUEsBAhQAFAAAAAgAh07iQMSeNKrkAQAA&#10;ugMAAA4AAAAAAAAAAQAgAAAAIwEAAGRycy9lMm9Eb2MueG1sUEsFBgAAAAAGAAYAWQEAAHkFAAAA&#10;AA==&#10;">
              <v:fill on="f" focussize="0,0"/>
              <v:stroke on="f" weight="1.25pt"/>
              <v:imagedata o:title=""/>
              <o:lock v:ext="edit" aspectratio="f"/>
              <v:textbox inset="0mm,0mm,0mm,0mm" style="mso-fit-shape-to-text:t;">
                <w:txbxContent>
                  <w:p>
                    <w:pPr>
                      <w:pStyle w:val="119"/>
                    </w:pPr>
                    <w:r>
                      <w:rPr>
                        <w:rStyle w:val="62"/>
                      </w:rPr>
                      <w:fldChar w:fldCharType="begin"/>
                    </w:r>
                    <w:r>
                      <w:rPr>
                        <w:rStyle w:val="62"/>
                      </w:rPr>
                      <w:instrText xml:space="preserve">PAGE  </w:instrText>
                    </w:r>
                    <w:r>
                      <w:rPr>
                        <w:rStyle w:val="62"/>
                      </w:rPr>
                      <w:fldChar w:fldCharType="separate"/>
                    </w:r>
                    <w:r>
                      <w:rPr>
                        <w:rStyle w:val="62"/>
                      </w:rPr>
                      <w:t>1</w:t>
                    </w:r>
                    <w:r>
                      <w:rPr>
                        <w:rStyle w:val="6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rStyle w:val="62"/>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57785" cy="207645"/>
              <wp:effectExtent l="0" t="0" r="0" b="0"/>
              <wp:wrapNone/>
              <wp:docPr id="25" name="文本框 4"/>
              <wp:cNvGraphicFramePr/>
              <a:graphic xmlns:a="http://schemas.openxmlformats.org/drawingml/2006/main">
                <a:graphicData uri="http://schemas.microsoft.com/office/word/2010/wordprocessingShape">
                  <wps:wsp>
                    <wps:cNvSpPr txBox="1"/>
                    <wps:spPr>
                      <a:xfrm>
                        <a:off x="0" y="0"/>
                        <a:ext cx="57785" cy="207645"/>
                      </a:xfrm>
                      <a:prstGeom prst="rect">
                        <a:avLst/>
                      </a:prstGeom>
                      <a:noFill/>
                      <a:ln w="15875">
                        <a:noFill/>
                      </a:ln>
                    </wps:spPr>
                    <wps:txbx>
                      <w:txbxContent>
                        <w:p>
                          <w:pPr>
                            <w:pStyle w:val="84"/>
                          </w:pPr>
                          <w:r>
                            <w:rPr>
                              <w:rStyle w:val="62"/>
                            </w:rPr>
                            <w:fldChar w:fldCharType="begin"/>
                          </w:r>
                          <w:r>
                            <w:rPr>
                              <w:rStyle w:val="62"/>
                            </w:rPr>
                            <w:instrText xml:space="preserve">PAGE  </w:instrText>
                          </w:r>
                          <w:r>
                            <w:rPr>
                              <w:rStyle w:val="62"/>
                            </w:rPr>
                            <w:fldChar w:fldCharType="separate"/>
                          </w:r>
                          <w:r>
                            <w:rPr>
                              <w:rStyle w:val="62"/>
                            </w:rPr>
                            <w:t>2</w:t>
                          </w:r>
                          <w:r>
                            <w:rPr>
                              <w:rStyle w:val="62"/>
                            </w:rPr>
                            <w:fldChar w:fldCharType="end"/>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6.35pt;width:4.55pt;mso-position-horizontal:right;mso-position-horizontal-relative:margin;mso-wrap-style:none;z-index:251671552;mso-width-relative:page;mso-height-relative:page;" filled="f" stroked="f" coordsize="21600,21600" o:gfxdata="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vsApNQAAAACAQAA&#10;DwAAAAAAAAABACAAAAAiAAAAZHJzL2Rvd25yZXYueG1sUEsBAhQAFAAAAAgAh07iQBa14CzkAQAA&#10;ugMAAA4AAAAAAAAAAQAgAAAAIwEAAGRycy9lMm9Eb2MueG1sUEsFBgAAAAAGAAYAWQEAAHkFAAAA&#10;AA==&#10;">
              <v:fill on="f" focussize="0,0"/>
              <v:stroke on="f" weight="1.25pt"/>
              <v:imagedata o:title=""/>
              <o:lock v:ext="edit" aspectratio="f"/>
              <v:textbox inset="0mm,0mm,0mm,0mm" style="mso-fit-shape-to-text:t;">
                <w:txbxContent>
                  <w:p>
                    <w:pPr>
                      <w:pStyle w:val="84"/>
                    </w:pPr>
                    <w:r>
                      <w:rPr>
                        <w:rStyle w:val="62"/>
                      </w:rPr>
                      <w:fldChar w:fldCharType="begin"/>
                    </w:r>
                    <w:r>
                      <w:rPr>
                        <w:rStyle w:val="62"/>
                      </w:rPr>
                      <w:instrText xml:space="preserve">PAGE  </w:instrText>
                    </w:r>
                    <w:r>
                      <w:rPr>
                        <w:rStyle w:val="62"/>
                      </w:rPr>
                      <w:fldChar w:fldCharType="separate"/>
                    </w:r>
                    <w:r>
                      <w:rPr>
                        <w:rStyle w:val="62"/>
                      </w:rPr>
                      <w:t>2</w:t>
                    </w:r>
                    <w:r>
                      <w:rPr>
                        <w:rStyle w:val="6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rPr>
        <w:rStyle w:val="62"/>
      </w:rPr>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57785" cy="207645"/>
              <wp:effectExtent l="0" t="0" r="0" b="0"/>
              <wp:wrapNone/>
              <wp:docPr id="26" name="文本框 1"/>
              <wp:cNvGraphicFramePr/>
              <a:graphic xmlns:a="http://schemas.openxmlformats.org/drawingml/2006/main">
                <a:graphicData uri="http://schemas.microsoft.com/office/word/2010/wordprocessingShape">
                  <wps:wsp>
                    <wps:cNvSpPr txBox="1"/>
                    <wps:spPr>
                      <a:xfrm>
                        <a:off x="0" y="0"/>
                        <a:ext cx="57785" cy="207645"/>
                      </a:xfrm>
                      <a:prstGeom prst="rect">
                        <a:avLst/>
                      </a:prstGeom>
                      <a:noFill/>
                      <a:ln w="15875">
                        <a:noFill/>
                      </a:ln>
                    </wps:spPr>
                    <wps:txbx>
                      <w:txbxContent>
                        <w:p>
                          <w:pPr>
                            <w:pStyle w:val="119"/>
                          </w:pPr>
                          <w:r>
                            <w:fldChar w:fldCharType="begin"/>
                          </w:r>
                          <w:r>
                            <w:rPr>
                              <w:rStyle w:val="62"/>
                            </w:rPr>
                            <w:instrText xml:space="preserve">PAGE  </w:instrText>
                          </w:r>
                          <w:r>
                            <w:fldChar w:fldCharType="separate"/>
                          </w:r>
                          <w:r>
                            <w:rPr>
                              <w:rStyle w:val="62"/>
                            </w:rPr>
                            <w:t>17</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6.35pt;width:4.55pt;mso-position-horizontal:right;mso-position-horizontal-relative:margin;mso-wrap-style:none;z-index:251673600;mso-width-relative:page;mso-height-relative:page;" filled="f" stroked="f" coordsize="21600,21600" o:gfxdata="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vsApNQAAAACAQAA&#10;DwAAAAAAAAABACAAAAAiAAAAZHJzL2Rvd25yZXYueG1sUEsBAhQAFAAAAAgAh07iQF7/gejkAQAA&#10;ugMAAA4AAAAAAAAAAQAgAAAAIwEAAGRycy9lMm9Eb2MueG1sUEsFBgAAAAAGAAYAWQEAAHkFAAAA&#10;AA==&#10;">
              <v:fill on="f" focussize="0,0"/>
              <v:stroke on="f" weight="1.25pt"/>
              <v:imagedata o:title=""/>
              <o:lock v:ext="edit" aspectratio="f"/>
              <v:textbox inset="0mm,0mm,0mm,0mm" style="mso-fit-shape-to-text:t;">
                <w:txbxContent>
                  <w:p>
                    <w:pPr>
                      <w:pStyle w:val="119"/>
                    </w:pPr>
                    <w:r>
                      <w:fldChar w:fldCharType="begin"/>
                    </w:r>
                    <w:r>
                      <w:rPr>
                        <w:rStyle w:val="62"/>
                      </w:rPr>
                      <w:instrText xml:space="preserve">PAGE  </w:instrText>
                    </w:r>
                    <w:r>
                      <w:fldChar w:fldCharType="separate"/>
                    </w:r>
                    <w:r>
                      <w:rPr>
                        <w:rStyle w:val="62"/>
                      </w:rP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rStyle w:val="62"/>
      </w:rPr>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57785" cy="207645"/>
              <wp:effectExtent l="0" t="0" r="0" b="0"/>
              <wp:wrapNone/>
              <wp:docPr id="27" name="文本框 2"/>
              <wp:cNvGraphicFramePr/>
              <a:graphic xmlns:a="http://schemas.openxmlformats.org/drawingml/2006/main">
                <a:graphicData uri="http://schemas.microsoft.com/office/word/2010/wordprocessingShape">
                  <wps:wsp>
                    <wps:cNvSpPr txBox="1"/>
                    <wps:spPr>
                      <a:xfrm>
                        <a:off x="0" y="0"/>
                        <a:ext cx="57785" cy="207645"/>
                      </a:xfrm>
                      <a:prstGeom prst="rect">
                        <a:avLst/>
                      </a:prstGeom>
                      <a:noFill/>
                      <a:ln w="15875">
                        <a:noFill/>
                      </a:ln>
                    </wps:spPr>
                    <wps:txbx>
                      <w:txbxContent>
                        <w:p>
                          <w:pPr>
                            <w:pStyle w:val="84"/>
                          </w:pPr>
                          <w:r>
                            <w:fldChar w:fldCharType="begin"/>
                          </w:r>
                          <w:r>
                            <w:rPr>
                              <w:rStyle w:val="62"/>
                            </w:rPr>
                            <w:instrText xml:space="preserve">PAGE  </w:instrText>
                          </w:r>
                          <w:r>
                            <w:fldChar w:fldCharType="separate"/>
                          </w:r>
                          <w:r>
                            <w:rPr>
                              <w:rStyle w:val="62"/>
                            </w:rPr>
                            <w:t>18</w:t>
                          </w:r>
                          <w:r>
                            <w:fldChar w:fldCharType="end"/>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6.35pt;width:4.55pt;mso-position-horizontal:right;mso-position-horizontal-relative:margin;mso-wrap-style:none;z-index:251674624;mso-width-relative:page;mso-height-relative:page;" filled="f" stroked="f" coordsize="21600,21600" o:gfxdata="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wCk1AAAAAIBAAAP&#10;AAAAAAAAAAEAIAAAACIAAABkcnMvZG93bnJldi54bWxQSwECFAAUAAAACACHTuJAWTuOHeMBAAC6&#10;AwAADgAAAAAAAAABACAAAAAjAQAAZHJzL2Uyb0RvYy54bWxQSwUGAAAAAAYABgBZAQAAeAUAAAAA&#10;">
              <v:fill on="f" focussize="0,0"/>
              <v:stroke on="f" weight="1.25pt"/>
              <v:imagedata o:title=""/>
              <o:lock v:ext="edit" aspectratio="f"/>
              <v:textbox inset="0mm,0mm,0mm,0mm" style="mso-fit-shape-to-text:t;">
                <w:txbxContent>
                  <w:p>
                    <w:pPr>
                      <w:pStyle w:val="84"/>
                    </w:pPr>
                    <w:r>
                      <w:fldChar w:fldCharType="begin"/>
                    </w:r>
                    <w:r>
                      <w:rPr>
                        <w:rStyle w:val="62"/>
                      </w:rPr>
                      <w:instrText xml:space="preserve">PAGE  </w:instrText>
                    </w:r>
                    <w:r>
                      <w:fldChar w:fldCharType="separate"/>
                    </w:r>
                    <w:r>
                      <w:rPr>
                        <w:rStyle w:val="62"/>
                      </w:rP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t>GB6892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pPr>
    <w:r>
      <w:t>GB6892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t>T/</w:t>
    </w:r>
    <w:r>
      <w:rPr>
        <w:rFonts w:hint="eastAsia"/>
      </w:rPr>
      <w:t>CNIA×××××</w:t>
    </w:r>
    <w:r>
      <w:t xml:space="preserve"> —20××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tabs>
        <w:tab w:val="clear" w:pos="4154"/>
        <w:tab w:val="clear" w:pos="8306"/>
      </w:tabs>
    </w:pPr>
    <w:r>
      <w:t>GB/T</w:t>
    </w:r>
    <w:r>
      <w:rPr>
        <w:rFonts w:hint="eastAsia"/>
      </w:rPr>
      <w:t>×××××</w:t>
    </w:r>
    <w:r>
      <w:t xml:space="preserve">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8097"/>
    <w:multiLevelType w:val="multilevel"/>
    <w:tmpl w:val="87B28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5.%2"/>
      <w:lvlJc w:val="left"/>
      <w:pPr>
        <w:ind w:left="567" w:hanging="567"/>
      </w:pPr>
      <w:rPr>
        <w:rFonts w:hint="default" w:ascii="黑体" w:hAnsi="黑体" w:eastAsia="黑体" w:cs="黑体"/>
        <w:sz w:val="21"/>
        <w:szCs w:val="21"/>
      </w:rPr>
    </w:lvl>
    <w:lvl w:ilvl="2" w:tentative="0">
      <w:start w:val="1"/>
      <w:numFmt w:val="decimal"/>
      <w:lvlText w:val="5.%2.%3"/>
      <w:lvlJc w:val="left"/>
      <w:pPr>
        <w:ind w:left="709" w:hanging="709"/>
      </w:pPr>
      <w:rPr>
        <w:rFonts w:hint="default" w:ascii="黑体" w:hAnsi="黑体" w:eastAsia="黑体" w:cs="黑体"/>
        <w:sz w:val="21"/>
        <w:szCs w:val="21"/>
      </w:rPr>
    </w:lvl>
    <w:lvl w:ilvl="3" w:tentative="0">
      <w:start w:val="1"/>
      <w:numFmt w:val="decimal"/>
      <w:lvlText w:val="5.%2.%3.%4"/>
      <w:lvlJc w:val="left"/>
      <w:pPr>
        <w:ind w:left="850" w:hanging="850"/>
      </w:pPr>
      <w:rPr>
        <w:rFonts w:hint="default" w:ascii="黑体" w:hAnsi="黑体" w:eastAsia="黑体" w:cs="黑体"/>
        <w:sz w:val="21"/>
        <w:szCs w:val="21"/>
      </w:rPr>
    </w:lvl>
    <w:lvl w:ilvl="4" w:tentative="0">
      <w:start w:val="1"/>
      <w:numFmt w:val="decimal"/>
      <w:lvlText w:val="5.%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ascii="宋体" w:hAnsi="宋体" w:eastAsia="宋体" w:cs="宋体"/>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AD67E85"/>
    <w:multiLevelType w:val="singleLevel"/>
    <w:tmpl w:val="9AD67E85"/>
    <w:lvl w:ilvl="0" w:tentative="0">
      <w:start w:val="1"/>
      <w:numFmt w:val="decimal"/>
      <w:suff w:val="space"/>
      <w:lvlText w:val="[%1]"/>
      <w:lvlJc w:val="left"/>
    </w:lvl>
  </w:abstractNum>
  <w:abstractNum w:abstractNumId="2">
    <w:nsid w:val="C535936C"/>
    <w:multiLevelType w:val="singleLevel"/>
    <w:tmpl w:val="C535936C"/>
    <w:lvl w:ilvl="0" w:tentative="0">
      <w:start w:val="1"/>
      <w:numFmt w:val="lowerLetter"/>
      <w:suff w:val="nothing"/>
      <w:lvlText w:val="%1）"/>
      <w:lvlJc w:val="left"/>
      <w:pPr>
        <w:ind w:left="0" w:firstLine="397"/>
      </w:pPr>
      <w:rPr>
        <w:rFonts w:hint="default"/>
      </w:rPr>
    </w:lvl>
  </w:abstractNum>
  <w:abstractNum w:abstractNumId="3">
    <w:nsid w:val="E114FD75"/>
    <w:multiLevelType w:val="multilevel"/>
    <w:tmpl w:val="E114FD75"/>
    <w:lvl w:ilvl="0" w:tentative="0">
      <w:start w:val="6"/>
      <w:numFmt w:val="decimal"/>
      <w:lvlText w:val="%1"/>
      <w:lvlJc w:val="left"/>
      <w:pPr>
        <w:ind w:left="420" w:hanging="420"/>
      </w:pPr>
      <w:rPr>
        <w:rFonts w:hint="default" w:ascii="宋体" w:hAnsi="宋体" w:eastAsia="宋体" w:cs="宋体"/>
      </w:rPr>
    </w:lvl>
    <w:lvl w:ilvl="1" w:tentative="0">
      <w:start w:val="1"/>
      <w:numFmt w:val="decimal"/>
      <w:isLgl/>
      <w:lvlText w:val="%1.%2"/>
      <w:lvlJc w:val="left"/>
      <w:pPr>
        <w:ind w:left="600" w:hanging="600"/>
      </w:pPr>
      <w:rPr>
        <w:rFonts w:hint="default" w:ascii="黑体" w:hAnsi="黑体" w:eastAsia="黑体" w:cs="黑体"/>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F6877952"/>
    <w:multiLevelType w:val="multilevel"/>
    <w:tmpl w:val="F6877952"/>
    <w:lvl w:ilvl="0" w:tentative="0">
      <w:start w:val="8"/>
      <w:numFmt w:val="decimal"/>
      <w:lvlText w:val="%1"/>
      <w:lvlJc w:val="left"/>
      <w:pPr>
        <w:ind w:left="360" w:hanging="360"/>
      </w:pPr>
      <w:rPr>
        <w:rFonts w:hint="default" w:ascii="宋体" w:hAnsi="宋体" w:eastAsia="宋体" w:cs="宋体"/>
      </w:rPr>
    </w:lvl>
    <w:lvl w:ilvl="1" w:tentative="0">
      <w:start w:val="2"/>
      <w:numFmt w:val="decimal"/>
      <w:lvlText w:val="%1.%2"/>
      <w:lvlJc w:val="left"/>
      <w:pPr>
        <w:ind w:left="570" w:hanging="360"/>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isLgl/>
      <w:lvlText w:val="%1.%2.%3.%4"/>
      <w:lvlJc w:val="left"/>
      <w:pPr>
        <w:ind w:left="1080" w:hanging="1080"/>
      </w:pPr>
      <w:rPr>
        <w:rFonts w:hint="default" w:ascii="宋体" w:hAnsi="宋体" w:eastAsia="宋体" w:cs="宋体"/>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040A15CD"/>
    <w:multiLevelType w:val="multilevel"/>
    <w:tmpl w:val="040A15CD"/>
    <w:lvl w:ilvl="0" w:tentative="0">
      <w:start w:val="1"/>
      <w:numFmt w:val="none"/>
      <w:pStyle w:val="74"/>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124"/>
      <w:suff w:val="nothing"/>
      <w:lvlText w:val="%1%2.%3.%4　"/>
      <w:lvlJc w:val="left"/>
      <w:pPr>
        <w:ind w:left="0" w:firstLine="0"/>
      </w:pPr>
      <w:rPr>
        <w:rFonts w:hint="eastAsia" w:ascii="黑体" w:hAnsi="Times New Roman" w:eastAsia="黑体"/>
        <w:b w:val="0"/>
        <w:i w:val="0"/>
        <w:sz w:val="21"/>
      </w:rPr>
    </w:lvl>
    <w:lvl w:ilvl="4" w:tentative="0">
      <w:start w:val="1"/>
      <w:numFmt w:val="decimal"/>
      <w:pStyle w:val="114"/>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13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AE367E9"/>
    <w:multiLevelType w:val="multilevel"/>
    <w:tmpl w:val="0AE367E9"/>
    <w:lvl w:ilvl="0" w:tentative="0">
      <w:start w:val="1"/>
      <w:numFmt w:val="none"/>
      <w:pStyle w:val="9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5406438"/>
    <w:multiLevelType w:val="multilevel"/>
    <w:tmpl w:val="15406438"/>
    <w:lvl w:ilvl="0" w:tentative="0">
      <w:start w:val="1"/>
      <w:numFmt w:val="decimal"/>
      <w:lvlText w:val="%1"/>
      <w:lvlJc w:val="left"/>
      <w:pPr>
        <w:ind w:left="420" w:hanging="420"/>
      </w:pPr>
      <w:rPr>
        <w:rFonts w:hint="eastAsia"/>
      </w:rPr>
    </w:lvl>
    <w:lvl w:ilvl="1" w:tentative="0">
      <w:start w:val="1"/>
      <w:numFmt w:val="decimal"/>
      <w:isLgl/>
      <w:lvlText w:val="%1.%2"/>
      <w:lvlJc w:val="left"/>
      <w:pPr>
        <w:ind w:left="81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1AD6283C"/>
    <w:multiLevelType w:val="multilevel"/>
    <w:tmpl w:val="1AD6283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EAA1992"/>
    <w:multiLevelType w:val="multilevel"/>
    <w:tmpl w:val="1EAA1992"/>
    <w:lvl w:ilvl="0" w:tentative="0">
      <w:start w:val="1"/>
      <w:numFmt w:val="none"/>
      <w:pStyle w:val="121"/>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10">
    <w:nsid w:val="207722C9"/>
    <w:multiLevelType w:val="multilevel"/>
    <w:tmpl w:val="207722C9"/>
    <w:lvl w:ilvl="0" w:tentative="0">
      <w:start w:val="1"/>
      <w:numFmt w:val="decimal"/>
      <w:lvlText w:val="%1、"/>
      <w:lvlJc w:val="left"/>
      <w:pPr>
        <w:ind w:left="1330" w:hanging="360"/>
      </w:pPr>
      <w:rPr>
        <w:rFonts w:hint="default" w:ascii="Times New Roman" w:hAnsi="Times New Roman" w:cs="Times New Roman"/>
        <w:b w:val="0"/>
        <w:bCs/>
      </w:rPr>
    </w:lvl>
    <w:lvl w:ilvl="1" w:tentative="0">
      <w:start w:val="1"/>
      <w:numFmt w:val="lowerLetter"/>
      <w:lvlText w:val="%2)"/>
      <w:lvlJc w:val="left"/>
      <w:pPr>
        <w:ind w:left="1810" w:hanging="420"/>
      </w:pPr>
    </w:lvl>
    <w:lvl w:ilvl="2" w:tentative="0">
      <w:start w:val="1"/>
      <w:numFmt w:val="lowerRoman"/>
      <w:lvlText w:val="%3."/>
      <w:lvlJc w:val="right"/>
      <w:pPr>
        <w:ind w:left="2230" w:hanging="420"/>
      </w:pPr>
    </w:lvl>
    <w:lvl w:ilvl="3" w:tentative="0">
      <w:start w:val="1"/>
      <w:numFmt w:val="decimal"/>
      <w:lvlText w:val="%4."/>
      <w:lvlJc w:val="left"/>
      <w:pPr>
        <w:ind w:left="2650" w:hanging="420"/>
      </w:pPr>
    </w:lvl>
    <w:lvl w:ilvl="4" w:tentative="0">
      <w:start w:val="1"/>
      <w:numFmt w:val="lowerLetter"/>
      <w:lvlText w:val="%5)"/>
      <w:lvlJc w:val="left"/>
      <w:pPr>
        <w:ind w:left="3070" w:hanging="420"/>
      </w:pPr>
    </w:lvl>
    <w:lvl w:ilvl="5" w:tentative="0">
      <w:start w:val="1"/>
      <w:numFmt w:val="lowerRoman"/>
      <w:lvlText w:val="%6."/>
      <w:lvlJc w:val="right"/>
      <w:pPr>
        <w:ind w:left="3490" w:hanging="420"/>
      </w:pPr>
    </w:lvl>
    <w:lvl w:ilvl="6" w:tentative="0">
      <w:start w:val="1"/>
      <w:numFmt w:val="decimal"/>
      <w:lvlText w:val="%7."/>
      <w:lvlJc w:val="left"/>
      <w:pPr>
        <w:ind w:left="3910" w:hanging="420"/>
      </w:pPr>
    </w:lvl>
    <w:lvl w:ilvl="7" w:tentative="0">
      <w:start w:val="1"/>
      <w:numFmt w:val="lowerLetter"/>
      <w:lvlText w:val="%8)"/>
      <w:lvlJc w:val="left"/>
      <w:pPr>
        <w:ind w:left="4330" w:hanging="420"/>
      </w:pPr>
    </w:lvl>
    <w:lvl w:ilvl="8" w:tentative="0">
      <w:start w:val="1"/>
      <w:numFmt w:val="lowerRoman"/>
      <w:lvlText w:val="%9."/>
      <w:lvlJc w:val="right"/>
      <w:pPr>
        <w:ind w:left="4750" w:hanging="420"/>
      </w:pPr>
    </w:lvl>
  </w:abstractNum>
  <w:abstractNum w:abstractNumId="11">
    <w:nsid w:val="24B70615"/>
    <w:multiLevelType w:val="singleLevel"/>
    <w:tmpl w:val="24B70615"/>
    <w:lvl w:ilvl="0" w:tentative="0">
      <w:start w:val="1"/>
      <w:numFmt w:val="lowerLetter"/>
      <w:suff w:val="nothing"/>
      <w:lvlText w:val="%1）"/>
      <w:lvlJc w:val="left"/>
      <w:pPr>
        <w:ind w:left="0" w:firstLine="397"/>
      </w:pPr>
      <w:rPr>
        <w:rFonts w:hint="default"/>
      </w:rPr>
    </w:lvl>
  </w:abstractNum>
  <w:abstractNum w:abstractNumId="12">
    <w:nsid w:val="2C2430E1"/>
    <w:multiLevelType w:val="singleLevel"/>
    <w:tmpl w:val="2C2430E1"/>
    <w:lvl w:ilvl="0" w:tentative="0">
      <w:start w:val="1"/>
      <w:numFmt w:val="lowerLetter"/>
      <w:suff w:val="nothing"/>
      <w:lvlText w:val="%1）"/>
      <w:lvlJc w:val="left"/>
      <w:pPr>
        <w:ind w:left="0" w:firstLine="397"/>
      </w:pPr>
      <w:rPr>
        <w:rFonts w:hint="default"/>
      </w:rPr>
    </w:lvl>
  </w:abstractNum>
  <w:abstractNum w:abstractNumId="13">
    <w:nsid w:val="34F42D27"/>
    <w:multiLevelType w:val="multilevel"/>
    <w:tmpl w:val="34F42D2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8639EE2"/>
    <w:multiLevelType w:val="singleLevel"/>
    <w:tmpl w:val="38639EE2"/>
    <w:lvl w:ilvl="0" w:tentative="0">
      <w:start w:val="1"/>
      <w:numFmt w:val="lowerLetter"/>
      <w:suff w:val="nothing"/>
      <w:lvlText w:val="%1）"/>
      <w:lvlJc w:val="left"/>
      <w:pPr>
        <w:ind w:left="0" w:firstLine="397"/>
      </w:pPr>
      <w:rPr>
        <w:rFonts w:hint="default"/>
      </w:rPr>
    </w:lvl>
  </w:abstractNum>
  <w:abstractNum w:abstractNumId="15">
    <w:nsid w:val="407E65F9"/>
    <w:multiLevelType w:val="multilevel"/>
    <w:tmpl w:val="407E65F9"/>
    <w:lvl w:ilvl="0" w:tentative="0">
      <w:start w:val="1"/>
      <w:numFmt w:val="none"/>
      <w:pStyle w:val="108"/>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2213421"/>
    <w:multiLevelType w:val="multilevel"/>
    <w:tmpl w:val="4221342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96E4D7B"/>
    <w:multiLevelType w:val="multilevel"/>
    <w:tmpl w:val="496E4D7B"/>
    <w:lvl w:ilvl="0" w:tentative="0">
      <w:start w:val="1"/>
      <w:numFmt w:val="none"/>
      <w:pStyle w:val="91"/>
      <w:lvlText w:val="%1注"/>
      <w:lvlJc w:val="left"/>
      <w:pPr>
        <w:tabs>
          <w:tab w:val="left" w:pos="500"/>
        </w:tabs>
        <w:ind w:left="500" w:hanging="500"/>
      </w:pPr>
      <w:rPr>
        <w:rFonts w:hint="eastAsia" w:ascii="宋体" w:hAnsi="Times New Roman" w:eastAsia="宋体"/>
        <w:b w:val="0"/>
        <w:i w:val="0"/>
        <w:sz w:val="18"/>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18">
    <w:nsid w:val="54632751"/>
    <w:multiLevelType w:val="multilevel"/>
    <w:tmpl w:val="54632751"/>
    <w:lvl w:ilvl="0" w:tentative="0">
      <w:start w:val="1"/>
      <w:numFmt w:val="none"/>
      <w:pStyle w:val="127"/>
      <w:suff w:val="nothing"/>
      <w:lvlText w:val="——"/>
      <w:lvlJc w:val="left"/>
      <w:pPr>
        <w:ind w:left="1247" w:hanging="453"/>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19">
    <w:nsid w:val="557C2AF5"/>
    <w:multiLevelType w:val="multilevel"/>
    <w:tmpl w:val="557C2AF5"/>
    <w:lvl w:ilvl="0" w:tentative="0">
      <w:start w:val="1"/>
      <w:numFmt w:val="decimal"/>
      <w:pStyle w:val="9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38939F7"/>
    <w:multiLevelType w:val="multilevel"/>
    <w:tmpl w:val="638939F7"/>
    <w:lvl w:ilvl="0" w:tentative="0">
      <w:start w:val="1"/>
      <w:numFmt w:val="decimal"/>
      <w:lvlText w:val="%1"/>
      <w:lvlJc w:val="left"/>
      <w:pPr>
        <w:ind w:left="420" w:hanging="420"/>
      </w:pPr>
      <w:rPr>
        <w:rFonts w:hint="eastAsia"/>
      </w:rPr>
    </w:lvl>
    <w:lvl w:ilvl="1" w:tentative="0">
      <w:start w:val="1"/>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1">
    <w:nsid w:val="646260FA"/>
    <w:multiLevelType w:val="multilevel"/>
    <w:tmpl w:val="646260FA"/>
    <w:lvl w:ilvl="0" w:tentative="0">
      <w:start w:val="1"/>
      <w:numFmt w:val="decimal"/>
      <w:pStyle w:val="81"/>
      <w:suff w:val="nothing"/>
      <w:lvlText w:val="表%1　"/>
      <w:lvlJc w:val="left"/>
      <w:pPr>
        <w:ind w:left="2836" w:firstLine="0"/>
      </w:pPr>
      <w:rPr>
        <w:rFonts w:hint="eastAsia" w:ascii="黑体" w:hAnsi="Times New Roman" w:eastAsia="黑体"/>
        <w:b w:val="0"/>
        <w:i w:val="0"/>
        <w:sz w:val="21"/>
        <w:lang w:val="en-US"/>
      </w:rPr>
    </w:lvl>
    <w:lvl w:ilvl="1" w:tentative="0">
      <w:start w:val="1"/>
      <w:numFmt w:val="decimal"/>
      <w:lvlText w:val="%1.%2"/>
      <w:lvlJc w:val="left"/>
      <w:pPr>
        <w:tabs>
          <w:tab w:val="left" w:pos="-1560"/>
        </w:tabs>
        <w:ind w:left="-1560" w:hanging="567"/>
      </w:pPr>
      <w:rPr>
        <w:rFonts w:hint="eastAsia"/>
      </w:rPr>
    </w:lvl>
    <w:lvl w:ilvl="2" w:tentative="0">
      <w:start w:val="1"/>
      <w:numFmt w:val="decimal"/>
      <w:lvlText w:val="%1.%2.%3"/>
      <w:lvlJc w:val="left"/>
      <w:pPr>
        <w:tabs>
          <w:tab w:val="left" w:pos="-1134"/>
        </w:tabs>
        <w:ind w:left="-1134" w:hanging="567"/>
      </w:pPr>
      <w:rPr>
        <w:rFonts w:hint="eastAsia"/>
      </w:rPr>
    </w:lvl>
    <w:lvl w:ilvl="3" w:tentative="0">
      <w:start w:val="1"/>
      <w:numFmt w:val="decimal"/>
      <w:lvlText w:val="%1.%2.%3.%4"/>
      <w:lvlJc w:val="left"/>
      <w:pPr>
        <w:tabs>
          <w:tab w:val="left" w:pos="-568"/>
        </w:tabs>
        <w:ind w:left="-568" w:hanging="708"/>
      </w:pPr>
      <w:rPr>
        <w:rFonts w:hint="eastAsia"/>
      </w:rPr>
    </w:lvl>
    <w:lvl w:ilvl="4" w:tentative="0">
      <w:start w:val="1"/>
      <w:numFmt w:val="decimal"/>
      <w:lvlText w:val="%1.%2.%3.%4.%5"/>
      <w:lvlJc w:val="left"/>
      <w:pPr>
        <w:tabs>
          <w:tab w:val="left" w:pos="-1"/>
        </w:tabs>
        <w:ind w:left="-1" w:hanging="850"/>
      </w:pPr>
      <w:rPr>
        <w:rFonts w:hint="eastAsia"/>
      </w:rPr>
    </w:lvl>
    <w:lvl w:ilvl="5" w:tentative="0">
      <w:start w:val="1"/>
      <w:numFmt w:val="decimal"/>
      <w:lvlText w:val="%1.%2.%3.%4.%5.%6"/>
      <w:lvlJc w:val="left"/>
      <w:pPr>
        <w:tabs>
          <w:tab w:val="left" w:pos="708"/>
        </w:tabs>
        <w:ind w:left="708" w:hanging="1134"/>
      </w:pPr>
      <w:rPr>
        <w:rFonts w:hint="eastAsia"/>
      </w:rPr>
    </w:lvl>
    <w:lvl w:ilvl="6" w:tentative="0">
      <w:start w:val="1"/>
      <w:numFmt w:val="decimal"/>
      <w:lvlText w:val="%1.%2.%3.%4.%5.%6.%7"/>
      <w:lvlJc w:val="left"/>
      <w:pPr>
        <w:tabs>
          <w:tab w:val="left" w:pos="1275"/>
        </w:tabs>
        <w:ind w:left="1275" w:hanging="1276"/>
      </w:pPr>
      <w:rPr>
        <w:rFonts w:hint="eastAsia"/>
      </w:rPr>
    </w:lvl>
    <w:lvl w:ilvl="7" w:tentative="0">
      <w:start w:val="1"/>
      <w:numFmt w:val="decimal"/>
      <w:lvlText w:val="%1.%2.%3.%4.%5.%6.%7.%8"/>
      <w:lvlJc w:val="left"/>
      <w:pPr>
        <w:tabs>
          <w:tab w:val="left" w:pos="1842"/>
        </w:tabs>
        <w:ind w:left="1842" w:hanging="1418"/>
      </w:pPr>
      <w:rPr>
        <w:rFonts w:hint="eastAsia"/>
      </w:rPr>
    </w:lvl>
    <w:lvl w:ilvl="8" w:tentative="0">
      <w:start w:val="1"/>
      <w:numFmt w:val="decimal"/>
      <w:lvlText w:val="%1.%2.%3.%4.%5.%6.%7.%8.%9"/>
      <w:lvlJc w:val="left"/>
      <w:pPr>
        <w:tabs>
          <w:tab w:val="left" w:pos="2550"/>
        </w:tabs>
        <w:ind w:left="2550" w:hanging="1700"/>
      </w:pPr>
      <w:rPr>
        <w:rFonts w:hint="eastAsia"/>
      </w:rPr>
    </w:lvl>
  </w:abstractNum>
  <w:abstractNum w:abstractNumId="22">
    <w:nsid w:val="657D3FBC"/>
    <w:multiLevelType w:val="multilevel"/>
    <w:tmpl w:val="657D3FBC"/>
    <w:lvl w:ilvl="0" w:tentative="0">
      <w:start w:val="1"/>
      <w:numFmt w:val="upperLetter"/>
      <w:pStyle w:val="140"/>
      <w:suff w:val="nothing"/>
      <w:lvlText w:val="附　录　%1"/>
      <w:lvlJc w:val="left"/>
      <w:pPr>
        <w:ind w:left="4095" w:firstLine="0"/>
      </w:pPr>
      <w:rPr>
        <w:rFonts w:hint="eastAsia" w:ascii="黑体" w:hAnsi="Times New Roman" w:eastAsia="黑体"/>
        <w:b w:val="0"/>
        <w:i w:val="0"/>
        <w:sz w:val="21"/>
      </w:rPr>
    </w:lvl>
    <w:lvl w:ilvl="1" w:tentative="0">
      <w:start w:val="1"/>
      <w:numFmt w:val="decimal"/>
      <w:pStyle w:val="79"/>
      <w:suff w:val="nothing"/>
      <w:lvlText w:val="%1.%2　"/>
      <w:lvlJc w:val="left"/>
      <w:pPr>
        <w:ind w:left="4095" w:firstLine="0"/>
      </w:pPr>
      <w:rPr>
        <w:rFonts w:hint="eastAsia" w:ascii="黑体" w:hAnsi="Times New Roman" w:eastAsia="黑体"/>
        <w:b w:val="0"/>
        <w:i w:val="0"/>
        <w:spacing w:val="0"/>
        <w:w w:val="100"/>
        <w:kern w:val="21"/>
        <w:sz w:val="21"/>
      </w:rPr>
    </w:lvl>
    <w:lvl w:ilvl="2" w:tentative="0">
      <w:start w:val="1"/>
      <w:numFmt w:val="decimal"/>
      <w:pStyle w:val="78"/>
      <w:suff w:val="nothing"/>
      <w:lvlText w:val="%1.%2.%3　"/>
      <w:lvlJc w:val="left"/>
      <w:pPr>
        <w:ind w:left="4095" w:firstLine="0"/>
      </w:pPr>
      <w:rPr>
        <w:rFonts w:hint="eastAsia" w:ascii="黑体" w:hAnsi="Times New Roman" w:eastAsia="黑体"/>
        <w:b w:val="0"/>
        <w:i w:val="0"/>
        <w:sz w:val="21"/>
      </w:rPr>
    </w:lvl>
    <w:lvl w:ilvl="3" w:tentative="0">
      <w:start w:val="1"/>
      <w:numFmt w:val="decimal"/>
      <w:pStyle w:val="77"/>
      <w:suff w:val="nothing"/>
      <w:lvlText w:val="%1.%2.%3.%4　"/>
      <w:lvlJc w:val="left"/>
      <w:pPr>
        <w:ind w:left="4095" w:firstLine="0"/>
      </w:pPr>
      <w:rPr>
        <w:rFonts w:hint="eastAsia" w:ascii="黑体" w:hAnsi="Times New Roman" w:eastAsia="黑体"/>
        <w:b w:val="0"/>
        <w:i w:val="0"/>
        <w:sz w:val="21"/>
      </w:rPr>
    </w:lvl>
    <w:lvl w:ilvl="4" w:tentative="0">
      <w:start w:val="1"/>
      <w:numFmt w:val="decimal"/>
      <w:pStyle w:val="76"/>
      <w:suff w:val="nothing"/>
      <w:lvlText w:val="%1.%2.%3.%4.%5　"/>
      <w:lvlJc w:val="left"/>
      <w:pPr>
        <w:ind w:left="4095" w:firstLine="0"/>
      </w:pPr>
      <w:rPr>
        <w:rFonts w:hint="eastAsia" w:ascii="黑体" w:hAnsi="Times New Roman" w:eastAsia="黑体"/>
        <w:b w:val="0"/>
        <w:i w:val="0"/>
        <w:sz w:val="21"/>
      </w:rPr>
    </w:lvl>
    <w:lvl w:ilvl="5" w:tentative="0">
      <w:start w:val="1"/>
      <w:numFmt w:val="decimal"/>
      <w:pStyle w:val="75"/>
      <w:suff w:val="nothing"/>
      <w:lvlText w:val="%1.%2.%3.%4.%5.%6　"/>
      <w:lvlJc w:val="left"/>
      <w:pPr>
        <w:ind w:left="4095" w:firstLine="0"/>
      </w:pPr>
      <w:rPr>
        <w:rFonts w:hint="eastAsia" w:ascii="黑体" w:hAnsi="Times New Roman" w:eastAsia="黑体"/>
        <w:b w:val="0"/>
        <w:i w:val="0"/>
        <w:sz w:val="21"/>
      </w:rPr>
    </w:lvl>
    <w:lvl w:ilvl="6" w:tentative="0">
      <w:start w:val="1"/>
      <w:numFmt w:val="decimal"/>
      <w:pStyle w:val="120"/>
      <w:suff w:val="nothing"/>
      <w:lvlText w:val="%1.%2.%3.%4.%5.%6.%7　"/>
      <w:lvlJc w:val="left"/>
      <w:pPr>
        <w:ind w:left="4095" w:firstLine="0"/>
      </w:pPr>
      <w:rPr>
        <w:rFonts w:hint="eastAsia" w:ascii="黑体" w:hAnsi="Times New Roman" w:eastAsia="黑体"/>
        <w:b w:val="0"/>
        <w:i w:val="0"/>
        <w:sz w:val="21"/>
      </w:rPr>
    </w:lvl>
    <w:lvl w:ilvl="7" w:tentative="0">
      <w:start w:val="1"/>
      <w:numFmt w:val="decimal"/>
      <w:lvlText w:val="%1.%2.%3.%4.%5.%6.%7.%8"/>
      <w:lvlJc w:val="left"/>
      <w:pPr>
        <w:tabs>
          <w:tab w:val="left" w:pos="8489"/>
        </w:tabs>
        <w:ind w:left="8489" w:hanging="1418"/>
      </w:pPr>
      <w:rPr>
        <w:rFonts w:hint="eastAsia"/>
      </w:rPr>
    </w:lvl>
    <w:lvl w:ilvl="8" w:tentative="0">
      <w:start w:val="1"/>
      <w:numFmt w:val="decimal"/>
      <w:lvlText w:val="%1.%2.%3.%4.%5.%6.%7.%8.%9"/>
      <w:lvlJc w:val="left"/>
      <w:pPr>
        <w:tabs>
          <w:tab w:val="left" w:pos="9197"/>
        </w:tabs>
        <w:ind w:left="9197" w:hanging="1700"/>
      </w:pPr>
      <w:rPr>
        <w:rFonts w:hint="eastAsia"/>
      </w:rPr>
    </w:lvl>
  </w:abstractNum>
  <w:abstractNum w:abstractNumId="23">
    <w:nsid w:val="667819AD"/>
    <w:multiLevelType w:val="singleLevel"/>
    <w:tmpl w:val="667819AD"/>
    <w:lvl w:ilvl="0" w:tentative="0">
      <w:start w:val="1"/>
      <w:numFmt w:val="lowerLetter"/>
      <w:suff w:val="nothing"/>
      <w:lvlText w:val="%1）"/>
      <w:lvlJc w:val="left"/>
      <w:pPr>
        <w:ind w:left="0" w:firstLine="397"/>
      </w:pPr>
      <w:rPr>
        <w:rFonts w:hint="default"/>
      </w:rPr>
    </w:lvl>
  </w:abstractNum>
  <w:abstractNum w:abstractNumId="24">
    <w:nsid w:val="669720C3"/>
    <w:multiLevelType w:val="singleLevel"/>
    <w:tmpl w:val="669720C3"/>
    <w:lvl w:ilvl="0" w:tentative="0">
      <w:start w:val="1"/>
      <w:numFmt w:val="lowerLetter"/>
      <w:suff w:val="nothing"/>
      <w:lvlText w:val="%1）"/>
      <w:lvlJc w:val="left"/>
      <w:pPr>
        <w:ind w:left="0" w:firstLine="397"/>
      </w:pPr>
      <w:rPr>
        <w:rFonts w:hint="default"/>
      </w:rPr>
    </w:lvl>
  </w:abstractNum>
  <w:abstractNum w:abstractNumId="25">
    <w:nsid w:val="66FA4BB0"/>
    <w:multiLevelType w:val="multilevel"/>
    <w:tmpl w:val="66FA4BB0"/>
    <w:lvl w:ilvl="0" w:tentative="0">
      <w:start w:val="1"/>
      <w:numFmt w:val="japaneseCounting"/>
      <w:lvlText w:val="%1、"/>
      <w:lvlJc w:val="left"/>
      <w:pPr>
        <w:ind w:left="966" w:hanging="540"/>
      </w:pPr>
      <w:rPr>
        <w:rFonts w:hint="eastAsia"/>
        <w:b/>
        <w:bCs/>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6">
    <w:nsid w:val="69400B0F"/>
    <w:multiLevelType w:val="multilevel"/>
    <w:tmpl w:val="69400B0F"/>
    <w:lvl w:ilvl="0" w:tentative="0">
      <w:start w:val="8"/>
      <w:numFmt w:val="decimal"/>
      <w:lvlText w:val="%1"/>
      <w:lvlJc w:val="left"/>
      <w:pPr>
        <w:ind w:left="420" w:hanging="420"/>
      </w:pPr>
      <w:rPr>
        <w:rFonts w:hint="eastAsia"/>
      </w:rPr>
    </w:lvl>
    <w:lvl w:ilvl="1" w:tentative="0">
      <w:start w:val="1"/>
      <w:numFmt w:val="decimal"/>
      <w:isLgl/>
      <w:lvlText w:val="%1.%2"/>
      <w:lvlJc w:val="left"/>
      <w:pPr>
        <w:ind w:left="600" w:hanging="60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6CEA2025"/>
    <w:multiLevelType w:val="multilevel"/>
    <w:tmpl w:val="6CEA2025"/>
    <w:lvl w:ilvl="0" w:tentative="0">
      <w:start w:val="1"/>
      <w:numFmt w:val="none"/>
      <w:pStyle w:val="98"/>
      <w:suff w:val="nothing"/>
      <w:lvlText w:val="%1"/>
      <w:lvlJc w:val="left"/>
      <w:pPr>
        <w:ind w:left="0" w:firstLine="0"/>
      </w:pPr>
      <w:rPr>
        <w:rFonts w:hint="default" w:ascii="Times New Roman" w:hAnsi="Times New Roman"/>
        <w:b/>
        <w:i w:val="0"/>
        <w:sz w:val="21"/>
      </w:rPr>
    </w:lvl>
    <w:lvl w:ilvl="1" w:tentative="0">
      <w:start w:val="1"/>
      <w:numFmt w:val="decimal"/>
      <w:pStyle w:val="88"/>
      <w:suff w:val="nothing"/>
      <w:lvlText w:val="%1%2　"/>
      <w:lvlJc w:val="left"/>
      <w:pPr>
        <w:ind w:left="5671" w:firstLine="0"/>
      </w:pPr>
      <w:rPr>
        <w:rFonts w:hint="eastAsia" w:ascii="黑体" w:hAnsi="Times New Roman" w:eastAsia="黑体"/>
        <w:b w:val="0"/>
        <w:i w:val="0"/>
        <w:sz w:val="21"/>
      </w:rPr>
    </w:lvl>
    <w:lvl w:ilvl="2" w:tentative="0">
      <w:start w:val="1"/>
      <w:numFmt w:val="decimal"/>
      <w:pStyle w:val="87"/>
      <w:suff w:val="nothing"/>
      <w:lvlText w:val="%1%2.%3　"/>
      <w:lvlJc w:val="left"/>
      <w:pPr>
        <w:ind w:left="142" w:firstLine="0"/>
      </w:pPr>
      <w:rPr>
        <w:rFonts w:hint="eastAsia" w:ascii="黑体" w:hAnsi="Times New Roman" w:eastAsia="黑体"/>
        <w:b w:val="0"/>
        <w:i w:val="0"/>
        <w:sz w:val="21"/>
      </w:rPr>
    </w:lvl>
    <w:lvl w:ilvl="3" w:tentative="0">
      <w:start w:val="1"/>
      <w:numFmt w:val="decimal"/>
      <w:pStyle w:val="95"/>
      <w:suff w:val="nothing"/>
      <w:lvlText w:val="%1%2.%3.%4　"/>
      <w:lvlJc w:val="left"/>
      <w:pPr>
        <w:ind w:left="993" w:firstLine="0"/>
      </w:pPr>
      <w:rPr>
        <w:rFonts w:hint="eastAsia" w:ascii="黑体" w:hAnsi="Times New Roman" w:eastAsia="黑体"/>
        <w:b w:val="0"/>
        <w:i w:val="0"/>
        <w:sz w:val="21"/>
      </w:rPr>
    </w:lvl>
    <w:lvl w:ilvl="4" w:tentative="0">
      <w:start w:val="1"/>
      <w:numFmt w:val="decimal"/>
      <w:pStyle w:val="99"/>
      <w:suff w:val="nothing"/>
      <w:lvlText w:val="%1%2.%3.%4.%5　"/>
      <w:lvlJc w:val="left"/>
      <w:pPr>
        <w:ind w:left="735" w:firstLine="0"/>
      </w:pPr>
      <w:rPr>
        <w:rFonts w:hint="eastAsia" w:ascii="黑体" w:hAnsi="Times New Roman" w:eastAsia="黑体"/>
        <w:b w:val="0"/>
        <w:i w:val="0"/>
        <w:sz w:val="21"/>
      </w:rPr>
    </w:lvl>
    <w:lvl w:ilvl="5" w:tentative="0">
      <w:start w:val="1"/>
      <w:numFmt w:val="decimal"/>
      <w:pStyle w:val="133"/>
      <w:suff w:val="nothing"/>
      <w:lvlText w:val="%1%2.%3.%4.%5.%6　"/>
      <w:lvlJc w:val="left"/>
      <w:pPr>
        <w:ind w:left="0" w:firstLine="0"/>
      </w:pPr>
      <w:rPr>
        <w:rFonts w:hint="eastAsia" w:ascii="黑体" w:hAnsi="Times New Roman" w:eastAsia="黑体"/>
        <w:b w:val="0"/>
        <w:i w:val="0"/>
        <w:sz w:val="21"/>
      </w:rPr>
    </w:lvl>
    <w:lvl w:ilvl="6" w:tentative="0">
      <w:start w:val="1"/>
      <w:numFmt w:val="decimal"/>
      <w:pStyle w:val="1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6"/>
      <w:lvlText w:val="%1注："/>
      <w:lvlJc w:val="left"/>
      <w:pPr>
        <w:tabs>
          <w:tab w:val="left" w:pos="1140"/>
        </w:tabs>
        <w:ind w:left="840" w:hanging="420"/>
      </w:pPr>
      <w:rPr>
        <w:rFonts w:hint="eastAsia" w:ascii="黑体" w:hAnsi="黑体" w:eastAsia="黑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6933334"/>
    <w:multiLevelType w:val="multilevel"/>
    <w:tmpl w:val="76933334"/>
    <w:lvl w:ilvl="0" w:tentative="0">
      <w:start w:val="1"/>
      <w:numFmt w:val="none"/>
      <w:pStyle w:val="115"/>
      <w:lvlText w:val="%1——"/>
      <w:lvlJc w:val="left"/>
      <w:pPr>
        <w:tabs>
          <w:tab w:val="left" w:pos="1571"/>
        </w:tabs>
        <w:ind w:left="126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A9F3E19"/>
    <w:multiLevelType w:val="multilevel"/>
    <w:tmpl w:val="7A9F3E19"/>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黑体" w:hAnsi="黑体" w:eastAsia="黑体" w:cs="黑体"/>
        <w:sz w:val="21"/>
        <w:szCs w:val="21"/>
      </w:rPr>
    </w:lvl>
    <w:lvl w:ilvl="2" w:tentative="0">
      <w:start w:val="1"/>
      <w:numFmt w:val="decimal"/>
      <w:lvlText w:val="%1.%2.%3"/>
      <w:lvlJc w:val="left"/>
      <w:pPr>
        <w:ind w:left="709" w:hanging="709"/>
      </w:pPr>
      <w:rPr>
        <w:rFonts w:hint="default" w:ascii="黑体" w:hAnsi="黑体" w:eastAsia="黑体" w:cs="黑体"/>
        <w:sz w:val="21"/>
        <w:szCs w:val="21"/>
      </w:rPr>
    </w:lvl>
    <w:lvl w:ilvl="3" w:tentative="0">
      <w:start w:val="1"/>
      <w:numFmt w:val="decimal"/>
      <w:lvlText w:val="%1.%2.%3.%4"/>
      <w:lvlJc w:val="left"/>
      <w:pPr>
        <w:ind w:left="850" w:hanging="850"/>
      </w:pPr>
      <w:rPr>
        <w:rFonts w:hint="default" w:ascii="黑体" w:hAnsi="黑体" w:eastAsia="黑体" w:cs="黑体"/>
        <w:sz w:val="21"/>
        <w:szCs w:val="21"/>
      </w:rPr>
    </w:lvl>
    <w:lvl w:ilvl="4" w:tentative="0">
      <w:start w:val="1"/>
      <w:numFmt w:val="decimal"/>
      <w:lvlText w:val="%1.%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7C1343C4"/>
    <w:multiLevelType w:val="multilevel"/>
    <w:tmpl w:val="7C1343C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2"/>
  </w:num>
  <w:num w:numId="3">
    <w:abstractNumId w:val="21"/>
  </w:num>
  <w:num w:numId="4">
    <w:abstractNumId w:val="28"/>
  </w:num>
  <w:num w:numId="5">
    <w:abstractNumId w:val="27"/>
  </w:num>
  <w:num w:numId="6">
    <w:abstractNumId w:val="17"/>
  </w:num>
  <w:num w:numId="7">
    <w:abstractNumId w:val="19"/>
  </w:num>
  <w:num w:numId="8">
    <w:abstractNumId w:val="6"/>
  </w:num>
  <w:num w:numId="9">
    <w:abstractNumId w:val="15"/>
  </w:num>
  <w:num w:numId="10">
    <w:abstractNumId w:val="29"/>
  </w:num>
  <w:num w:numId="11">
    <w:abstractNumId w:val="9"/>
  </w:num>
  <w:num w:numId="12">
    <w:abstractNumId w:val="18"/>
  </w:num>
  <w:num w:numId="13">
    <w:abstractNumId w:val="30"/>
  </w:num>
  <w:num w:numId="14">
    <w:abstractNumId w:val="16"/>
  </w:num>
  <w:num w:numId="15">
    <w:abstractNumId w:val="0"/>
  </w:num>
  <w:num w:numId="16">
    <w:abstractNumId w:val="7"/>
  </w:num>
  <w:num w:numId="17">
    <w:abstractNumId w:val="8"/>
  </w:num>
  <w:num w:numId="18">
    <w:abstractNumId w:val="13"/>
  </w:num>
  <w:num w:numId="19">
    <w:abstractNumId w:val="20"/>
  </w:num>
  <w:num w:numId="20">
    <w:abstractNumId w:val="3"/>
  </w:num>
  <w:num w:numId="21">
    <w:abstractNumId w:val="12"/>
  </w:num>
  <w:num w:numId="22">
    <w:abstractNumId w:val="31"/>
  </w:num>
  <w:num w:numId="23">
    <w:abstractNumId w:val="11"/>
  </w:num>
  <w:num w:numId="24">
    <w:abstractNumId w:val="26"/>
  </w:num>
  <w:num w:numId="25">
    <w:abstractNumId w:val="2"/>
  </w:num>
  <w:num w:numId="26">
    <w:abstractNumId w:val="24"/>
  </w:num>
  <w:num w:numId="27">
    <w:abstractNumId w:val="23"/>
  </w:num>
  <w:num w:numId="28">
    <w:abstractNumId w:val="4"/>
  </w:num>
  <w:num w:numId="29">
    <w:abstractNumId w:val="14"/>
  </w:num>
  <w:num w:numId="30">
    <w:abstractNumId w:val="25"/>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21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MmIzMzRmOTdmOWU1Y2M1NWQ0OTYwYTVjOTZlYWYifQ=="/>
  </w:docVars>
  <w:rsids>
    <w:rsidRoot w:val="003B02BF"/>
    <w:rsid w:val="00001C7D"/>
    <w:rsid w:val="00001DBA"/>
    <w:rsid w:val="00003EBE"/>
    <w:rsid w:val="000056BA"/>
    <w:rsid w:val="00005767"/>
    <w:rsid w:val="00006381"/>
    <w:rsid w:val="000104F5"/>
    <w:rsid w:val="000115F7"/>
    <w:rsid w:val="000133B8"/>
    <w:rsid w:val="000144B8"/>
    <w:rsid w:val="000145E0"/>
    <w:rsid w:val="00014AD9"/>
    <w:rsid w:val="000166CB"/>
    <w:rsid w:val="000201F6"/>
    <w:rsid w:val="00021037"/>
    <w:rsid w:val="00022EEB"/>
    <w:rsid w:val="00023C0B"/>
    <w:rsid w:val="0002783D"/>
    <w:rsid w:val="00031C40"/>
    <w:rsid w:val="00031F34"/>
    <w:rsid w:val="00032B00"/>
    <w:rsid w:val="000332D6"/>
    <w:rsid w:val="000332E6"/>
    <w:rsid w:val="0003335E"/>
    <w:rsid w:val="0003355F"/>
    <w:rsid w:val="00033577"/>
    <w:rsid w:val="00033D39"/>
    <w:rsid w:val="000373F8"/>
    <w:rsid w:val="00041048"/>
    <w:rsid w:val="00043B46"/>
    <w:rsid w:val="0004420E"/>
    <w:rsid w:val="0005033F"/>
    <w:rsid w:val="0005291C"/>
    <w:rsid w:val="00052D68"/>
    <w:rsid w:val="00056996"/>
    <w:rsid w:val="00056BB7"/>
    <w:rsid w:val="00057890"/>
    <w:rsid w:val="00057D48"/>
    <w:rsid w:val="000609A3"/>
    <w:rsid w:val="00062FAE"/>
    <w:rsid w:val="00065164"/>
    <w:rsid w:val="00066089"/>
    <w:rsid w:val="00067C11"/>
    <w:rsid w:val="00067D0F"/>
    <w:rsid w:val="00070E96"/>
    <w:rsid w:val="000710FB"/>
    <w:rsid w:val="00071214"/>
    <w:rsid w:val="00074DFF"/>
    <w:rsid w:val="000777F9"/>
    <w:rsid w:val="000811B3"/>
    <w:rsid w:val="00084F45"/>
    <w:rsid w:val="00085373"/>
    <w:rsid w:val="00085561"/>
    <w:rsid w:val="000856F9"/>
    <w:rsid w:val="00087B36"/>
    <w:rsid w:val="00093CFE"/>
    <w:rsid w:val="000A0BE4"/>
    <w:rsid w:val="000A2510"/>
    <w:rsid w:val="000A3622"/>
    <w:rsid w:val="000A7027"/>
    <w:rsid w:val="000B0A0F"/>
    <w:rsid w:val="000B111A"/>
    <w:rsid w:val="000B43EF"/>
    <w:rsid w:val="000B75C7"/>
    <w:rsid w:val="000B7824"/>
    <w:rsid w:val="000B7CD1"/>
    <w:rsid w:val="000D0989"/>
    <w:rsid w:val="000D3F96"/>
    <w:rsid w:val="000D4A8D"/>
    <w:rsid w:val="000D7957"/>
    <w:rsid w:val="000E0DCB"/>
    <w:rsid w:val="000E22AD"/>
    <w:rsid w:val="000E249B"/>
    <w:rsid w:val="000E4F6E"/>
    <w:rsid w:val="000F1667"/>
    <w:rsid w:val="000F23CE"/>
    <w:rsid w:val="000F42D3"/>
    <w:rsid w:val="000F5353"/>
    <w:rsid w:val="00101096"/>
    <w:rsid w:val="0010755A"/>
    <w:rsid w:val="001102D8"/>
    <w:rsid w:val="00113930"/>
    <w:rsid w:val="0012007F"/>
    <w:rsid w:val="00121093"/>
    <w:rsid w:val="00123787"/>
    <w:rsid w:val="00123F98"/>
    <w:rsid w:val="0012482F"/>
    <w:rsid w:val="00125086"/>
    <w:rsid w:val="0012743C"/>
    <w:rsid w:val="0012758B"/>
    <w:rsid w:val="00131515"/>
    <w:rsid w:val="001322CB"/>
    <w:rsid w:val="00135C56"/>
    <w:rsid w:val="001375F5"/>
    <w:rsid w:val="001378E9"/>
    <w:rsid w:val="00137A5C"/>
    <w:rsid w:val="001522E6"/>
    <w:rsid w:val="001540D3"/>
    <w:rsid w:val="00155840"/>
    <w:rsid w:val="00155E07"/>
    <w:rsid w:val="00157E37"/>
    <w:rsid w:val="00160A39"/>
    <w:rsid w:val="00164837"/>
    <w:rsid w:val="001652D2"/>
    <w:rsid w:val="0016594E"/>
    <w:rsid w:val="001661DF"/>
    <w:rsid w:val="001671D3"/>
    <w:rsid w:val="00167930"/>
    <w:rsid w:val="00170BA4"/>
    <w:rsid w:val="0017542E"/>
    <w:rsid w:val="00180A5D"/>
    <w:rsid w:val="00181B50"/>
    <w:rsid w:val="001838B5"/>
    <w:rsid w:val="00184466"/>
    <w:rsid w:val="001852FD"/>
    <w:rsid w:val="00185C32"/>
    <w:rsid w:val="0018714F"/>
    <w:rsid w:val="00190362"/>
    <w:rsid w:val="00191219"/>
    <w:rsid w:val="0019248B"/>
    <w:rsid w:val="001928C5"/>
    <w:rsid w:val="00192EDF"/>
    <w:rsid w:val="00195FCC"/>
    <w:rsid w:val="001A0145"/>
    <w:rsid w:val="001A068D"/>
    <w:rsid w:val="001A79C7"/>
    <w:rsid w:val="001B02DA"/>
    <w:rsid w:val="001B0732"/>
    <w:rsid w:val="001B07B6"/>
    <w:rsid w:val="001B2097"/>
    <w:rsid w:val="001B2D68"/>
    <w:rsid w:val="001B3349"/>
    <w:rsid w:val="001B5197"/>
    <w:rsid w:val="001B5754"/>
    <w:rsid w:val="001B5B38"/>
    <w:rsid w:val="001B5C77"/>
    <w:rsid w:val="001B63C3"/>
    <w:rsid w:val="001B6957"/>
    <w:rsid w:val="001B7027"/>
    <w:rsid w:val="001C56A8"/>
    <w:rsid w:val="001C6644"/>
    <w:rsid w:val="001C7212"/>
    <w:rsid w:val="001D2890"/>
    <w:rsid w:val="001D756E"/>
    <w:rsid w:val="001E2871"/>
    <w:rsid w:val="001E45EA"/>
    <w:rsid w:val="001E4CD6"/>
    <w:rsid w:val="001E579C"/>
    <w:rsid w:val="001E63C6"/>
    <w:rsid w:val="001F07FD"/>
    <w:rsid w:val="001F31E9"/>
    <w:rsid w:val="001F585A"/>
    <w:rsid w:val="00210461"/>
    <w:rsid w:val="002122FC"/>
    <w:rsid w:val="0021653B"/>
    <w:rsid w:val="00222533"/>
    <w:rsid w:val="0023067C"/>
    <w:rsid w:val="00230816"/>
    <w:rsid w:val="00231053"/>
    <w:rsid w:val="0023121F"/>
    <w:rsid w:val="0023172D"/>
    <w:rsid w:val="002327D5"/>
    <w:rsid w:val="00232C20"/>
    <w:rsid w:val="00234E87"/>
    <w:rsid w:val="002352DE"/>
    <w:rsid w:val="00242BB7"/>
    <w:rsid w:val="00245C3A"/>
    <w:rsid w:val="00250C93"/>
    <w:rsid w:val="0025210C"/>
    <w:rsid w:val="002562E8"/>
    <w:rsid w:val="00256A3F"/>
    <w:rsid w:val="00257956"/>
    <w:rsid w:val="002609CE"/>
    <w:rsid w:val="002610AF"/>
    <w:rsid w:val="00264BDF"/>
    <w:rsid w:val="00271E1E"/>
    <w:rsid w:val="0027485B"/>
    <w:rsid w:val="0027489F"/>
    <w:rsid w:val="0027652F"/>
    <w:rsid w:val="00276CDE"/>
    <w:rsid w:val="00277169"/>
    <w:rsid w:val="00277D13"/>
    <w:rsid w:val="00277EBE"/>
    <w:rsid w:val="00280F2C"/>
    <w:rsid w:val="0028105C"/>
    <w:rsid w:val="002819A4"/>
    <w:rsid w:val="0028462A"/>
    <w:rsid w:val="00287285"/>
    <w:rsid w:val="0029024C"/>
    <w:rsid w:val="00291526"/>
    <w:rsid w:val="00291CEF"/>
    <w:rsid w:val="00293FCF"/>
    <w:rsid w:val="00295023"/>
    <w:rsid w:val="00296025"/>
    <w:rsid w:val="002974AA"/>
    <w:rsid w:val="00297838"/>
    <w:rsid w:val="00297C09"/>
    <w:rsid w:val="002A0806"/>
    <w:rsid w:val="002A0B6D"/>
    <w:rsid w:val="002A1154"/>
    <w:rsid w:val="002A247E"/>
    <w:rsid w:val="002A2DF0"/>
    <w:rsid w:val="002A4C4F"/>
    <w:rsid w:val="002A5AE5"/>
    <w:rsid w:val="002B2EA9"/>
    <w:rsid w:val="002B3276"/>
    <w:rsid w:val="002B43DD"/>
    <w:rsid w:val="002B594D"/>
    <w:rsid w:val="002C3CF8"/>
    <w:rsid w:val="002C5F75"/>
    <w:rsid w:val="002C609A"/>
    <w:rsid w:val="002D1194"/>
    <w:rsid w:val="002D2273"/>
    <w:rsid w:val="002D3456"/>
    <w:rsid w:val="002D4669"/>
    <w:rsid w:val="002D54AC"/>
    <w:rsid w:val="002D68D6"/>
    <w:rsid w:val="002E392C"/>
    <w:rsid w:val="002E49B9"/>
    <w:rsid w:val="002E507B"/>
    <w:rsid w:val="002E6A44"/>
    <w:rsid w:val="002E6D6F"/>
    <w:rsid w:val="002F2004"/>
    <w:rsid w:val="002F5EF1"/>
    <w:rsid w:val="002F60A4"/>
    <w:rsid w:val="002F6977"/>
    <w:rsid w:val="00300207"/>
    <w:rsid w:val="00304F56"/>
    <w:rsid w:val="00305776"/>
    <w:rsid w:val="0031388C"/>
    <w:rsid w:val="003150BF"/>
    <w:rsid w:val="00315756"/>
    <w:rsid w:val="00317174"/>
    <w:rsid w:val="00325EF1"/>
    <w:rsid w:val="00327860"/>
    <w:rsid w:val="003302E0"/>
    <w:rsid w:val="00330CF1"/>
    <w:rsid w:val="00331E43"/>
    <w:rsid w:val="003321F0"/>
    <w:rsid w:val="00334471"/>
    <w:rsid w:val="0033503E"/>
    <w:rsid w:val="003418F1"/>
    <w:rsid w:val="00341EA9"/>
    <w:rsid w:val="00342B32"/>
    <w:rsid w:val="003446B6"/>
    <w:rsid w:val="003449F5"/>
    <w:rsid w:val="00344D16"/>
    <w:rsid w:val="00347378"/>
    <w:rsid w:val="003516C8"/>
    <w:rsid w:val="00352C18"/>
    <w:rsid w:val="00353421"/>
    <w:rsid w:val="0035399B"/>
    <w:rsid w:val="00354DBC"/>
    <w:rsid w:val="0036039F"/>
    <w:rsid w:val="00363B71"/>
    <w:rsid w:val="003655D8"/>
    <w:rsid w:val="00367F98"/>
    <w:rsid w:val="00375155"/>
    <w:rsid w:val="00375A40"/>
    <w:rsid w:val="0037676E"/>
    <w:rsid w:val="003770AE"/>
    <w:rsid w:val="00377186"/>
    <w:rsid w:val="00381EB8"/>
    <w:rsid w:val="00390E9C"/>
    <w:rsid w:val="00391142"/>
    <w:rsid w:val="003947D2"/>
    <w:rsid w:val="00397047"/>
    <w:rsid w:val="00397898"/>
    <w:rsid w:val="00397BA8"/>
    <w:rsid w:val="003A1A84"/>
    <w:rsid w:val="003A2D79"/>
    <w:rsid w:val="003B02BF"/>
    <w:rsid w:val="003B0510"/>
    <w:rsid w:val="003B14A6"/>
    <w:rsid w:val="003B320A"/>
    <w:rsid w:val="003B4BAC"/>
    <w:rsid w:val="003B511D"/>
    <w:rsid w:val="003C2096"/>
    <w:rsid w:val="003C2C7D"/>
    <w:rsid w:val="003C4BF0"/>
    <w:rsid w:val="003C66EF"/>
    <w:rsid w:val="003C6803"/>
    <w:rsid w:val="003C7352"/>
    <w:rsid w:val="003C7599"/>
    <w:rsid w:val="003D56B1"/>
    <w:rsid w:val="003D697A"/>
    <w:rsid w:val="003E14E7"/>
    <w:rsid w:val="003E780F"/>
    <w:rsid w:val="003F18F1"/>
    <w:rsid w:val="003F38A0"/>
    <w:rsid w:val="003F43DF"/>
    <w:rsid w:val="003F472E"/>
    <w:rsid w:val="003F4891"/>
    <w:rsid w:val="004008AA"/>
    <w:rsid w:val="0040548D"/>
    <w:rsid w:val="00406D9B"/>
    <w:rsid w:val="004078B7"/>
    <w:rsid w:val="004104C0"/>
    <w:rsid w:val="004134C1"/>
    <w:rsid w:val="00416A74"/>
    <w:rsid w:val="0041718F"/>
    <w:rsid w:val="00420FB9"/>
    <w:rsid w:val="004219C3"/>
    <w:rsid w:val="00423700"/>
    <w:rsid w:val="004309B6"/>
    <w:rsid w:val="00430E14"/>
    <w:rsid w:val="00432904"/>
    <w:rsid w:val="004365F4"/>
    <w:rsid w:val="00437535"/>
    <w:rsid w:val="0044233E"/>
    <w:rsid w:val="00445423"/>
    <w:rsid w:val="00445E68"/>
    <w:rsid w:val="00445F92"/>
    <w:rsid w:val="00446F8C"/>
    <w:rsid w:val="00447703"/>
    <w:rsid w:val="00447869"/>
    <w:rsid w:val="004519DA"/>
    <w:rsid w:val="00451E0B"/>
    <w:rsid w:val="00453017"/>
    <w:rsid w:val="004547CC"/>
    <w:rsid w:val="00454954"/>
    <w:rsid w:val="00455030"/>
    <w:rsid w:val="004556DD"/>
    <w:rsid w:val="0045662F"/>
    <w:rsid w:val="00463A4A"/>
    <w:rsid w:val="00463BD0"/>
    <w:rsid w:val="004646DD"/>
    <w:rsid w:val="00465F4D"/>
    <w:rsid w:val="004661F3"/>
    <w:rsid w:val="004670B0"/>
    <w:rsid w:val="0047096B"/>
    <w:rsid w:val="00473866"/>
    <w:rsid w:val="00475E7E"/>
    <w:rsid w:val="00481F83"/>
    <w:rsid w:val="00482E0B"/>
    <w:rsid w:val="004839E7"/>
    <w:rsid w:val="00483F2D"/>
    <w:rsid w:val="00492EC4"/>
    <w:rsid w:val="0049639B"/>
    <w:rsid w:val="004A0E17"/>
    <w:rsid w:val="004A2CC7"/>
    <w:rsid w:val="004A4C34"/>
    <w:rsid w:val="004B2286"/>
    <w:rsid w:val="004B35C2"/>
    <w:rsid w:val="004B5604"/>
    <w:rsid w:val="004B7404"/>
    <w:rsid w:val="004C1BCB"/>
    <w:rsid w:val="004C1E75"/>
    <w:rsid w:val="004C30A6"/>
    <w:rsid w:val="004C6A9F"/>
    <w:rsid w:val="004C6E74"/>
    <w:rsid w:val="004D0831"/>
    <w:rsid w:val="004D1BD4"/>
    <w:rsid w:val="004D2250"/>
    <w:rsid w:val="004D5CA1"/>
    <w:rsid w:val="004D74B3"/>
    <w:rsid w:val="004E1B7E"/>
    <w:rsid w:val="004E284C"/>
    <w:rsid w:val="004E2853"/>
    <w:rsid w:val="004E2B73"/>
    <w:rsid w:val="004E2E34"/>
    <w:rsid w:val="004E380E"/>
    <w:rsid w:val="004E74CF"/>
    <w:rsid w:val="004F198E"/>
    <w:rsid w:val="004F30C4"/>
    <w:rsid w:val="004F588F"/>
    <w:rsid w:val="004F6028"/>
    <w:rsid w:val="00500946"/>
    <w:rsid w:val="00500F0D"/>
    <w:rsid w:val="00501F84"/>
    <w:rsid w:val="0050531B"/>
    <w:rsid w:val="0051162E"/>
    <w:rsid w:val="00521B2F"/>
    <w:rsid w:val="00522148"/>
    <w:rsid w:val="005254D6"/>
    <w:rsid w:val="005258E0"/>
    <w:rsid w:val="0053228E"/>
    <w:rsid w:val="0053334C"/>
    <w:rsid w:val="005364E8"/>
    <w:rsid w:val="00536875"/>
    <w:rsid w:val="00537D4F"/>
    <w:rsid w:val="0054052D"/>
    <w:rsid w:val="0054056B"/>
    <w:rsid w:val="0054351F"/>
    <w:rsid w:val="00546284"/>
    <w:rsid w:val="00547BAA"/>
    <w:rsid w:val="00550EB4"/>
    <w:rsid w:val="00550EDF"/>
    <w:rsid w:val="00552384"/>
    <w:rsid w:val="005543A4"/>
    <w:rsid w:val="00555F8B"/>
    <w:rsid w:val="00557E16"/>
    <w:rsid w:val="00562342"/>
    <w:rsid w:val="00562AA7"/>
    <w:rsid w:val="00562AED"/>
    <w:rsid w:val="00564CD2"/>
    <w:rsid w:val="0056646D"/>
    <w:rsid w:val="0056761B"/>
    <w:rsid w:val="00567F46"/>
    <w:rsid w:val="00573D81"/>
    <w:rsid w:val="005753FC"/>
    <w:rsid w:val="00581225"/>
    <w:rsid w:val="00581AEE"/>
    <w:rsid w:val="005917BE"/>
    <w:rsid w:val="00593360"/>
    <w:rsid w:val="005944E1"/>
    <w:rsid w:val="00595ACA"/>
    <w:rsid w:val="005A0BD1"/>
    <w:rsid w:val="005A11F7"/>
    <w:rsid w:val="005A397A"/>
    <w:rsid w:val="005A3C9D"/>
    <w:rsid w:val="005A41CC"/>
    <w:rsid w:val="005A42A1"/>
    <w:rsid w:val="005A770E"/>
    <w:rsid w:val="005B2D36"/>
    <w:rsid w:val="005B6A28"/>
    <w:rsid w:val="005B7E8D"/>
    <w:rsid w:val="005C2C57"/>
    <w:rsid w:val="005C3535"/>
    <w:rsid w:val="005C4F1F"/>
    <w:rsid w:val="005C7A97"/>
    <w:rsid w:val="005C7AD9"/>
    <w:rsid w:val="005D109D"/>
    <w:rsid w:val="005D183E"/>
    <w:rsid w:val="005D3186"/>
    <w:rsid w:val="005D3CEA"/>
    <w:rsid w:val="005D48EB"/>
    <w:rsid w:val="005D4C8D"/>
    <w:rsid w:val="005D55DE"/>
    <w:rsid w:val="005D5A4B"/>
    <w:rsid w:val="005E330C"/>
    <w:rsid w:val="005E6492"/>
    <w:rsid w:val="005F1BB4"/>
    <w:rsid w:val="0060224A"/>
    <w:rsid w:val="00603032"/>
    <w:rsid w:val="00604483"/>
    <w:rsid w:val="006056B8"/>
    <w:rsid w:val="0061085B"/>
    <w:rsid w:val="00615DC9"/>
    <w:rsid w:val="00617223"/>
    <w:rsid w:val="00617DD3"/>
    <w:rsid w:val="006234B2"/>
    <w:rsid w:val="006246A6"/>
    <w:rsid w:val="00625576"/>
    <w:rsid w:val="00625BAF"/>
    <w:rsid w:val="006275DC"/>
    <w:rsid w:val="00630AFA"/>
    <w:rsid w:val="006313AC"/>
    <w:rsid w:val="00632B07"/>
    <w:rsid w:val="00634DEA"/>
    <w:rsid w:val="00636E9F"/>
    <w:rsid w:val="00640C71"/>
    <w:rsid w:val="006425D1"/>
    <w:rsid w:val="00643394"/>
    <w:rsid w:val="006444C8"/>
    <w:rsid w:val="00644862"/>
    <w:rsid w:val="006450DC"/>
    <w:rsid w:val="00646933"/>
    <w:rsid w:val="00647072"/>
    <w:rsid w:val="00652C7F"/>
    <w:rsid w:val="00653C51"/>
    <w:rsid w:val="006541C0"/>
    <w:rsid w:val="00655742"/>
    <w:rsid w:val="00662D52"/>
    <w:rsid w:val="00665B7B"/>
    <w:rsid w:val="00665EDB"/>
    <w:rsid w:val="00667B5F"/>
    <w:rsid w:val="006728C4"/>
    <w:rsid w:val="00674284"/>
    <w:rsid w:val="0067631F"/>
    <w:rsid w:val="006965CE"/>
    <w:rsid w:val="006A4633"/>
    <w:rsid w:val="006A48D7"/>
    <w:rsid w:val="006A5323"/>
    <w:rsid w:val="006A5F04"/>
    <w:rsid w:val="006A7986"/>
    <w:rsid w:val="006A7C21"/>
    <w:rsid w:val="006B0423"/>
    <w:rsid w:val="006B061C"/>
    <w:rsid w:val="006B06B3"/>
    <w:rsid w:val="006B3155"/>
    <w:rsid w:val="006B3711"/>
    <w:rsid w:val="006B600D"/>
    <w:rsid w:val="006B675C"/>
    <w:rsid w:val="006B7957"/>
    <w:rsid w:val="006C02A8"/>
    <w:rsid w:val="006C1AE4"/>
    <w:rsid w:val="006C1FAA"/>
    <w:rsid w:val="006C2134"/>
    <w:rsid w:val="006C45C2"/>
    <w:rsid w:val="006C4766"/>
    <w:rsid w:val="006C6784"/>
    <w:rsid w:val="006D03E5"/>
    <w:rsid w:val="006D0410"/>
    <w:rsid w:val="006D1096"/>
    <w:rsid w:val="006D1B18"/>
    <w:rsid w:val="006D3759"/>
    <w:rsid w:val="006D602F"/>
    <w:rsid w:val="006E1D84"/>
    <w:rsid w:val="006E20A9"/>
    <w:rsid w:val="006E28F6"/>
    <w:rsid w:val="006E366F"/>
    <w:rsid w:val="006E661E"/>
    <w:rsid w:val="006F1561"/>
    <w:rsid w:val="006F1A8E"/>
    <w:rsid w:val="006F264C"/>
    <w:rsid w:val="006F3E2B"/>
    <w:rsid w:val="006F429C"/>
    <w:rsid w:val="006F646A"/>
    <w:rsid w:val="006F79A3"/>
    <w:rsid w:val="00701C7C"/>
    <w:rsid w:val="00703778"/>
    <w:rsid w:val="0070732B"/>
    <w:rsid w:val="007075EF"/>
    <w:rsid w:val="00710731"/>
    <w:rsid w:val="00711731"/>
    <w:rsid w:val="00711A23"/>
    <w:rsid w:val="00711B3F"/>
    <w:rsid w:val="00713B1C"/>
    <w:rsid w:val="00715784"/>
    <w:rsid w:val="0071638E"/>
    <w:rsid w:val="00720E7E"/>
    <w:rsid w:val="00724947"/>
    <w:rsid w:val="00725E24"/>
    <w:rsid w:val="00730C27"/>
    <w:rsid w:val="00734FF0"/>
    <w:rsid w:val="00736A11"/>
    <w:rsid w:val="0074521C"/>
    <w:rsid w:val="00747726"/>
    <w:rsid w:val="007507B4"/>
    <w:rsid w:val="0075242B"/>
    <w:rsid w:val="00754D6F"/>
    <w:rsid w:val="007627D0"/>
    <w:rsid w:val="0076445F"/>
    <w:rsid w:val="007659E1"/>
    <w:rsid w:val="007700EF"/>
    <w:rsid w:val="00771AD7"/>
    <w:rsid w:val="00772872"/>
    <w:rsid w:val="00772DD5"/>
    <w:rsid w:val="00774A83"/>
    <w:rsid w:val="00783BF5"/>
    <w:rsid w:val="00785FE1"/>
    <w:rsid w:val="00787284"/>
    <w:rsid w:val="00793194"/>
    <w:rsid w:val="00797E45"/>
    <w:rsid w:val="007A0650"/>
    <w:rsid w:val="007A627C"/>
    <w:rsid w:val="007B2ADE"/>
    <w:rsid w:val="007B2C56"/>
    <w:rsid w:val="007B2D2A"/>
    <w:rsid w:val="007B36B5"/>
    <w:rsid w:val="007B3875"/>
    <w:rsid w:val="007B3895"/>
    <w:rsid w:val="007C0E1E"/>
    <w:rsid w:val="007C1577"/>
    <w:rsid w:val="007C3425"/>
    <w:rsid w:val="007C3FAA"/>
    <w:rsid w:val="007C4E94"/>
    <w:rsid w:val="007C52AC"/>
    <w:rsid w:val="007C6AD9"/>
    <w:rsid w:val="007C7A69"/>
    <w:rsid w:val="007D25A2"/>
    <w:rsid w:val="007D36DF"/>
    <w:rsid w:val="007D7712"/>
    <w:rsid w:val="007E0B7F"/>
    <w:rsid w:val="007E0C5B"/>
    <w:rsid w:val="007E123D"/>
    <w:rsid w:val="007E1C33"/>
    <w:rsid w:val="007E36BC"/>
    <w:rsid w:val="007E57C2"/>
    <w:rsid w:val="007E67EE"/>
    <w:rsid w:val="007F0563"/>
    <w:rsid w:val="007F1A61"/>
    <w:rsid w:val="007F2B3C"/>
    <w:rsid w:val="008015DF"/>
    <w:rsid w:val="00807923"/>
    <w:rsid w:val="0081243B"/>
    <w:rsid w:val="008131DE"/>
    <w:rsid w:val="008138AD"/>
    <w:rsid w:val="00814253"/>
    <w:rsid w:val="008145B6"/>
    <w:rsid w:val="00816BEC"/>
    <w:rsid w:val="0082132A"/>
    <w:rsid w:val="00822657"/>
    <w:rsid w:val="00822DE4"/>
    <w:rsid w:val="00823726"/>
    <w:rsid w:val="00825CE5"/>
    <w:rsid w:val="0082669B"/>
    <w:rsid w:val="008344D3"/>
    <w:rsid w:val="00841280"/>
    <w:rsid w:val="0084131F"/>
    <w:rsid w:val="0084163F"/>
    <w:rsid w:val="0084178F"/>
    <w:rsid w:val="008430D6"/>
    <w:rsid w:val="00843461"/>
    <w:rsid w:val="0084472F"/>
    <w:rsid w:val="00845ECB"/>
    <w:rsid w:val="00845F97"/>
    <w:rsid w:val="008467A6"/>
    <w:rsid w:val="00846E58"/>
    <w:rsid w:val="008474A5"/>
    <w:rsid w:val="00852698"/>
    <w:rsid w:val="00854ACF"/>
    <w:rsid w:val="00854C61"/>
    <w:rsid w:val="00854F40"/>
    <w:rsid w:val="0085504F"/>
    <w:rsid w:val="00857250"/>
    <w:rsid w:val="0086019D"/>
    <w:rsid w:val="00861A09"/>
    <w:rsid w:val="00866BB7"/>
    <w:rsid w:val="008702BE"/>
    <w:rsid w:val="00871109"/>
    <w:rsid w:val="00871C3E"/>
    <w:rsid w:val="00874C40"/>
    <w:rsid w:val="008754AB"/>
    <w:rsid w:val="00875848"/>
    <w:rsid w:val="00875B34"/>
    <w:rsid w:val="00877A99"/>
    <w:rsid w:val="008800BA"/>
    <w:rsid w:val="00885A28"/>
    <w:rsid w:val="00890212"/>
    <w:rsid w:val="00891B31"/>
    <w:rsid w:val="0089620B"/>
    <w:rsid w:val="00896BE8"/>
    <w:rsid w:val="008A05DE"/>
    <w:rsid w:val="008A60D0"/>
    <w:rsid w:val="008A636B"/>
    <w:rsid w:val="008B4ABC"/>
    <w:rsid w:val="008C04DC"/>
    <w:rsid w:val="008C0B23"/>
    <w:rsid w:val="008C31CB"/>
    <w:rsid w:val="008C426B"/>
    <w:rsid w:val="008C4948"/>
    <w:rsid w:val="008C6864"/>
    <w:rsid w:val="008C7A95"/>
    <w:rsid w:val="008D03A6"/>
    <w:rsid w:val="008D1A03"/>
    <w:rsid w:val="008D332B"/>
    <w:rsid w:val="008D38FC"/>
    <w:rsid w:val="008D7603"/>
    <w:rsid w:val="008E007B"/>
    <w:rsid w:val="008E3215"/>
    <w:rsid w:val="008E5811"/>
    <w:rsid w:val="008E5994"/>
    <w:rsid w:val="008E733D"/>
    <w:rsid w:val="008F00DF"/>
    <w:rsid w:val="008F0590"/>
    <w:rsid w:val="008F284E"/>
    <w:rsid w:val="0090143E"/>
    <w:rsid w:val="00902AC5"/>
    <w:rsid w:val="009060BD"/>
    <w:rsid w:val="00911157"/>
    <w:rsid w:val="009131E3"/>
    <w:rsid w:val="009154F5"/>
    <w:rsid w:val="0091677B"/>
    <w:rsid w:val="009220F0"/>
    <w:rsid w:val="00922DB9"/>
    <w:rsid w:val="0092354A"/>
    <w:rsid w:val="0092382D"/>
    <w:rsid w:val="00924520"/>
    <w:rsid w:val="00925A26"/>
    <w:rsid w:val="00927863"/>
    <w:rsid w:val="00930A14"/>
    <w:rsid w:val="009326AE"/>
    <w:rsid w:val="00936555"/>
    <w:rsid w:val="009429A2"/>
    <w:rsid w:val="00944725"/>
    <w:rsid w:val="00946000"/>
    <w:rsid w:val="009509F7"/>
    <w:rsid w:val="0095119B"/>
    <w:rsid w:val="00953CE6"/>
    <w:rsid w:val="00954D5C"/>
    <w:rsid w:val="009567CA"/>
    <w:rsid w:val="009571EC"/>
    <w:rsid w:val="009618C7"/>
    <w:rsid w:val="009632BD"/>
    <w:rsid w:val="00963727"/>
    <w:rsid w:val="009706E0"/>
    <w:rsid w:val="00970EF2"/>
    <w:rsid w:val="009711B7"/>
    <w:rsid w:val="009733F8"/>
    <w:rsid w:val="0097409F"/>
    <w:rsid w:val="00977B1C"/>
    <w:rsid w:val="00977D37"/>
    <w:rsid w:val="00980942"/>
    <w:rsid w:val="00982F49"/>
    <w:rsid w:val="0098492A"/>
    <w:rsid w:val="00985670"/>
    <w:rsid w:val="00987E8C"/>
    <w:rsid w:val="00990EE0"/>
    <w:rsid w:val="00991B67"/>
    <w:rsid w:val="00995850"/>
    <w:rsid w:val="00995929"/>
    <w:rsid w:val="009972E9"/>
    <w:rsid w:val="009A57F6"/>
    <w:rsid w:val="009A76E0"/>
    <w:rsid w:val="009B0985"/>
    <w:rsid w:val="009B1C1B"/>
    <w:rsid w:val="009B58B3"/>
    <w:rsid w:val="009B66AF"/>
    <w:rsid w:val="009B6B14"/>
    <w:rsid w:val="009B7EC1"/>
    <w:rsid w:val="009C24CD"/>
    <w:rsid w:val="009C322B"/>
    <w:rsid w:val="009C3D46"/>
    <w:rsid w:val="009C4988"/>
    <w:rsid w:val="009C6547"/>
    <w:rsid w:val="009D6BA0"/>
    <w:rsid w:val="009E3768"/>
    <w:rsid w:val="009E7151"/>
    <w:rsid w:val="009F084B"/>
    <w:rsid w:val="009F170C"/>
    <w:rsid w:val="009F4D88"/>
    <w:rsid w:val="009F60D9"/>
    <w:rsid w:val="009F6969"/>
    <w:rsid w:val="00A01CED"/>
    <w:rsid w:val="00A03AAA"/>
    <w:rsid w:val="00A05DF2"/>
    <w:rsid w:val="00A06214"/>
    <w:rsid w:val="00A1043A"/>
    <w:rsid w:val="00A10993"/>
    <w:rsid w:val="00A12243"/>
    <w:rsid w:val="00A12730"/>
    <w:rsid w:val="00A176F3"/>
    <w:rsid w:val="00A17FF2"/>
    <w:rsid w:val="00A20340"/>
    <w:rsid w:val="00A20966"/>
    <w:rsid w:val="00A22E63"/>
    <w:rsid w:val="00A24793"/>
    <w:rsid w:val="00A25006"/>
    <w:rsid w:val="00A255B5"/>
    <w:rsid w:val="00A27FD8"/>
    <w:rsid w:val="00A304C4"/>
    <w:rsid w:val="00A31A71"/>
    <w:rsid w:val="00A32AE8"/>
    <w:rsid w:val="00A34A35"/>
    <w:rsid w:val="00A359D1"/>
    <w:rsid w:val="00A50552"/>
    <w:rsid w:val="00A51DD0"/>
    <w:rsid w:val="00A5230E"/>
    <w:rsid w:val="00A52531"/>
    <w:rsid w:val="00A53364"/>
    <w:rsid w:val="00A55654"/>
    <w:rsid w:val="00A57163"/>
    <w:rsid w:val="00A6269C"/>
    <w:rsid w:val="00A634F0"/>
    <w:rsid w:val="00A639DB"/>
    <w:rsid w:val="00A64084"/>
    <w:rsid w:val="00A64E54"/>
    <w:rsid w:val="00A6534F"/>
    <w:rsid w:val="00A67826"/>
    <w:rsid w:val="00A7216C"/>
    <w:rsid w:val="00A7598C"/>
    <w:rsid w:val="00A77D8A"/>
    <w:rsid w:val="00A8354E"/>
    <w:rsid w:val="00A84816"/>
    <w:rsid w:val="00A85AB0"/>
    <w:rsid w:val="00A86619"/>
    <w:rsid w:val="00A90979"/>
    <w:rsid w:val="00A94FF4"/>
    <w:rsid w:val="00A963C4"/>
    <w:rsid w:val="00AA127E"/>
    <w:rsid w:val="00AA1B4E"/>
    <w:rsid w:val="00AA27EA"/>
    <w:rsid w:val="00AA64CD"/>
    <w:rsid w:val="00AB1E30"/>
    <w:rsid w:val="00AB475C"/>
    <w:rsid w:val="00AB496A"/>
    <w:rsid w:val="00AB4B07"/>
    <w:rsid w:val="00AB7650"/>
    <w:rsid w:val="00AC5F02"/>
    <w:rsid w:val="00AC65C2"/>
    <w:rsid w:val="00AC68BA"/>
    <w:rsid w:val="00AD0250"/>
    <w:rsid w:val="00AD0851"/>
    <w:rsid w:val="00AD1739"/>
    <w:rsid w:val="00AD269B"/>
    <w:rsid w:val="00AD64FE"/>
    <w:rsid w:val="00AD67A2"/>
    <w:rsid w:val="00AF6E46"/>
    <w:rsid w:val="00AF7E0C"/>
    <w:rsid w:val="00AF7F1F"/>
    <w:rsid w:val="00B001F3"/>
    <w:rsid w:val="00B01D4A"/>
    <w:rsid w:val="00B0290C"/>
    <w:rsid w:val="00B063B8"/>
    <w:rsid w:val="00B12054"/>
    <w:rsid w:val="00B13199"/>
    <w:rsid w:val="00B134B9"/>
    <w:rsid w:val="00B15490"/>
    <w:rsid w:val="00B154AB"/>
    <w:rsid w:val="00B17824"/>
    <w:rsid w:val="00B23726"/>
    <w:rsid w:val="00B24097"/>
    <w:rsid w:val="00B25308"/>
    <w:rsid w:val="00B25EA7"/>
    <w:rsid w:val="00B26DD1"/>
    <w:rsid w:val="00B30BC3"/>
    <w:rsid w:val="00B31BAB"/>
    <w:rsid w:val="00B34349"/>
    <w:rsid w:val="00B43867"/>
    <w:rsid w:val="00B44E09"/>
    <w:rsid w:val="00B45A86"/>
    <w:rsid w:val="00B45E91"/>
    <w:rsid w:val="00B4624C"/>
    <w:rsid w:val="00B51B12"/>
    <w:rsid w:val="00B53104"/>
    <w:rsid w:val="00B62D2E"/>
    <w:rsid w:val="00B63A09"/>
    <w:rsid w:val="00B70A9F"/>
    <w:rsid w:val="00B84ABD"/>
    <w:rsid w:val="00B922F0"/>
    <w:rsid w:val="00BA06AA"/>
    <w:rsid w:val="00BA25C9"/>
    <w:rsid w:val="00BA3E6A"/>
    <w:rsid w:val="00BB67EA"/>
    <w:rsid w:val="00BC1DE1"/>
    <w:rsid w:val="00BC1E57"/>
    <w:rsid w:val="00BC27E3"/>
    <w:rsid w:val="00BC3467"/>
    <w:rsid w:val="00BC5B73"/>
    <w:rsid w:val="00BC5E52"/>
    <w:rsid w:val="00BC791F"/>
    <w:rsid w:val="00BE3BBB"/>
    <w:rsid w:val="00BE6BD6"/>
    <w:rsid w:val="00BF04E1"/>
    <w:rsid w:val="00BF2B1B"/>
    <w:rsid w:val="00BF4046"/>
    <w:rsid w:val="00BF754C"/>
    <w:rsid w:val="00BF786B"/>
    <w:rsid w:val="00C01764"/>
    <w:rsid w:val="00C01E37"/>
    <w:rsid w:val="00C05C4F"/>
    <w:rsid w:val="00C0622F"/>
    <w:rsid w:val="00C12395"/>
    <w:rsid w:val="00C129EB"/>
    <w:rsid w:val="00C13976"/>
    <w:rsid w:val="00C14626"/>
    <w:rsid w:val="00C14E53"/>
    <w:rsid w:val="00C17AC9"/>
    <w:rsid w:val="00C21B9D"/>
    <w:rsid w:val="00C24CED"/>
    <w:rsid w:val="00C26327"/>
    <w:rsid w:val="00C30929"/>
    <w:rsid w:val="00C30BB2"/>
    <w:rsid w:val="00C3195E"/>
    <w:rsid w:val="00C31FA5"/>
    <w:rsid w:val="00C34116"/>
    <w:rsid w:val="00C42629"/>
    <w:rsid w:val="00C449C9"/>
    <w:rsid w:val="00C46406"/>
    <w:rsid w:val="00C50CA7"/>
    <w:rsid w:val="00C52373"/>
    <w:rsid w:val="00C60D30"/>
    <w:rsid w:val="00C61527"/>
    <w:rsid w:val="00C61AB6"/>
    <w:rsid w:val="00C61FE1"/>
    <w:rsid w:val="00C63653"/>
    <w:rsid w:val="00C64DCC"/>
    <w:rsid w:val="00C66BFE"/>
    <w:rsid w:val="00C725BF"/>
    <w:rsid w:val="00C72B8E"/>
    <w:rsid w:val="00C734E4"/>
    <w:rsid w:val="00C74217"/>
    <w:rsid w:val="00C76631"/>
    <w:rsid w:val="00C80600"/>
    <w:rsid w:val="00C80754"/>
    <w:rsid w:val="00C80D93"/>
    <w:rsid w:val="00C82FD6"/>
    <w:rsid w:val="00C84060"/>
    <w:rsid w:val="00C85CD3"/>
    <w:rsid w:val="00C90916"/>
    <w:rsid w:val="00C91C5A"/>
    <w:rsid w:val="00CA09B3"/>
    <w:rsid w:val="00CA0D4E"/>
    <w:rsid w:val="00CA3059"/>
    <w:rsid w:val="00CA3548"/>
    <w:rsid w:val="00CA35BF"/>
    <w:rsid w:val="00CA39ED"/>
    <w:rsid w:val="00CA6E77"/>
    <w:rsid w:val="00CA7484"/>
    <w:rsid w:val="00CB577E"/>
    <w:rsid w:val="00CB6730"/>
    <w:rsid w:val="00CC0728"/>
    <w:rsid w:val="00CC092C"/>
    <w:rsid w:val="00CC1CCD"/>
    <w:rsid w:val="00CC2F29"/>
    <w:rsid w:val="00CC7095"/>
    <w:rsid w:val="00CD5690"/>
    <w:rsid w:val="00CE0A22"/>
    <w:rsid w:val="00CE11F5"/>
    <w:rsid w:val="00CE2BA7"/>
    <w:rsid w:val="00CE50B5"/>
    <w:rsid w:val="00CE77C4"/>
    <w:rsid w:val="00CF0FE0"/>
    <w:rsid w:val="00CF5AC4"/>
    <w:rsid w:val="00CF661E"/>
    <w:rsid w:val="00CF6B45"/>
    <w:rsid w:val="00CF6ECA"/>
    <w:rsid w:val="00D00A52"/>
    <w:rsid w:val="00D02373"/>
    <w:rsid w:val="00D03D5E"/>
    <w:rsid w:val="00D04188"/>
    <w:rsid w:val="00D0421E"/>
    <w:rsid w:val="00D074A6"/>
    <w:rsid w:val="00D116F4"/>
    <w:rsid w:val="00D11F33"/>
    <w:rsid w:val="00D12CD9"/>
    <w:rsid w:val="00D131FB"/>
    <w:rsid w:val="00D16658"/>
    <w:rsid w:val="00D17DBA"/>
    <w:rsid w:val="00D200C0"/>
    <w:rsid w:val="00D275D6"/>
    <w:rsid w:val="00D27EA5"/>
    <w:rsid w:val="00D31ED3"/>
    <w:rsid w:val="00D32969"/>
    <w:rsid w:val="00D35796"/>
    <w:rsid w:val="00D36E0C"/>
    <w:rsid w:val="00D37532"/>
    <w:rsid w:val="00D447AE"/>
    <w:rsid w:val="00D47CB5"/>
    <w:rsid w:val="00D47CE1"/>
    <w:rsid w:val="00D52829"/>
    <w:rsid w:val="00D52B13"/>
    <w:rsid w:val="00D57597"/>
    <w:rsid w:val="00D60B73"/>
    <w:rsid w:val="00D72231"/>
    <w:rsid w:val="00D7526D"/>
    <w:rsid w:val="00D752FD"/>
    <w:rsid w:val="00D7641A"/>
    <w:rsid w:val="00D80292"/>
    <w:rsid w:val="00D813AB"/>
    <w:rsid w:val="00D832D0"/>
    <w:rsid w:val="00D94A8B"/>
    <w:rsid w:val="00D94D9C"/>
    <w:rsid w:val="00D9612B"/>
    <w:rsid w:val="00D97087"/>
    <w:rsid w:val="00DA2C7B"/>
    <w:rsid w:val="00DA37F0"/>
    <w:rsid w:val="00DA5721"/>
    <w:rsid w:val="00DA5B77"/>
    <w:rsid w:val="00DB1522"/>
    <w:rsid w:val="00DB2F28"/>
    <w:rsid w:val="00DC1072"/>
    <w:rsid w:val="00DC17A3"/>
    <w:rsid w:val="00DC2E4D"/>
    <w:rsid w:val="00DC378B"/>
    <w:rsid w:val="00DC417F"/>
    <w:rsid w:val="00DC66F2"/>
    <w:rsid w:val="00DC7E01"/>
    <w:rsid w:val="00DD2A53"/>
    <w:rsid w:val="00DD39F5"/>
    <w:rsid w:val="00DD3C01"/>
    <w:rsid w:val="00DD687B"/>
    <w:rsid w:val="00DD7AF9"/>
    <w:rsid w:val="00DE00B2"/>
    <w:rsid w:val="00DE1FBD"/>
    <w:rsid w:val="00DE4782"/>
    <w:rsid w:val="00DE5930"/>
    <w:rsid w:val="00DF08A4"/>
    <w:rsid w:val="00DF2635"/>
    <w:rsid w:val="00DF2FB3"/>
    <w:rsid w:val="00DF3352"/>
    <w:rsid w:val="00DF37F9"/>
    <w:rsid w:val="00DF5298"/>
    <w:rsid w:val="00DF7A33"/>
    <w:rsid w:val="00DF7A53"/>
    <w:rsid w:val="00E00F55"/>
    <w:rsid w:val="00E15A3C"/>
    <w:rsid w:val="00E17AA5"/>
    <w:rsid w:val="00E2174F"/>
    <w:rsid w:val="00E22E17"/>
    <w:rsid w:val="00E22F09"/>
    <w:rsid w:val="00E23949"/>
    <w:rsid w:val="00E315D6"/>
    <w:rsid w:val="00E35643"/>
    <w:rsid w:val="00E37344"/>
    <w:rsid w:val="00E3778F"/>
    <w:rsid w:val="00E37A17"/>
    <w:rsid w:val="00E4480A"/>
    <w:rsid w:val="00E466D3"/>
    <w:rsid w:val="00E46D4D"/>
    <w:rsid w:val="00E47324"/>
    <w:rsid w:val="00E506D9"/>
    <w:rsid w:val="00E529EE"/>
    <w:rsid w:val="00E530A3"/>
    <w:rsid w:val="00E5541F"/>
    <w:rsid w:val="00E5666F"/>
    <w:rsid w:val="00E56DBA"/>
    <w:rsid w:val="00E6079D"/>
    <w:rsid w:val="00E62FF8"/>
    <w:rsid w:val="00E65D6C"/>
    <w:rsid w:val="00E7201D"/>
    <w:rsid w:val="00E83E12"/>
    <w:rsid w:val="00E84C34"/>
    <w:rsid w:val="00E85FB2"/>
    <w:rsid w:val="00E86FAA"/>
    <w:rsid w:val="00EA228F"/>
    <w:rsid w:val="00EA3DDE"/>
    <w:rsid w:val="00EA3F4F"/>
    <w:rsid w:val="00EA6348"/>
    <w:rsid w:val="00EB002D"/>
    <w:rsid w:val="00EB17A0"/>
    <w:rsid w:val="00EB190E"/>
    <w:rsid w:val="00EB2B6A"/>
    <w:rsid w:val="00EB2DC0"/>
    <w:rsid w:val="00EB4020"/>
    <w:rsid w:val="00EB40EE"/>
    <w:rsid w:val="00EB4277"/>
    <w:rsid w:val="00EB5CBE"/>
    <w:rsid w:val="00EC0A15"/>
    <w:rsid w:val="00EC3EF5"/>
    <w:rsid w:val="00EC4746"/>
    <w:rsid w:val="00EC4BAF"/>
    <w:rsid w:val="00ED066F"/>
    <w:rsid w:val="00ED1012"/>
    <w:rsid w:val="00ED4023"/>
    <w:rsid w:val="00ED7C02"/>
    <w:rsid w:val="00EE04A7"/>
    <w:rsid w:val="00EE1FE3"/>
    <w:rsid w:val="00EE39BE"/>
    <w:rsid w:val="00EE5182"/>
    <w:rsid w:val="00EE719E"/>
    <w:rsid w:val="00EF4CE7"/>
    <w:rsid w:val="00EF56C4"/>
    <w:rsid w:val="00EF579A"/>
    <w:rsid w:val="00F003C7"/>
    <w:rsid w:val="00F03B2C"/>
    <w:rsid w:val="00F063F9"/>
    <w:rsid w:val="00F10B05"/>
    <w:rsid w:val="00F14BFC"/>
    <w:rsid w:val="00F15005"/>
    <w:rsid w:val="00F16CFA"/>
    <w:rsid w:val="00F2035D"/>
    <w:rsid w:val="00F21638"/>
    <w:rsid w:val="00F2168E"/>
    <w:rsid w:val="00F2214B"/>
    <w:rsid w:val="00F22F10"/>
    <w:rsid w:val="00F24EBB"/>
    <w:rsid w:val="00F25189"/>
    <w:rsid w:val="00F26833"/>
    <w:rsid w:val="00F3096F"/>
    <w:rsid w:val="00F33C2F"/>
    <w:rsid w:val="00F33F72"/>
    <w:rsid w:val="00F3541C"/>
    <w:rsid w:val="00F36363"/>
    <w:rsid w:val="00F40399"/>
    <w:rsid w:val="00F4067F"/>
    <w:rsid w:val="00F414F4"/>
    <w:rsid w:val="00F4438B"/>
    <w:rsid w:val="00F46412"/>
    <w:rsid w:val="00F469B3"/>
    <w:rsid w:val="00F46BE4"/>
    <w:rsid w:val="00F47365"/>
    <w:rsid w:val="00F50F83"/>
    <w:rsid w:val="00F5270F"/>
    <w:rsid w:val="00F5775A"/>
    <w:rsid w:val="00F578C6"/>
    <w:rsid w:val="00F6253A"/>
    <w:rsid w:val="00F62C85"/>
    <w:rsid w:val="00F64BBB"/>
    <w:rsid w:val="00F6736E"/>
    <w:rsid w:val="00F7395C"/>
    <w:rsid w:val="00F73A11"/>
    <w:rsid w:val="00F75ED1"/>
    <w:rsid w:val="00F8299C"/>
    <w:rsid w:val="00F8346B"/>
    <w:rsid w:val="00F86123"/>
    <w:rsid w:val="00F91D37"/>
    <w:rsid w:val="00F93EC5"/>
    <w:rsid w:val="00FA0407"/>
    <w:rsid w:val="00FA09C6"/>
    <w:rsid w:val="00FA2DB3"/>
    <w:rsid w:val="00FA3688"/>
    <w:rsid w:val="00FA6CBE"/>
    <w:rsid w:val="00FA7481"/>
    <w:rsid w:val="00FB1E17"/>
    <w:rsid w:val="00FB2B6A"/>
    <w:rsid w:val="00FB3B05"/>
    <w:rsid w:val="00FB497B"/>
    <w:rsid w:val="00FB5C85"/>
    <w:rsid w:val="00FB6113"/>
    <w:rsid w:val="00FC3FCB"/>
    <w:rsid w:val="00FD21A5"/>
    <w:rsid w:val="00FD51D1"/>
    <w:rsid w:val="00FD6909"/>
    <w:rsid w:val="00FE0342"/>
    <w:rsid w:val="00FE038F"/>
    <w:rsid w:val="00FE04FF"/>
    <w:rsid w:val="00FE1E73"/>
    <w:rsid w:val="00FE2836"/>
    <w:rsid w:val="00FE2C24"/>
    <w:rsid w:val="00FE6C1F"/>
    <w:rsid w:val="00FF1907"/>
    <w:rsid w:val="00FF1D82"/>
    <w:rsid w:val="00FF4F16"/>
    <w:rsid w:val="00FF5373"/>
    <w:rsid w:val="01071EBF"/>
    <w:rsid w:val="011957F7"/>
    <w:rsid w:val="0121110C"/>
    <w:rsid w:val="013A774B"/>
    <w:rsid w:val="014E49A4"/>
    <w:rsid w:val="01534A43"/>
    <w:rsid w:val="015952FE"/>
    <w:rsid w:val="015A30C1"/>
    <w:rsid w:val="01726498"/>
    <w:rsid w:val="017A6333"/>
    <w:rsid w:val="017C0CB7"/>
    <w:rsid w:val="017C1DD7"/>
    <w:rsid w:val="017F0DF7"/>
    <w:rsid w:val="018302E9"/>
    <w:rsid w:val="01853A02"/>
    <w:rsid w:val="018777F5"/>
    <w:rsid w:val="01882870"/>
    <w:rsid w:val="01887E94"/>
    <w:rsid w:val="018F5ECF"/>
    <w:rsid w:val="01930B36"/>
    <w:rsid w:val="019F75FF"/>
    <w:rsid w:val="01A66E3B"/>
    <w:rsid w:val="01B10A40"/>
    <w:rsid w:val="01B21B90"/>
    <w:rsid w:val="01B62142"/>
    <w:rsid w:val="01BD1777"/>
    <w:rsid w:val="01C01C53"/>
    <w:rsid w:val="01C247F0"/>
    <w:rsid w:val="01C92CB1"/>
    <w:rsid w:val="01E4646B"/>
    <w:rsid w:val="01E46AB5"/>
    <w:rsid w:val="01EE4B2C"/>
    <w:rsid w:val="01EF1ADA"/>
    <w:rsid w:val="01F50ECB"/>
    <w:rsid w:val="020E1665"/>
    <w:rsid w:val="02295EC7"/>
    <w:rsid w:val="023E691F"/>
    <w:rsid w:val="023F0DFA"/>
    <w:rsid w:val="0242300F"/>
    <w:rsid w:val="025B19BE"/>
    <w:rsid w:val="026220BD"/>
    <w:rsid w:val="02691A7B"/>
    <w:rsid w:val="026E2E06"/>
    <w:rsid w:val="02755B15"/>
    <w:rsid w:val="02783FD3"/>
    <w:rsid w:val="02934EC9"/>
    <w:rsid w:val="029A7F7C"/>
    <w:rsid w:val="029C7EB2"/>
    <w:rsid w:val="02AD4C4E"/>
    <w:rsid w:val="02AF69F7"/>
    <w:rsid w:val="02B739E0"/>
    <w:rsid w:val="02C16911"/>
    <w:rsid w:val="02D9052D"/>
    <w:rsid w:val="02EA031C"/>
    <w:rsid w:val="02EC38F0"/>
    <w:rsid w:val="02F463C7"/>
    <w:rsid w:val="03020A00"/>
    <w:rsid w:val="03075F08"/>
    <w:rsid w:val="0321413B"/>
    <w:rsid w:val="03236993"/>
    <w:rsid w:val="032C57FC"/>
    <w:rsid w:val="033121F0"/>
    <w:rsid w:val="0332384D"/>
    <w:rsid w:val="033F7FE1"/>
    <w:rsid w:val="03436DB7"/>
    <w:rsid w:val="034416AE"/>
    <w:rsid w:val="035237F7"/>
    <w:rsid w:val="03541703"/>
    <w:rsid w:val="03554B96"/>
    <w:rsid w:val="035A03CB"/>
    <w:rsid w:val="036616B0"/>
    <w:rsid w:val="0366450A"/>
    <w:rsid w:val="03705946"/>
    <w:rsid w:val="037B1809"/>
    <w:rsid w:val="03812FBB"/>
    <w:rsid w:val="038E420B"/>
    <w:rsid w:val="039166B4"/>
    <w:rsid w:val="03920802"/>
    <w:rsid w:val="0398341E"/>
    <w:rsid w:val="03B71A91"/>
    <w:rsid w:val="03B75DDE"/>
    <w:rsid w:val="03CC0F3E"/>
    <w:rsid w:val="03D50A0C"/>
    <w:rsid w:val="03E06179"/>
    <w:rsid w:val="03E35015"/>
    <w:rsid w:val="03F47F88"/>
    <w:rsid w:val="03F54B0F"/>
    <w:rsid w:val="03FB4FB1"/>
    <w:rsid w:val="041C75F2"/>
    <w:rsid w:val="042E78D1"/>
    <w:rsid w:val="042E7C67"/>
    <w:rsid w:val="04323BD5"/>
    <w:rsid w:val="043400F8"/>
    <w:rsid w:val="044F50D5"/>
    <w:rsid w:val="04770561"/>
    <w:rsid w:val="04784101"/>
    <w:rsid w:val="047C5DE5"/>
    <w:rsid w:val="0485773C"/>
    <w:rsid w:val="048D2705"/>
    <w:rsid w:val="049949CF"/>
    <w:rsid w:val="049C7E6A"/>
    <w:rsid w:val="04A459A2"/>
    <w:rsid w:val="04AF18D7"/>
    <w:rsid w:val="04B35DBF"/>
    <w:rsid w:val="04B8484E"/>
    <w:rsid w:val="04C75D62"/>
    <w:rsid w:val="04CC5235"/>
    <w:rsid w:val="04D63C98"/>
    <w:rsid w:val="04E11F27"/>
    <w:rsid w:val="04EF69C3"/>
    <w:rsid w:val="04F3474F"/>
    <w:rsid w:val="04FF212C"/>
    <w:rsid w:val="0500658B"/>
    <w:rsid w:val="051515F3"/>
    <w:rsid w:val="05306E17"/>
    <w:rsid w:val="05580ED4"/>
    <w:rsid w:val="055A2149"/>
    <w:rsid w:val="055B78DA"/>
    <w:rsid w:val="055E3060"/>
    <w:rsid w:val="056955FA"/>
    <w:rsid w:val="05734921"/>
    <w:rsid w:val="05744C76"/>
    <w:rsid w:val="058960CD"/>
    <w:rsid w:val="058D0704"/>
    <w:rsid w:val="059D0822"/>
    <w:rsid w:val="059E6BE7"/>
    <w:rsid w:val="05B21995"/>
    <w:rsid w:val="05C22B02"/>
    <w:rsid w:val="05CC3DEB"/>
    <w:rsid w:val="05CD058E"/>
    <w:rsid w:val="05E308BC"/>
    <w:rsid w:val="05E9112E"/>
    <w:rsid w:val="05E945DC"/>
    <w:rsid w:val="05F248E8"/>
    <w:rsid w:val="05F65B0D"/>
    <w:rsid w:val="05FC0322"/>
    <w:rsid w:val="05FE7CD4"/>
    <w:rsid w:val="06195C46"/>
    <w:rsid w:val="0619728A"/>
    <w:rsid w:val="063E0174"/>
    <w:rsid w:val="063F34FF"/>
    <w:rsid w:val="064B4B18"/>
    <w:rsid w:val="065413B1"/>
    <w:rsid w:val="068B2523"/>
    <w:rsid w:val="068E4C49"/>
    <w:rsid w:val="06996C35"/>
    <w:rsid w:val="069B2B17"/>
    <w:rsid w:val="069B5B93"/>
    <w:rsid w:val="06C36FC2"/>
    <w:rsid w:val="06C57D9C"/>
    <w:rsid w:val="06CE71A8"/>
    <w:rsid w:val="06D53130"/>
    <w:rsid w:val="06EC2A14"/>
    <w:rsid w:val="06F757B1"/>
    <w:rsid w:val="07030BC2"/>
    <w:rsid w:val="071D1C68"/>
    <w:rsid w:val="07290E11"/>
    <w:rsid w:val="073837A5"/>
    <w:rsid w:val="074053F0"/>
    <w:rsid w:val="07441979"/>
    <w:rsid w:val="074858BD"/>
    <w:rsid w:val="07560903"/>
    <w:rsid w:val="075A686A"/>
    <w:rsid w:val="07634426"/>
    <w:rsid w:val="07703E47"/>
    <w:rsid w:val="0777317C"/>
    <w:rsid w:val="07874E15"/>
    <w:rsid w:val="078A4895"/>
    <w:rsid w:val="079768E8"/>
    <w:rsid w:val="079D29D5"/>
    <w:rsid w:val="07B27A2E"/>
    <w:rsid w:val="07B90E5C"/>
    <w:rsid w:val="07BE427A"/>
    <w:rsid w:val="07D04F20"/>
    <w:rsid w:val="07DF17F7"/>
    <w:rsid w:val="07E5385B"/>
    <w:rsid w:val="07EE6F48"/>
    <w:rsid w:val="07EF7047"/>
    <w:rsid w:val="07F63567"/>
    <w:rsid w:val="08107DC8"/>
    <w:rsid w:val="08174946"/>
    <w:rsid w:val="08364F1B"/>
    <w:rsid w:val="0839307D"/>
    <w:rsid w:val="083C44F3"/>
    <w:rsid w:val="085B68FD"/>
    <w:rsid w:val="08620E92"/>
    <w:rsid w:val="086B4C5E"/>
    <w:rsid w:val="0886108C"/>
    <w:rsid w:val="08964D98"/>
    <w:rsid w:val="089C6E1E"/>
    <w:rsid w:val="08A243C3"/>
    <w:rsid w:val="08A34459"/>
    <w:rsid w:val="08AB3EAE"/>
    <w:rsid w:val="08AB70B6"/>
    <w:rsid w:val="08CB0FC5"/>
    <w:rsid w:val="08CD464D"/>
    <w:rsid w:val="090A70B4"/>
    <w:rsid w:val="091B505B"/>
    <w:rsid w:val="09740D59"/>
    <w:rsid w:val="09762B92"/>
    <w:rsid w:val="097E3B04"/>
    <w:rsid w:val="098A02FB"/>
    <w:rsid w:val="0994066A"/>
    <w:rsid w:val="099C2DD2"/>
    <w:rsid w:val="09A46E65"/>
    <w:rsid w:val="09AA3990"/>
    <w:rsid w:val="09AB1305"/>
    <w:rsid w:val="09B03E0E"/>
    <w:rsid w:val="09B063EA"/>
    <w:rsid w:val="09B1603E"/>
    <w:rsid w:val="09B278C7"/>
    <w:rsid w:val="09B54AF2"/>
    <w:rsid w:val="09BA324D"/>
    <w:rsid w:val="09BA5C05"/>
    <w:rsid w:val="09C1778E"/>
    <w:rsid w:val="09E326DC"/>
    <w:rsid w:val="09ED1A78"/>
    <w:rsid w:val="09F84184"/>
    <w:rsid w:val="09FA4720"/>
    <w:rsid w:val="0A010EC6"/>
    <w:rsid w:val="0A094761"/>
    <w:rsid w:val="0A0D58AD"/>
    <w:rsid w:val="0A236EC8"/>
    <w:rsid w:val="0A2F0111"/>
    <w:rsid w:val="0A323162"/>
    <w:rsid w:val="0A3521E9"/>
    <w:rsid w:val="0A3F54EB"/>
    <w:rsid w:val="0A462B69"/>
    <w:rsid w:val="0A471F05"/>
    <w:rsid w:val="0A497585"/>
    <w:rsid w:val="0A874784"/>
    <w:rsid w:val="0A9358E8"/>
    <w:rsid w:val="0A942FB0"/>
    <w:rsid w:val="0A94343A"/>
    <w:rsid w:val="0A974A76"/>
    <w:rsid w:val="0A9C1D2A"/>
    <w:rsid w:val="0AB30AF6"/>
    <w:rsid w:val="0ABB553C"/>
    <w:rsid w:val="0ACB53F0"/>
    <w:rsid w:val="0AD054CA"/>
    <w:rsid w:val="0AD81F83"/>
    <w:rsid w:val="0ADB4AE1"/>
    <w:rsid w:val="0AE16A2B"/>
    <w:rsid w:val="0AE81C3F"/>
    <w:rsid w:val="0AED2469"/>
    <w:rsid w:val="0B010A7B"/>
    <w:rsid w:val="0B1B6BAA"/>
    <w:rsid w:val="0B233D70"/>
    <w:rsid w:val="0B364524"/>
    <w:rsid w:val="0B372B4E"/>
    <w:rsid w:val="0B6636C2"/>
    <w:rsid w:val="0B9A37D4"/>
    <w:rsid w:val="0BA703D9"/>
    <w:rsid w:val="0BB22099"/>
    <w:rsid w:val="0BBF17D2"/>
    <w:rsid w:val="0BBF197C"/>
    <w:rsid w:val="0BC93524"/>
    <w:rsid w:val="0BE11A9B"/>
    <w:rsid w:val="0BE25B42"/>
    <w:rsid w:val="0BED101D"/>
    <w:rsid w:val="0BF67A2D"/>
    <w:rsid w:val="0C0209C1"/>
    <w:rsid w:val="0C1A1EAE"/>
    <w:rsid w:val="0C2D3CE5"/>
    <w:rsid w:val="0C3B789D"/>
    <w:rsid w:val="0C52306D"/>
    <w:rsid w:val="0C54210C"/>
    <w:rsid w:val="0C5778ED"/>
    <w:rsid w:val="0C587A67"/>
    <w:rsid w:val="0C6F5D0E"/>
    <w:rsid w:val="0C6F627F"/>
    <w:rsid w:val="0C7E5230"/>
    <w:rsid w:val="0C8B5B2E"/>
    <w:rsid w:val="0CA72E4E"/>
    <w:rsid w:val="0CA85550"/>
    <w:rsid w:val="0CAD145B"/>
    <w:rsid w:val="0CB5791D"/>
    <w:rsid w:val="0CBB2DDD"/>
    <w:rsid w:val="0CD04D81"/>
    <w:rsid w:val="0CFE029B"/>
    <w:rsid w:val="0D3B3DB7"/>
    <w:rsid w:val="0D414D60"/>
    <w:rsid w:val="0D422FD8"/>
    <w:rsid w:val="0D6479FC"/>
    <w:rsid w:val="0D684B42"/>
    <w:rsid w:val="0D6E098E"/>
    <w:rsid w:val="0D866CCB"/>
    <w:rsid w:val="0D8C5AE8"/>
    <w:rsid w:val="0DA63295"/>
    <w:rsid w:val="0DD41820"/>
    <w:rsid w:val="0DE30D68"/>
    <w:rsid w:val="0DEA471F"/>
    <w:rsid w:val="0DF13E1F"/>
    <w:rsid w:val="0DF26817"/>
    <w:rsid w:val="0DF742CC"/>
    <w:rsid w:val="0DF86182"/>
    <w:rsid w:val="0E0A5DE4"/>
    <w:rsid w:val="0E0E3514"/>
    <w:rsid w:val="0E134DDE"/>
    <w:rsid w:val="0E1369A0"/>
    <w:rsid w:val="0E2B7FE9"/>
    <w:rsid w:val="0E2C2F3B"/>
    <w:rsid w:val="0E2F12B5"/>
    <w:rsid w:val="0E392CEB"/>
    <w:rsid w:val="0E5231DC"/>
    <w:rsid w:val="0E5B241B"/>
    <w:rsid w:val="0E657206"/>
    <w:rsid w:val="0E763C44"/>
    <w:rsid w:val="0E772125"/>
    <w:rsid w:val="0E7C70BF"/>
    <w:rsid w:val="0E870629"/>
    <w:rsid w:val="0E8E1971"/>
    <w:rsid w:val="0E9403AF"/>
    <w:rsid w:val="0E9B6A01"/>
    <w:rsid w:val="0EA3769F"/>
    <w:rsid w:val="0EBB597A"/>
    <w:rsid w:val="0EC812DB"/>
    <w:rsid w:val="0EE125A1"/>
    <w:rsid w:val="0EE43B84"/>
    <w:rsid w:val="0EEA469F"/>
    <w:rsid w:val="0EF1009C"/>
    <w:rsid w:val="0EF109C1"/>
    <w:rsid w:val="0EF43583"/>
    <w:rsid w:val="0EF43889"/>
    <w:rsid w:val="0F0934D9"/>
    <w:rsid w:val="0F1D564C"/>
    <w:rsid w:val="0F215026"/>
    <w:rsid w:val="0F26649F"/>
    <w:rsid w:val="0F2B6409"/>
    <w:rsid w:val="0F2D665A"/>
    <w:rsid w:val="0F336442"/>
    <w:rsid w:val="0F3A3C5F"/>
    <w:rsid w:val="0F3B77D6"/>
    <w:rsid w:val="0F3F2377"/>
    <w:rsid w:val="0F551ABF"/>
    <w:rsid w:val="0F667861"/>
    <w:rsid w:val="0F6D575B"/>
    <w:rsid w:val="0F7F09E7"/>
    <w:rsid w:val="0F930CFE"/>
    <w:rsid w:val="0F9C67DB"/>
    <w:rsid w:val="0FA12B8F"/>
    <w:rsid w:val="0FD718E6"/>
    <w:rsid w:val="0FE41F79"/>
    <w:rsid w:val="0FE80344"/>
    <w:rsid w:val="0FE9654A"/>
    <w:rsid w:val="0FF765C0"/>
    <w:rsid w:val="10024B7D"/>
    <w:rsid w:val="10242D0C"/>
    <w:rsid w:val="10475653"/>
    <w:rsid w:val="106472B0"/>
    <w:rsid w:val="106A6D88"/>
    <w:rsid w:val="107B5556"/>
    <w:rsid w:val="109777C7"/>
    <w:rsid w:val="10AD60E8"/>
    <w:rsid w:val="10C54822"/>
    <w:rsid w:val="10C66A23"/>
    <w:rsid w:val="10CA520F"/>
    <w:rsid w:val="10CE4E1F"/>
    <w:rsid w:val="10D97F39"/>
    <w:rsid w:val="10F25F66"/>
    <w:rsid w:val="10F63827"/>
    <w:rsid w:val="10F93FE9"/>
    <w:rsid w:val="11204B00"/>
    <w:rsid w:val="11237446"/>
    <w:rsid w:val="112F15BC"/>
    <w:rsid w:val="11316832"/>
    <w:rsid w:val="11372E17"/>
    <w:rsid w:val="113C46F0"/>
    <w:rsid w:val="11532C97"/>
    <w:rsid w:val="115C700B"/>
    <w:rsid w:val="117B7596"/>
    <w:rsid w:val="11840349"/>
    <w:rsid w:val="118909AA"/>
    <w:rsid w:val="11984DEC"/>
    <w:rsid w:val="11B427C3"/>
    <w:rsid w:val="11BB168E"/>
    <w:rsid w:val="11C73844"/>
    <w:rsid w:val="12090E7C"/>
    <w:rsid w:val="120E320F"/>
    <w:rsid w:val="121F6AF9"/>
    <w:rsid w:val="12240253"/>
    <w:rsid w:val="122B7BDE"/>
    <w:rsid w:val="123A6F07"/>
    <w:rsid w:val="124E2DDE"/>
    <w:rsid w:val="128131C6"/>
    <w:rsid w:val="12892A9E"/>
    <w:rsid w:val="128E1CC4"/>
    <w:rsid w:val="12955E5F"/>
    <w:rsid w:val="1298132C"/>
    <w:rsid w:val="12A37E2E"/>
    <w:rsid w:val="12AE3EEF"/>
    <w:rsid w:val="12BE7F2A"/>
    <w:rsid w:val="12C909E1"/>
    <w:rsid w:val="12C96086"/>
    <w:rsid w:val="12D360F0"/>
    <w:rsid w:val="12D63FF2"/>
    <w:rsid w:val="12DC417E"/>
    <w:rsid w:val="12E84173"/>
    <w:rsid w:val="12E85D0F"/>
    <w:rsid w:val="12EF0C20"/>
    <w:rsid w:val="12F86CEC"/>
    <w:rsid w:val="12FB06A8"/>
    <w:rsid w:val="12FF5282"/>
    <w:rsid w:val="13164A37"/>
    <w:rsid w:val="131946E7"/>
    <w:rsid w:val="13247688"/>
    <w:rsid w:val="133243FC"/>
    <w:rsid w:val="13384A4A"/>
    <w:rsid w:val="133D3327"/>
    <w:rsid w:val="13422A7F"/>
    <w:rsid w:val="134B14A6"/>
    <w:rsid w:val="134D0309"/>
    <w:rsid w:val="13506E86"/>
    <w:rsid w:val="1355741D"/>
    <w:rsid w:val="135D6996"/>
    <w:rsid w:val="1371067C"/>
    <w:rsid w:val="137B0412"/>
    <w:rsid w:val="138937CF"/>
    <w:rsid w:val="138D071E"/>
    <w:rsid w:val="138F5FFA"/>
    <w:rsid w:val="13941C27"/>
    <w:rsid w:val="139A44B9"/>
    <w:rsid w:val="139B5487"/>
    <w:rsid w:val="139E4AA8"/>
    <w:rsid w:val="13A32E3D"/>
    <w:rsid w:val="13BC4AF1"/>
    <w:rsid w:val="13BC69D1"/>
    <w:rsid w:val="13C069DD"/>
    <w:rsid w:val="13D229C0"/>
    <w:rsid w:val="13D90F89"/>
    <w:rsid w:val="13ED4F28"/>
    <w:rsid w:val="13EE1BC7"/>
    <w:rsid w:val="13F57244"/>
    <w:rsid w:val="13F75BCF"/>
    <w:rsid w:val="13FF4657"/>
    <w:rsid w:val="14013F61"/>
    <w:rsid w:val="140850F1"/>
    <w:rsid w:val="14181987"/>
    <w:rsid w:val="141A7F4E"/>
    <w:rsid w:val="141E4E2D"/>
    <w:rsid w:val="143665F6"/>
    <w:rsid w:val="14390621"/>
    <w:rsid w:val="1468256B"/>
    <w:rsid w:val="147B4D9F"/>
    <w:rsid w:val="14801A3D"/>
    <w:rsid w:val="14817889"/>
    <w:rsid w:val="14846AB8"/>
    <w:rsid w:val="1489780C"/>
    <w:rsid w:val="148B46C1"/>
    <w:rsid w:val="149B028B"/>
    <w:rsid w:val="14AA1884"/>
    <w:rsid w:val="14AC713C"/>
    <w:rsid w:val="14BF281D"/>
    <w:rsid w:val="14C822CA"/>
    <w:rsid w:val="14DE6171"/>
    <w:rsid w:val="14E767A3"/>
    <w:rsid w:val="14EB42FD"/>
    <w:rsid w:val="15485164"/>
    <w:rsid w:val="155C61BA"/>
    <w:rsid w:val="155F1ECA"/>
    <w:rsid w:val="15686D2B"/>
    <w:rsid w:val="156D0C34"/>
    <w:rsid w:val="1577044B"/>
    <w:rsid w:val="157C2FC5"/>
    <w:rsid w:val="158876D3"/>
    <w:rsid w:val="1592398C"/>
    <w:rsid w:val="159603D1"/>
    <w:rsid w:val="15980BA9"/>
    <w:rsid w:val="1599591D"/>
    <w:rsid w:val="159B16AC"/>
    <w:rsid w:val="159C1658"/>
    <w:rsid w:val="15A10189"/>
    <w:rsid w:val="15B44C2C"/>
    <w:rsid w:val="15D05D4D"/>
    <w:rsid w:val="15D3652C"/>
    <w:rsid w:val="15D70ABE"/>
    <w:rsid w:val="15E84F6A"/>
    <w:rsid w:val="15EC3C61"/>
    <w:rsid w:val="15F03602"/>
    <w:rsid w:val="15F47D5D"/>
    <w:rsid w:val="15FB7636"/>
    <w:rsid w:val="15FF36C4"/>
    <w:rsid w:val="16074E97"/>
    <w:rsid w:val="162C2BB1"/>
    <w:rsid w:val="163643D6"/>
    <w:rsid w:val="1655407E"/>
    <w:rsid w:val="16583FE1"/>
    <w:rsid w:val="165E3DC0"/>
    <w:rsid w:val="166149F5"/>
    <w:rsid w:val="16633878"/>
    <w:rsid w:val="16677EED"/>
    <w:rsid w:val="16865FB2"/>
    <w:rsid w:val="168B042C"/>
    <w:rsid w:val="1698537E"/>
    <w:rsid w:val="169B005B"/>
    <w:rsid w:val="16A50D08"/>
    <w:rsid w:val="16A97C60"/>
    <w:rsid w:val="16AC72C1"/>
    <w:rsid w:val="16C4356E"/>
    <w:rsid w:val="16F76EF7"/>
    <w:rsid w:val="16F8321E"/>
    <w:rsid w:val="16FC39C6"/>
    <w:rsid w:val="16FE5EC8"/>
    <w:rsid w:val="170035C9"/>
    <w:rsid w:val="17042F5A"/>
    <w:rsid w:val="170B4055"/>
    <w:rsid w:val="17122D79"/>
    <w:rsid w:val="171858D8"/>
    <w:rsid w:val="17292C72"/>
    <w:rsid w:val="172F4118"/>
    <w:rsid w:val="17316EA8"/>
    <w:rsid w:val="17454F04"/>
    <w:rsid w:val="17471829"/>
    <w:rsid w:val="175A58A5"/>
    <w:rsid w:val="1768292D"/>
    <w:rsid w:val="177002CE"/>
    <w:rsid w:val="178E124B"/>
    <w:rsid w:val="17985E27"/>
    <w:rsid w:val="179D5DDC"/>
    <w:rsid w:val="17A429D8"/>
    <w:rsid w:val="17AC43FA"/>
    <w:rsid w:val="17AF3CDF"/>
    <w:rsid w:val="17D70B7C"/>
    <w:rsid w:val="18022EFE"/>
    <w:rsid w:val="18086B6D"/>
    <w:rsid w:val="18170757"/>
    <w:rsid w:val="18190B6A"/>
    <w:rsid w:val="181D051D"/>
    <w:rsid w:val="183603FA"/>
    <w:rsid w:val="1845108E"/>
    <w:rsid w:val="184616E2"/>
    <w:rsid w:val="18526236"/>
    <w:rsid w:val="185721DA"/>
    <w:rsid w:val="18617D0D"/>
    <w:rsid w:val="1862130F"/>
    <w:rsid w:val="18691D00"/>
    <w:rsid w:val="18731E9A"/>
    <w:rsid w:val="1875442C"/>
    <w:rsid w:val="1885051D"/>
    <w:rsid w:val="188E3C90"/>
    <w:rsid w:val="18951461"/>
    <w:rsid w:val="18983A33"/>
    <w:rsid w:val="18A62A00"/>
    <w:rsid w:val="18AD238B"/>
    <w:rsid w:val="18B8090F"/>
    <w:rsid w:val="18BD2C0D"/>
    <w:rsid w:val="18BD5DC3"/>
    <w:rsid w:val="18DC4F22"/>
    <w:rsid w:val="18E32865"/>
    <w:rsid w:val="18F062F7"/>
    <w:rsid w:val="18F33FC7"/>
    <w:rsid w:val="18F8000E"/>
    <w:rsid w:val="18FF4DB5"/>
    <w:rsid w:val="19051F70"/>
    <w:rsid w:val="191D7EE1"/>
    <w:rsid w:val="19223CD4"/>
    <w:rsid w:val="193658BB"/>
    <w:rsid w:val="19492209"/>
    <w:rsid w:val="194D18CD"/>
    <w:rsid w:val="196C6A75"/>
    <w:rsid w:val="197C75BB"/>
    <w:rsid w:val="19850206"/>
    <w:rsid w:val="198D43F5"/>
    <w:rsid w:val="198D4E6D"/>
    <w:rsid w:val="19931384"/>
    <w:rsid w:val="19A97F65"/>
    <w:rsid w:val="19BE3578"/>
    <w:rsid w:val="19D101FB"/>
    <w:rsid w:val="19EE0CD1"/>
    <w:rsid w:val="19F11B78"/>
    <w:rsid w:val="19F40C1C"/>
    <w:rsid w:val="1A027439"/>
    <w:rsid w:val="1A135C0D"/>
    <w:rsid w:val="1A1A71F4"/>
    <w:rsid w:val="1A2D15EA"/>
    <w:rsid w:val="1A321254"/>
    <w:rsid w:val="1A335E93"/>
    <w:rsid w:val="1A442D00"/>
    <w:rsid w:val="1A4B464A"/>
    <w:rsid w:val="1A4C68E2"/>
    <w:rsid w:val="1A4D1E2B"/>
    <w:rsid w:val="1A4D7795"/>
    <w:rsid w:val="1A7C4DDF"/>
    <w:rsid w:val="1A806A00"/>
    <w:rsid w:val="1A81100C"/>
    <w:rsid w:val="1A91175A"/>
    <w:rsid w:val="1A944BA3"/>
    <w:rsid w:val="1AAD76A6"/>
    <w:rsid w:val="1AAF4C78"/>
    <w:rsid w:val="1AB87E61"/>
    <w:rsid w:val="1ABD66C0"/>
    <w:rsid w:val="1ACC1948"/>
    <w:rsid w:val="1B1E3251"/>
    <w:rsid w:val="1B400B4E"/>
    <w:rsid w:val="1B4E165A"/>
    <w:rsid w:val="1B643DF6"/>
    <w:rsid w:val="1B6956EC"/>
    <w:rsid w:val="1B6B1E72"/>
    <w:rsid w:val="1B6D51A1"/>
    <w:rsid w:val="1B71124E"/>
    <w:rsid w:val="1B956FA8"/>
    <w:rsid w:val="1B9F0E6B"/>
    <w:rsid w:val="1BAC498C"/>
    <w:rsid w:val="1BC47B47"/>
    <w:rsid w:val="1BC550A1"/>
    <w:rsid w:val="1BC8714D"/>
    <w:rsid w:val="1BE203B4"/>
    <w:rsid w:val="1BE618CD"/>
    <w:rsid w:val="1C2D5D1F"/>
    <w:rsid w:val="1C446D64"/>
    <w:rsid w:val="1C485B3B"/>
    <w:rsid w:val="1C594026"/>
    <w:rsid w:val="1C595CF1"/>
    <w:rsid w:val="1C5A338F"/>
    <w:rsid w:val="1C6F1282"/>
    <w:rsid w:val="1C81548F"/>
    <w:rsid w:val="1C834575"/>
    <w:rsid w:val="1CC614AC"/>
    <w:rsid w:val="1CC949A5"/>
    <w:rsid w:val="1CE27BE3"/>
    <w:rsid w:val="1CF10EBB"/>
    <w:rsid w:val="1CF90784"/>
    <w:rsid w:val="1D0738F0"/>
    <w:rsid w:val="1D25290E"/>
    <w:rsid w:val="1D2B1FDD"/>
    <w:rsid w:val="1D493BAB"/>
    <w:rsid w:val="1D4E64C4"/>
    <w:rsid w:val="1D5B6E42"/>
    <w:rsid w:val="1D5D4DF7"/>
    <w:rsid w:val="1D63524B"/>
    <w:rsid w:val="1D7D14DC"/>
    <w:rsid w:val="1DA147B0"/>
    <w:rsid w:val="1DA166F5"/>
    <w:rsid w:val="1DA337DA"/>
    <w:rsid w:val="1DA92046"/>
    <w:rsid w:val="1DAB4E0D"/>
    <w:rsid w:val="1DAE7561"/>
    <w:rsid w:val="1DB20102"/>
    <w:rsid w:val="1DBE5F5B"/>
    <w:rsid w:val="1DD81211"/>
    <w:rsid w:val="1DE50AFF"/>
    <w:rsid w:val="1DF11C2D"/>
    <w:rsid w:val="1DF443A0"/>
    <w:rsid w:val="1DF54BEE"/>
    <w:rsid w:val="1E032835"/>
    <w:rsid w:val="1E215599"/>
    <w:rsid w:val="1E245B05"/>
    <w:rsid w:val="1E272107"/>
    <w:rsid w:val="1E274DB6"/>
    <w:rsid w:val="1E4E2F9E"/>
    <w:rsid w:val="1E5B7B20"/>
    <w:rsid w:val="1E6213A6"/>
    <w:rsid w:val="1E6E7733"/>
    <w:rsid w:val="1E782E0B"/>
    <w:rsid w:val="1E880EA7"/>
    <w:rsid w:val="1E897C8E"/>
    <w:rsid w:val="1E8F1149"/>
    <w:rsid w:val="1E97335C"/>
    <w:rsid w:val="1E982B29"/>
    <w:rsid w:val="1EA374F1"/>
    <w:rsid w:val="1EAD2B88"/>
    <w:rsid w:val="1EBA51F6"/>
    <w:rsid w:val="1EC307F0"/>
    <w:rsid w:val="1ECB01D5"/>
    <w:rsid w:val="1ED55723"/>
    <w:rsid w:val="1EDA542E"/>
    <w:rsid w:val="1EE07337"/>
    <w:rsid w:val="1EF247C6"/>
    <w:rsid w:val="1F17458A"/>
    <w:rsid w:val="1F22042A"/>
    <w:rsid w:val="1F234F3D"/>
    <w:rsid w:val="1F2C34A5"/>
    <w:rsid w:val="1F574BE3"/>
    <w:rsid w:val="1F5975AF"/>
    <w:rsid w:val="1F6A74ED"/>
    <w:rsid w:val="1F7B1392"/>
    <w:rsid w:val="1F8A2013"/>
    <w:rsid w:val="1F8C5E86"/>
    <w:rsid w:val="1F9009D2"/>
    <w:rsid w:val="1F9A1D84"/>
    <w:rsid w:val="1F9C0855"/>
    <w:rsid w:val="1FA81A50"/>
    <w:rsid w:val="1FB0718A"/>
    <w:rsid w:val="1FB5729B"/>
    <w:rsid w:val="1FBD695D"/>
    <w:rsid w:val="1FBE4F6D"/>
    <w:rsid w:val="1FBF6770"/>
    <w:rsid w:val="1FCC5591"/>
    <w:rsid w:val="1FD34751"/>
    <w:rsid w:val="1FDC45A6"/>
    <w:rsid w:val="1FE1495C"/>
    <w:rsid w:val="200E2700"/>
    <w:rsid w:val="20157D01"/>
    <w:rsid w:val="201A746E"/>
    <w:rsid w:val="201D31B1"/>
    <w:rsid w:val="202806EE"/>
    <w:rsid w:val="202A5D88"/>
    <w:rsid w:val="202F6C59"/>
    <w:rsid w:val="20316BC3"/>
    <w:rsid w:val="203551BF"/>
    <w:rsid w:val="203B3EF4"/>
    <w:rsid w:val="204358FA"/>
    <w:rsid w:val="206341FD"/>
    <w:rsid w:val="207C3AA8"/>
    <w:rsid w:val="207F49D7"/>
    <w:rsid w:val="208E6427"/>
    <w:rsid w:val="2092284E"/>
    <w:rsid w:val="20955704"/>
    <w:rsid w:val="209B786E"/>
    <w:rsid w:val="209D39EA"/>
    <w:rsid w:val="20AB6013"/>
    <w:rsid w:val="20AC4949"/>
    <w:rsid w:val="20BC5958"/>
    <w:rsid w:val="20C74C5E"/>
    <w:rsid w:val="20E033F3"/>
    <w:rsid w:val="20E24641"/>
    <w:rsid w:val="20F766A2"/>
    <w:rsid w:val="20F91BA5"/>
    <w:rsid w:val="210743EB"/>
    <w:rsid w:val="210E3734"/>
    <w:rsid w:val="21586A80"/>
    <w:rsid w:val="215C3B9A"/>
    <w:rsid w:val="215D18CA"/>
    <w:rsid w:val="217A5EE6"/>
    <w:rsid w:val="217E77F0"/>
    <w:rsid w:val="219A706D"/>
    <w:rsid w:val="21A30C53"/>
    <w:rsid w:val="21A43A93"/>
    <w:rsid w:val="21A458C1"/>
    <w:rsid w:val="21A62459"/>
    <w:rsid w:val="21AC648E"/>
    <w:rsid w:val="21B4522A"/>
    <w:rsid w:val="21BF60EB"/>
    <w:rsid w:val="21CA5BDB"/>
    <w:rsid w:val="21D96FCB"/>
    <w:rsid w:val="21EC1F85"/>
    <w:rsid w:val="21EE24A8"/>
    <w:rsid w:val="21F46AE7"/>
    <w:rsid w:val="21F665C5"/>
    <w:rsid w:val="22355198"/>
    <w:rsid w:val="223A7B22"/>
    <w:rsid w:val="223C46A2"/>
    <w:rsid w:val="22462F27"/>
    <w:rsid w:val="224E2428"/>
    <w:rsid w:val="225019BD"/>
    <w:rsid w:val="225C7F68"/>
    <w:rsid w:val="22754C04"/>
    <w:rsid w:val="227B20A1"/>
    <w:rsid w:val="228C091B"/>
    <w:rsid w:val="229C3F2F"/>
    <w:rsid w:val="22A53464"/>
    <w:rsid w:val="22B709B8"/>
    <w:rsid w:val="22BA6F0E"/>
    <w:rsid w:val="22C179F9"/>
    <w:rsid w:val="22D71F15"/>
    <w:rsid w:val="22D9709D"/>
    <w:rsid w:val="22E4687D"/>
    <w:rsid w:val="22E817BD"/>
    <w:rsid w:val="22F208BF"/>
    <w:rsid w:val="2314763C"/>
    <w:rsid w:val="23183B7E"/>
    <w:rsid w:val="23327133"/>
    <w:rsid w:val="233C215F"/>
    <w:rsid w:val="234970B8"/>
    <w:rsid w:val="23544FAA"/>
    <w:rsid w:val="2358620C"/>
    <w:rsid w:val="237F064A"/>
    <w:rsid w:val="238A01BA"/>
    <w:rsid w:val="239307DF"/>
    <w:rsid w:val="23AD1E7D"/>
    <w:rsid w:val="23B2407F"/>
    <w:rsid w:val="23C1144A"/>
    <w:rsid w:val="23CE5CAC"/>
    <w:rsid w:val="23D1127B"/>
    <w:rsid w:val="23D54F9B"/>
    <w:rsid w:val="23E178A7"/>
    <w:rsid w:val="23EA39CD"/>
    <w:rsid w:val="23F309B3"/>
    <w:rsid w:val="23F358DF"/>
    <w:rsid w:val="241754CF"/>
    <w:rsid w:val="24333F68"/>
    <w:rsid w:val="244C451B"/>
    <w:rsid w:val="244D7A02"/>
    <w:rsid w:val="244F03E2"/>
    <w:rsid w:val="245F694C"/>
    <w:rsid w:val="24620D39"/>
    <w:rsid w:val="24792F8C"/>
    <w:rsid w:val="247B47CF"/>
    <w:rsid w:val="2488573C"/>
    <w:rsid w:val="24926B6B"/>
    <w:rsid w:val="24AC3AF6"/>
    <w:rsid w:val="24AD3DD3"/>
    <w:rsid w:val="24BD2AB6"/>
    <w:rsid w:val="24BE51CF"/>
    <w:rsid w:val="24D558BB"/>
    <w:rsid w:val="24EA68B4"/>
    <w:rsid w:val="24F17CA6"/>
    <w:rsid w:val="24F939F5"/>
    <w:rsid w:val="252B6457"/>
    <w:rsid w:val="25357D1C"/>
    <w:rsid w:val="253D74B5"/>
    <w:rsid w:val="256065E1"/>
    <w:rsid w:val="2565796D"/>
    <w:rsid w:val="256D2154"/>
    <w:rsid w:val="2583051F"/>
    <w:rsid w:val="259F6DF0"/>
    <w:rsid w:val="25A173CD"/>
    <w:rsid w:val="25A743BE"/>
    <w:rsid w:val="25B0160D"/>
    <w:rsid w:val="25D1584C"/>
    <w:rsid w:val="25DA4810"/>
    <w:rsid w:val="25DB75D8"/>
    <w:rsid w:val="25DE3CEE"/>
    <w:rsid w:val="25E5684E"/>
    <w:rsid w:val="25F74949"/>
    <w:rsid w:val="26057C78"/>
    <w:rsid w:val="261513ED"/>
    <w:rsid w:val="26253DA1"/>
    <w:rsid w:val="26275D0C"/>
    <w:rsid w:val="26525829"/>
    <w:rsid w:val="265E3D9D"/>
    <w:rsid w:val="267C3B33"/>
    <w:rsid w:val="26873E45"/>
    <w:rsid w:val="26884D63"/>
    <w:rsid w:val="26A2395F"/>
    <w:rsid w:val="26C115F5"/>
    <w:rsid w:val="26E978A9"/>
    <w:rsid w:val="26F33F9E"/>
    <w:rsid w:val="27092667"/>
    <w:rsid w:val="270F0281"/>
    <w:rsid w:val="2716081F"/>
    <w:rsid w:val="271917C0"/>
    <w:rsid w:val="27263207"/>
    <w:rsid w:val="2727341B"/>
    <w:rsid w:val="2735345F"/>
    <w:rsid w:val="27451C7A"/>
    <w:rsid w:val="27612F92"/>
    <w:rsid w:val="276219F4"/>
    <w:rsid w:val="2764472D"/>
    <w:rsid w:val="276E7ECE"/>
    <w:rsid w:val="278046FE"/>
    <w:rsid w:val="278571D4"/>
    <w:rsid w:val="27B16194"/>
    <w:rsid w:val="27C30BAB"/>
    <w:rsid w:val="27C34FB4"/>
    <w:rsid w:val="27C67C34"/>
    <w:rsid w:val="27C86CC9"/>
    <w:rsid w:val="27DB2596"/>
    <w:rsid w:val="27F52A30"/>
    <w:rsid w:val="27F96522"/>
    <w:rsid w:val="28233866"/>
    <w:rsid w:val="28236D34"/>
    <w:rsid w:val="283A0EDA"/>
    <w:rsid w:val="285A7507"/>
    <w:rsid w:val="28753A1F"/>
    <w:rsid w:val="287877D3"/>
    <w:rsid w:val="288222DB"/>
    <w:rsid w:val="28826B7B"/>
    <w:rsid w:val="288D2522"/>
    <w:rsid w:val="28901E42"/>
    <w:rsid w:val="28906419"/>
    <w:rsid w:val="28993EFE"/>
    <w:rsid w:val="28B0758A"/>
    <w:rsid w:val="28BC5621"/>
    <w:rsid w:val="28C3596E"/>
    <w:rsid w:val="28C92E5E"/>
    <w:rsid w:val="28D93EAE"/>
    <w:rsid w:val="28E27FC7"/>
    <w:rsid w:val="28EC32AF"/>
    <w:rsid w:val="28FC36F6"/>
    <w:rsid w:val="29007CD6"/>
    <w:rsid w:val="291E4685"/>
    <w:rsid w:val="2928074E"/>
    <w:rsid w:val="29394CD4"/>
    <w:rsid w:val="294F06D8"/>
    <w:rsid w:val="294F50A8"/>
    <w:rsid w:val="295E35EE"/>
    <w:rsid w:val="296543A1"/>
    <w:rsid w:val="2967647C"/>
    <w:rsid w:val="297F3B23"/>
    <w:rsid w:val="298C36DF"/>
    <w:rsid w:val="29B002B4"/>
    <w:rsid w:val="29BC6EDD"/>
    <w:rsid w:val="29C72026"/>
    <w:rsid w:val="29D07E19"/>
    <w:rsid w:val="29E01D26"/>
    <w:rsid w:val="29ED76D3"/>
    <w:rsid w:val="2A080346"/>
    <w:rsid w:val="2A2A1EE9"/>
    <w:rsid w:val="2A451D5C"/>
    <w:rsid w:val="2A5701B8"/>
    <w:rsid w:val="2A65031B"/>
    <w:rsid w:val="2A6571D1"/>
    <w:rsid w:val="2A686A0D"/>
    <w:rsid w:val="2A6F0647"/>
    <w:rsid w:val="2A785553"/>
    <w:rsid w:val="2A817929"/>
    <w:rsid w:val="2A9026A2"/>
    <w:rsid w:val="2A90629B"/>
    <w:rsid w:val="2A9779E2"/>
    <w:rsid w:val="2A9E37C8"/>
    <w:rsid w:val="2AA92D86"/>
    <w:rsid w:val="2AB40F1D"/>
    <w:rsid w:val="2ABB7B78"/>
    <w:rsid w:val="2ABC352B"/>
    <w:rsid w:val="2AC04F59"/>
    <w:rsid w:val="2AE149F6"/>
    <w:rsid w:val="2AE556F0"/>
    <w:rsid w:val="2AF45D22"/>
    <w:rsid w:val="2AF9558E"/>
    <w:rsid w:val="2AFE5BB9"/>
    <w:rsid w:val="2B0218F3"/>
    <w:rsid w:val="2B082325"/>
    <w:rsid w:val="2B094182"/>
    <w:rsid w:val="2B2A2749"/>
    <w:rsid w:val="2B2E2025"/>
    <w:rsid w:val="2B385681"/>
    <w:rsid w:val="2B513A1E"/>
    <w:rsid w:val="2B545FFA"/>
    <w:rsid w:val="2B7208FB"/>
    <w:rsid w:val="2B73153C"/>
    <w:rsid w:val="2B770C21"/>
    <w:rsid w:val="2B864C26"/>
    <w:rsid w:val="2B8F2274"/>
    <w:rsid w:val="2B9B58CE"/>
    <w:rsid w:val="2BA06864"/>
    <w:rsid w:val="2BA1219C"/>
    <w:rsid w:val="2BAD1029"/>
    <w:rsid w:val="2BBF68E1"/>
    <w:rsid w:val="2BCB6C93"/>
    <w:rsid w:val="2BD71B44"/>
    <w:rsid w:val="2BE2738B"/>
    <w:rsid w:val="2BF24C78"/>
    <w:rsid w:val="2C01033F"/>
    <w:rsid w:val="2C15226B"/>
    <w:rsid w:val="2C2B5690"/>
    <w:rsid w:val="2C3540C5"/>
    <w:rsid w:val="2C3801CB"/>
    <w:rsid w:val="2C4876BB"/>
    <w:rsid w:val="2C505BDA"/>
    <w:rsid w:val="2C5935C7"/>
    <w:rsid w:val="2C596E63"/>
    <w:rsid w:val="2C5F34B0"/>
    <w:rsid w:val="2C6379C1"/>
    <w:rsid w:val="2C805AEB"/>
    <w:rsid w:val="2C8260D0"/>
    <w:rsid w:val="2CC97184"/>
    <w:rsid w:val="2CD843BB"/>
    <w:rsid w:val="2CE375EF"/>
    <w:rsid w:val="2D104D7E"/>
    <w:rsid w:val="2D1F3849"/>
    <w:rsid w:val="2D2F0E44"/>
    <w:rsid w:val="2D3D11BB"/>
    <w:rsid w:val="2D5233CD"/>
    <w:rsid w:val="2D5436A8"/>
    <w:rsid w:val="2D733A31"/>
    <w:rsid w:val="2D757E64"/>
    <w:rsid w:val="2D763166"/>
    <w:rsid w:val="2D782275"/>
    <w:rsid w:val="2D7D2CE4"/>
    <w:rsid w:val="2D9177D0"/>
    <w:rsid w:val="2D95198F"/>
    <w:rsid w:val="2D956230"/>
    <w:rsid w:val="2D9F2C77"/>
    <w:rsid w:val="2DA23164"/>
    <w:rsid w:val="2DAE6915"/>
    <w:rsid w:val="2DB04802"/>
    <w:rsid w:val="2DC37A82"/>
    <w:rsid w:val="2DD0183E"/>
    <w:rsid w:val="2DF04749"/>
    <w:rsid w:val="2DF74F76"/>
    <w:rsid w:val="2E095047"/>
    <w:rsid w:val="2E2312BE"/>
    <w:rsid w:val="2E3D198B"/>
    <w:rsid w:val="2E4078AA"/>
    <w:rsid w:val="2E590526"/>
    <w:rsid w:val="2E733196"/>
    <w:rsid w:val="2E735848"/>
    <w:rsid w:val="2E7E3F56"/>
    <w:rsid w:val="2E8B4AB4"/>
    <w:rsid w:val="2E960EDF"/>
    <w:rsid w:val="2EB26A48"/>
    <w:rsid w:val="2EC24353"/>
    <w:rsid w:val="2EC84CEA"/>
    <w:rsid w:val="2ECE47D2"/>
    <w:rsid w:val="2EDA5380"/>
    <w:rsid w:val="2EE25DC2"/>
    <w:rsid w:val="2EE85B84"/>
    <w:rsid w:val="2EED55D5"/>
    <w:rsid w:val="2EEF2F90"/>
    <w:rsid w:val="2EFB76DD"/>
    <w:rsid w:val="2F02672D"/>
    <w:rsid w:val="2F187635"/>
    <w:rsid w:val="2F213CAE"/>
    <w:rsid w:val="2F241BC9"/>
    <w:rsid w:val="2F4E2FA9"/>
    <w:rsid w:val="2F58476D"/>
    <w:rsid w:val="2F640F91"/>
    <w:rsid w:val="2F68177C"/>
    <w:rsid w:val="2F7B4212"/>
    <w:rsid w:val="2F8141C5"/>
    <w:rsid w:val="2F8C4EDA"/>
    <w:rsid w:val="2F985EB3"/>
    <w:rsid w:val="2FA00ECA"/>
    <w:rsid w:val="2FC96021"/>
    <w:rsid w:val="2FDB2CCA"/>
    <w:rsid w:val="2FDB74B4"/>
    <w:rsid w:val="2FF34812"/>
    <w:rsid w:val="3001084F"/>
    <w:rsid w:val="300254B5"/>
    <w:rsid w:val="301B7F01"/>
    <w:rsid w:val="3024552D"/>
    <w:rsid w:val="3028070E"/>
    <w:rsid w:val="30347DA4"/>
    <w:rsid w:val="30430C3A"/>
    <w:rsid w:val="30457FE2"/>
    <w:rsid w:val="305531FD"/>
    <w:rsid w:val="305F35D1"/>
    <w:rsid w:val="305F6BAF"/>
    <w:rsid w:val="306C2A22"/>
    <w:rsid w:val="306E6895"/>
    <w:rsid w:val="30777594"/>
    <w:rsid w:val="30811BC4"/>
    <w:rsid w:val="308B43C6"/>
    <w:rsid w:val="308B5018"/>
    <w:rsid w:val="308E02EC"/>
    <w:rsid w:val="30923A41"/>
    <w:rsid w:val="30954EE4"/>
    <w:rsid w:val="30A82BDE"/>
    <w:rsid w:val="30AA3924"/>
    <w:rsid w:val="30B91A24"/>
    <w:rsid w:val="30B92F0E"/>
    <w:rsid w:val="30C76323"/>
    <w:rsid w:val="30CD6986"/>
    <w:rsid w:val="30D00F64"/>
    <w:rsid w:val="30D9382A"/>
    <w:rsid w:val="30E5040F"/>
    <w:rsid w:val="30F5600E"/>
    <w:rsid w:val="30F73C50"/>
    <w:rsid w:val="30FB742E"/>
    <w:rsid w:val="31023FC1"/>
    <w:rsid w:val="31032B09"/>
    <w:rsid w:val="31096DA3"/>
    <w:rsid w:val="31141606"/>
    <w:rsid w:val="31343059"/>
    <w:rsid w:val="313B72D2"/>
    <w:rsid w:val="314D00CF"/>
    <w:rsid w:val="31551670"/>
    <w:rsid w:val="31645F17"/>
    <w:rsid w:val="31693AAE"/>
    <w:rsid w:val="317165EF"/>
    <w:rsid w:val="31750718"/>
    <w:rsid w:val="31873B26"/>
    <w:rsid w:val="31A510E7"/>
    <w:rsid w:val="31B23060"/>
    <w:rsid w:val="31BC3CB1"/>
    <w:rsid w:val="31BF650B"/>
    <w:rsid w:val="31CD7180"/>
    <w:rsid w:val="31D139F7"/>
    <w:rsid w:val="31DF0122"/>
    <w:rsid w:val="31E806EF"/>
    <w:rsid w:val="31F122C6"/>
    <w:rsid w:val="31F75616"/>
    <w:rsid w:val="32046367"/>
    <w:rsid w:val="320D249B"/>
    <w:rsid w:val="320D250F"/>
    <w:rsid w:val="321502BA"/>
    <w:rsid w:val="321E3117"/>
    <w:rsid w:val="322D5960"/>
    <w:rsid w:val="323B6661"/>
    <w:rsid w:val="32416000"/>
    <w:rsid w:val="3249748F"/>
    <w:rsid w:val="3251489B"/>
    <w:rsid w:val="326B739A"/>
    <w:rsid w:val="3273300C"/>
    <w:rsid w:val="327769B6"/>
    <w:rsid w:val="32886CC4"/>
    <w:rsid w:val="32AA6C71"/>
    <w:rsid w:val="32B35822"/>
    <w:rsid w:val="32C91062"/>
    <w:rsid w:val="32E2472F"/>
    <w:rsid w:val="32F0569E"/>
    <w:rsid w:val="33042D5A"/>
    <w:rsid w:val="33072028"/>
    <w:rsid w:val="330A19CB"/>
    <w:rsid w:val="33135501"/>
    <w:rsid w:val="3316751D"/>
    <w:rsid w:val="33167E7D"/>
    <w:rsid w:val="332C482A"/>
    <w:rsid w:val="332D20E4"/>
    <w:rsid w:val="333407D3"/>
    <w:rsid w:val="333B50F8"/>
    <w:rsid w:val="333E20D5"/>
    <w:rsid w:val="33430AE1"/>
    <w:rsid w:val="334A40BD"/>
    <w:rsid w:val="334F055D"/>
    <w:rsid w:val="335076A8"/>
    <w:rsid w:val="33567B82"/>
    <w:rsid w:val="335F315D"/>
    <w:rsid w:val="335F3754"/>
    <w:rsid w:val="33620F12"/>
    <w:rsid w:val="336D0ACE"/>
    <w:rsid w:val="338B4672"/>
    <w:rsid w:val="33920E9D"/>
    <w:rsid w:val="33A02094"/>
    <w:rsid w:val="33A915BA"/>
    <w:rsid w:val="33AC59A6"/>
    <w:rsid w:val="33B66E47"/>
    <w:rsid w:val="33CB7CB6"/>
    <w:rsid w:val="33CE32FF"/>
    <w:rsid w:val="33D527EA"/>
    <w:rsid w:val="33E022D7"/>
    <w:rsid w:val="33E15270"/>
    <w:rsid w:val="34055195"/>
    <w:rsid w:val="340764EB"/>
    <w:rsid w:val="3414469E"/>
    <w:rsid w:val="34236030"/>
    <w:rsid w:val="342B7F95"/>
    <w:rsid w:val="342F6380"/>
    <w:rsid w:val="343C78BF"/>
    <w:rsid w:val="344353B3"/>
    <w:rsid w:val="34472E60"/>
    <w:rsid w:val="345203B7"/>
    <w:rsid w:val="345618A1"/>
    <w:rsid w:val="346D27B3"/>
    <w:rsid w:val="346F5C60"/>
    <w:rsid w:val="34727D99"/>
    <w:rsid w:val="347D1A2B"/>
    <w:rsid w:val="34887CB8"/>
    <w:rsid w:val="348B532B"/>
    <w:rsid w:val="34A017BC"/>
    <w:rsid w:val="34B81EAB"/>
    <w:rsid w:val="34B91D9A"/>
    <w:rsid w:val="34B955A4"/>
    <w:rsid w:val="34EA7457"/>
    <w:rsid w:val="34F00D49"/>
    <w:rsid w:val="34F85328"/>
    <w:rsid w:val="35024363"/>
    <w:rsid w:val="351A41D3"/>
    <w:rsid w:val="35405887"/>
    <w:rsid w:val="354A587E"/>
    <w:rsid w:val="354C78A1"/>
    <w:rsid w:val="35561690"/>
    <w:rsid w:val="35565E0D"/>
    <w:rsid w:val="356675DA"/>
    <w:rsid w:val="35671D34"/>
    <w:rsid w:val="35677D00"/>
    <w:rsid w:val="35695B4E"/>
    <w:rsid w:val="3579427A"/>
    <w:rsid w:val="35881C69"/>
    <w:rsid w:val="3588554F"/>
    <w:rsid w:val="3589693D"/>
    <w:rsid w:val="359C56D6"/>
    <w:rsid w:val="35B00AA5"/>
    <w:rsid w:val="35B750C6"/>
    <w:rsid w:val="360D6A04"/>
    <w:rsid w:val="360E7786"/>
    <w:rsid w:val="36121A43"/>
    <w:rsid w:val="36207D2C"/>
    <w:rsid w:val="363659B0"/>
    <w:rsid w:val="36405A77"/>
    <w:rsid w:val="3652282D"/>
    <w:rsid w:val="36570FA4"/>
    <w:rsid w:val="36581D33"/>
    <w:rsid w:val="36606416"/>
    <w:rsid w:val="366B2CE5"/>
    <w:rsid w:val="367E1D9E"/>
    <w:rsid w:val="36890788"/>
    <w:rsid w:val="368A3ADA"/>
    <w:rsid w:val="36A17A7A"/>
    <w:rsid w:val="36A30ADF"/>
    <w:rsid w:val="36A60263"/>
    <w:rsid w:val="36B63F3B"/>
    <w:rsid w:val="36C13010"/>
    <w:rsid w:val="36DC123B"/>
    <w:rsid w:val="36E94264"/>
    <w:rsid w:val="36EE2574"/>
    <w:rsid w:val="36F570A6"/>
    <w:rsid w:val="372568E0"/>
    <w:rsid w:val="374D5F48"/>
    <w:rsid w:val="3770707A"/>
    <w:rsid w:val="377B46F5"/>
    <w:rsid w:val="37807A68"/>
    <w:rsid w:val="37835780"/>
    <w:rsid w:val="37A61E9F"/>
    <w:rsid w:val="37A8140E"/>
    <w:rsid w:val="37AA05CB"/>
    <w:rsid w:val="37B45A31"/>
    <w:rsid w:val="37D02C75"/>
    <w:rsid w:val="37EC5B5A"/>
    <w:rsid w:val="37F40B47"/>
    <w:rsid w:val="37FF30CA"/>
    <w:rsid w:val="38074707"/>
    <w:rsid w:val="380E7A8B"/>
    <w:rsid w:val="381658F0"/>
    <w:rsid w:val="38192CF0"/>
    <w:rsid w:val="381964A8"/>
    <w:rsid w:val="384D38EC"/>
    <w:rsid w:val="38517DC8"/>
    <w:rsid w:val="385505E5"/>
    <w:rsid w:val="38653CDF"/>
    <w:rsid w:val="386A0C9E"/>
    <w:rsid w:val="386B38F2"/>
    <w:rsid w:val="3887020F"/>
    <w:rsid w:val="389460D7"/>
    <w:rsid w:val="38966328"/>
    <w:rsid w:val="38A22FF6"/>
    <w:rsid w:val="38AA5D78"/>
    <w:rsid w:val="38AD4C0A"/>
    <w:rsid w:val="38B5773C"/>
    <w:rsid w:val="38BE79A0"/>
    <w:rsid w:val="38C97077"/>
    <w:rsid w:val="38D94E6C"/>
    <w:rsid w:val="38EE01BF"/>
    <w:rsid w:val="38F42772"/>
    <w:rsid w:val="38F45687"/>
    <w:rsid w:val="38FC4989"/>
    <w:rsid w:val="39082257"/>
    <w:rsid w:val="39105EF4"/>
    <w:rsid w:val="391E6B0E"/>
    <w:rsid w:val="391F54C8"/>
    <w:rsid w:val="39253FE4"/>
    <w:rsid w:val="393520C5"/>
    <w:rsid w:val="39353B1D"/>
    <w:rsid w:val="39564A78"/>
    <w:rsid w:val="39581820"/>
    <w:rsid w:val="39646937"/>
    <w:rsid w:val="39815915"/>
    <w:rsid w:val="398413EB"/>
    <w:rsid w:val="398C3FEC"/>
    <w:rsid w:val="3992574E"/>
    <w:rsid w:val="39B131B3"/>
    <w:rsid w:val="39C61DE8"/>
    <w:rsid w:val="39D25277"/>
    <w:rsid w:val="39DA3961"/>
    <w:rsid w:val="39E65494"/>
    <w:rsid w:val="39E71901"/>
    <w:rsid w:val="3A0A01EC"/>
    <w:rsid w:val="3A151742"/>
    <w:rsid w:val="3A215A2B"/>
    <w:rsid w:val="3A296DCB"/>
    <w:rsid w:val="3A35482D"/>
    <w:rsid w:val="3A3E5615"/>
    <w:rsid w:val="3A5C528E"/>
    <w:rsid w:val="3A5E4E1D"/>
    <w:rsid w:val="3A5F1BB0"/>
    <w:rsid w:val="3A633368"/>
    <w:rsid w:val="3A751FF8"/>
    <w:rsid w:val="3A8221F6"/>
    <w:rsid w:val="3A826D65"/>
    <w:rsid w:val="3A867465"/>
    <w:rsid w:val="3A9326D8"/>
    <w:rsid w:val="3A9D68D4"/>
    <w:rsid w:val="3A9E028E"/>
    <w:rsid w:val="3AA42404"/>
    <w:rsid w:val="3AAE0EC9"/>
    <w:rsid w:val="3AB534E1"/>
    <w:rsid w:val="3AB82CC8"/>
    <w:rsid w:val="3AB95F07"/>
    <w:rsid w:val="3AC32098"/>
    <w:rsid w:val="3AC7657F"/>
    <w:rsid w:val="3ACA4C3D"/>
    <w:rsid w:val="3ACE01E3"/>
    <w:rsid w:val="3AD273C0"/>
    <w:rsid w:val="3AD312AC"/>
    <w:rsid w:val="3B0417FF"/>
    <w:rsid w:val="3B3511F8"/>
    <w:rsid w:val="3B425FF3"/>
    <w:rsid w:val="3B450A85"/>
    <w:rsid w:val="3B710683"/>
    <w:rsid w:val="3B7D6FA7"/>
    <w:rsid w:val="3B8818BD"/>
    <w:rsid w:val="3B8C1AD2"/>
    <w:rsid w:val="3B9D72BD"/>
    <w:rsid w:val="3BAD5D10"/>
    <w:rsid w:val="3BB93AD6"/>
    <w:rsid w:val="3BC1190E"/>
    <w:rsid w:val="3BC73F73"/>
    <w:rsid w:val="3BD46690"/>
    <w:rsid w:val="3BDF6882"/>
    <w:rsid w:val="3C1611D0"/>
    <w:rsid w:val="3C326B5A"/>
    <w:rsid w:val="3C3C60E0"/>
    <w:rsid w:val="3C460564"/>
    <w:rsid w:val="3C553C07"/>
    <w:rsid w:val="3C5558D5"/>
    <w:rsid w:val="3C6B5E9B"/>
    <w:rsid w:val="3C741ABD"/>
    <w:rsid w:val="3C8F178A"/>
    <w:rsid w:val="3C8F2713"/>
    <w:rsid w:val="3C940CD1"/>
    <w:rsid w:val="3CA45019"/>
    <w:rsid w:val="3CB870A2"/>
    <w:rsid w:val="3CC073A5"/>
    <w:rsid w:val="3CC639E3"/>
    <w:rsid w:val="3CCE260F"/>
    <w:rsid w:val="3CCE56E1"/>
    <w:rsid w:val="3CD47558"/>
    <w:rsid w:val="3CE1197E"/>
    <w:rsid w:val="3CE90FDB"/>
    <w:rsid w:val="3CF1546E"/>
    <w:rsid w:val="3CFB7418"/>
    <w:rsid w:val="3D015468"/>
    <w:rsid w:val="3D101F46"/>
    <w:rsid w:val="3D1F5C65"/>
    <w:rsid w:val="3D277050"/>
    <w:rsid w:val="3D3311C6"/>
    <w:rsid w:val="3D46040E"/>
    <w:rsid w:val="3D463317"/>
    <w:rsid w:val="3D4968D6"/>
    <w:rsid w:val="3D4C5F1D"/>
    <w:rsid w:val="3D4F543F"/>
    <w:rsid w:val="3D526FC3"/>
    <w:rsid w:val="3D693510"/>
    <w:rsid w:val="3D702FB5"/>
    <w:rsid w:val="3D72257D"/>
    <w:rsid w:val="3D7A5FD0"/>
    <w:rsid w:val="3D7D5C86"/>
    <w:rsid w:val="3D8E3A72"/>
    <w:rsid w:val="3DA90835"/>
    <w:rsid w:val="3DAC723C"/>
    <w:rsid w:val="3DBF3CB0"/>
    <w:rsid w:val="3DC73669"/>
    <w:rsid w:val="3DCF3FC6"/>
    <w:rsid w:val="3DD44B1E"/>
    <w:rsid w:val="3DF17F5E"/>
    <w:rsid w:val="3DF40AEC"/>
    <w:rsid w:val="3DFA5E24"/>
    <w:rsid w:val="3DFD5D41"/>
    <w:rsid w:val="3E07429D"/>
    <w:rsid w:val="3E1C65F6"/>
    <w:rsid w:val="3E1E6276"/>
    <w:rsid w:val="3E2D33F0"/>
    <w:rsid w:val="3E3162AC"/>
    <w:rsid w:val="3E435EFE"/>
    <w:rsid w:val="3E5F7C9B"/>
    <w:rsid w:val="3E7023E1"/>
    <w:rsid w:val="3E8C5472"/>
    <w:rsid w:val="3E9521CB"/>
    <w:rsid w:val="3EA42E8C"/>
    <w:rsid w:val="3EAC7AA9"/>
    <w:rsid w:val="3EBA4643"/>
    <w:rsid w:val="3EBC15BA"/>
    <w:rsid w:val="3EC42900"/>
    <w:rsid w:val="3ECF4570"/>
    <w:rsid w:val="3ED0441A"/>
    <w:rsid w:val="3ED50485"/>
    <w:rsid w:val="3EE004CF"/>
    <w:rsid w:val="3EE673F3"/>
    <w:rsid w:val="3EEA3816"/>
    <w:rsid w:val="3EEB4DB7"/>
    <w:rsid w:val="3F073386"/>
    <w:rsid w:val="3F1714EA"/>
    <w:rsid w:val="3F17428F"/>
    <w:rsid w:val="3F2A7D34"/>
    <w:rsid w:val="3F2B709E"/>
    <w:rsid w:val="3F2F1936"/>
    <w:rsid w:val="3F6959A7"/>
    <w:rsid w:val="3F786833"/>
    <w:rsid w:val="3F894222"/>
    <w:rsid w:val="3F9B2864"/>
    <w:rsid w:val="3F9C2846"/>
    <w:rsid w:val="3F9D6172"/>
    <w:rsid w:val="3FA04245"/>
    <w:rsid w:val="3FA0473C"/>
    <w:rsid w:val="3FA45178"/>
    <w:rsid w:val="3FA65900"/>
    <w:rsid w:val="3FAF3DBD"/>
    <w:rsid w:val="3FB522F7"/>
    <w:rsid w:val="3FBA73AF"/>
    <w:rsid w:val="3FCC222D"/>
    <w:rsid w:val="3FCF5C3C"/>
    <w:rsid w:val="3FDB12F1"/>
    <w:rsid w:val="3FF04703"/>
    <w:rsid w:val="3FFF2ACC"/>
    <w:rsid w:val="40020498"/>
    <w:rsid w:val="40082ACF"/>
    <w:rsid w:val="40105923"/>
    <w:rsid w:val="401E1ED4"/>
    <w:rsid w:val="402034CA"/>
    <w:rsid w:val="402B6E7E"/>
    <w:rsid w:val="402C0153"/>
    <w:rsid w:val="402E728B"/>
    <w:rsid w:val="4031025F"/>
    <w:rsid w:val="40524015"/>
    <w:rsid w:val="40526610"/>
    <w:rsid w:val="405E2C04"/>
    <w:rsid w:val="40685882"/>
    <w:rsid w:val="406B212F"/>
    <w:rsid w:val="407D78A4"/>
    <w:rsid w:val="40921D75"/>
    <w:rsid w:val="40941BB3"/>
    <w:rsid w:val="40995D56"/>
    <w:rsid w:val="40A96C24"/>
    <w:rsid w:val="40BE6018"/>
    <w:rsid w:val="40C34336"/>
    <w:rsid w:val="40C370D4"/>
    <w:rsid w:val="40D3597D"/>
    <w:rsid w:val="40D6479F"/>
    <w:rsid w:val="40D83EF0"/>
    <w:rsid w:val="40E636E2"/>
    <w:rsid w:val="40F102C6"/>
    <w:rsid w:val="40F44FCC"/>
    <w:rsid w:val="40FA556D"/>
    <w:rsid w:val="41155936"/>
    <w:rsid w:val="41194CB2"/>
    <w:rsid w:val="411A4A12"/>
    <w:rsid w:val="413C21CF"/>
    <w:rsid w:val="413E26C2"/>
    <w:rsid w:val="414313A1"/>
    <w:rsid w:val="414B11C7"/>
    <w:rsid w:val="414C3FB9"/>
    <w:rsid w:val="416818BC"/>
    <w:rsid w:val="416E70B8"/>
    <w:rsid w:val="41761FA9"/>
    <w:rsid w:val="418242EA"/>
    <w:rsid w:val="418915F3"/>
    <w:rsid w:val="41896A24"/>
    <w:rsid w:val="41B913C3"/>
    <w:rsid w:val="41BD673F"/>
    <w:rsid w:val="41C17D83"/>
    <w:rsid w:val="41C96E6F"/>
    <w:rsid w:val="41E41072"/>
    <w:rsid w:val="41F00DC1"/>
    <w:rsid w:val="422A4671"/>
    <w:rsid w:val="423C3FA8"/>
    <w:rsid w:val="42497DC6"/>
    <w:rsid w:val="424D161D"/>
    <w:rsid w:val="42594DAC"/>
    <w:rsid w:val="426F4033"/>
    <w:rsid w:val="4272634B"/>
    <w:rsid w:val="42757B87"/>
    <w:rsid w:val="428419AD"/>
    <w:rsid w:val="42B24AB3"/>
    <w:rsid w:val="42B96DBF"/>
    <w:rsid w:val="42C6079F"/>
    <w:rsid w:val="42DF6E09"/>
    <w:rsid w:val="42E47BD6"/>
    <w:rsid w:val="42EB2CA1"/>
    <w:rsid w:val="42F26087"/>
    <w:rsid w:val="42F4786D"/>
    <w:rsid w:val="42FF3205"/>
    <w:rsid w:val="43145984"/>
    <w:rsid w:val="43162751"/>
    <w:rsid w:val="431F762D"/>
    <w:rsid w:val="432744C9"/>
    <w:rsid w:val="432A3BA8"/>
    <w:rsid w:val="43374CD4"/>
    <w:rsid w:val="433922EB"/>
    <w:rsid w:val="434E48F9"/>
    <w:rsid w:val="43502452"/>
    <w:rsid w:val="43584740"/>
    <w:rsid w:val="4360291B"/>
    <w:rsid w:val="43641638"/>
    <w:rsid w:val="437F5594"/>
    <w:rsid w:val="43872AD3"/>
    <w:rsid w:val="43C6356F"/>
    <w:rsid w:val="43CE7135"/>
    <w:rsid w:val="43D51176"/>
    <w:rsid w:val="43D81220"/>
    <w:rsid w:val="43D971CE"/>
    <w:rsid w:val="43DE3614"/>
    <w:rsid w:val="43DF6794"/>
    <w:rsid w:val="43ED0F4D"/>
    <w:rsid w:val="43ED40D3"/>
    <w:rsid w:val="440F0F41"/>
    <w:rsid w:val="440F6F36"/>
    <w:rsid w:val="441E641C"/>
    <w:rsid w:val="441E68DF"/>
    <w:rsid w:val="44485834"/>
    <w:rsid w:val="4453569F"/>
    <w:rsid w:val="44537D60"/>
    <w:rsid w:val="4473046C"/>
    <w:rsid w:val="4479751F"/>
    <w:rsid w:val="447F16E5"/>
    <w:rsid w:val="44843314"/>
    <w:rsid w:val="44996E9A"/>
    <w:rsid w:val="44A27D67"/>
    <w:rsid w:val="44A824B9"/>
    <w:rsid w:val="44CC7DF6"/>
    <w:rsid w:val="44EA599F"/>
    <w:rsid w:val="44EB6C62"/>
    <w:rsid w:val="44EC3BEB"/>
    <w:rsid w:val="44EC7ADC"/>
    <w:rsid w:val="44F92736"/>
    <w:rsid w:val="4501083E"/>
    <w:rsid w:val="45062F2E"/>
    <w:rsid w:val="450E5C41"/>
    <w:rsid w:val="45133BE2"/>
    <w:rsid w:val="45160183"/>
    <w:rsid w:val="4558701D"/>
    <w:rsid w:val="456477A3"/>
    <w:rsid w:val="4575438B"/>
    <w:rsid w:val="4576193E"/>
    <w:rsid w:val="45986DBD"/>
    <w:rsid w:val="45A668E3"/>
    <w:rsid w:val="45C200DD"/>
    <w:rsid w:val="45F10E32"/>
    <w:rsid w:val="45FB7280"/>
    <w:rsid w:val="46063CE1"/>
    <w:rsid w:val="461634C3"/>
    <w:rsid w:val="46260E9F"/>
    <w:rsid w:val="462B3DAD"/>
    <w:rsid w:val="462F27B3"/>
    <w:rsid w:val="46306B85"/>
    <w:rsid w:val="46307CFD"/>
    <w:rsid w:val="46366A55"/>
    <w:rsid w:val="46483D14"/>
    <w:rsid w:val="464A0DDF"/>
    <w:rsid w:val="465635A6"/>
    <w:rsid w:val="466175E8"/>
    <w:rsid w:val="466230DE"/>
    <w:rsid w:val="4662540A"/>
    <w:rsid w:val="46625E02"/>
    <w:rsid w:val="46741C23"/>
    <w:rsid w:val="467A7D0E"/>
    <w:rsid w:val="46802A16"/>
    <w:rsid w:val="468A4000"/>
    <w:rsid w:val="46916DB3"/>
    <w:rsid w:val="46A229EF"/>
    <w:rsid w:val="46B43C28"/>
    <w:rsid w:val="46C056E0"/>
    <w:rsid w:val="46D57E4F"/>
    <w:rsid w:val="46DE4E5A"/>
    <w:rsid w:val="46E13611"/>
    <w:rsid w:val="46E50ACE"/>
    <w:rsid w:val="46F46C96"/>
    <w:rsid w:val="46F82596"/>
    <w:rsid w:val="471C0F1A"/>
    <w:rsid w:val="475D221D"/>
    <w:rsid w:val="476C40E0"/>
    <w:rsid w:val="477C2DBD"/>
    <w:rsid w:val="477D2436"/>
    <w:rsid w:val="47937595"/>
    <w:rsid w:val="47954968"/>
    <w:rsid w:val="479740AB"/>
    <w:rsid w:val="47A761DB"/>
    <w:rsid w:val="47AF6127"/>
    <w:rsid w:val="47BA03AF"/>
    <w:rsid w:val="47C9565F"/>
    <w:rsid w:val="47CB22FC"/>
    <w:rsid w:val="47ED5AEE"/>
    <w:rsid w:val="47F14C53"/>
    <w:rsid w:val="47F371F6"/>
    <w:rsid w:val="4811769B"/>
    <w:rsid w:val="481E2FA5"/>
    <w:rsid w:val="48496326"/>
    <w:rsid w:val="484C3EE6"/>
    <w:rsid w:val="484E2814"/>
    <w:rsid w:val="4854571B"/>
    <w:rsid w:val="48554BBA"/>
    <w:rsid w:val="486B42A9"/>
    <w:rsid w:val="486C370E"/>
    <w:rsid w:val="48770B70"/>
    <w:rsid w:val="487F693A"/>
    <w:rsid w:val="4883266F"/>
    <w:rsid w:val="48850709"/>
    <w:rsid w:val="4890425B"/>
    <w:rsid w:val="4890468A"/>
    <w:rsid w:val="48B8269A"/>
    <w:rsid w:val="48BD6A15"/>
    <w:rsid w:val="48C96371"/>
    <w:rsid w:val="48CB6897"/>
    <w:rsid w:val="48EE2F20"/>
    <w:rsid w:val="48F42A88"/>
    <w:rsid w:val="48FF02DE"/>
    <w:rsid w:val="490626BA"/>
    <w:rsid w:val="4908545F"/>
    <w:rsid w:val="490A0962"/>
    <w:rsid w:val="490C4D33"/>
    <w:rsid w:val="490E1345"/>
    <w:rsid w:val="49325BF9"/>
    <w:rsid w:val="496E0687"/>
    <w:rsid w:val="496E4E53"/>
    <w:rsid w:val="4972708D"/>
    <w:rsid w:val="49734F00"/>
    <w:rsid w:val="49751A0D"/>
    <w:rsid w:val="49966FD2"/>
    <w:rsid w:val="49AE4C21"/>
    <w:rsid w:val="49D02156"/>
    <w:rsid w:val="49EE5605"/>
    <w:rsid w:val="4A0343FD"/>
    <w:rsid w:val="4A067EDB"/>
    <w:rsid w:val="4A154318"/>
    <w:rsid w:val="4A16791C"/>
    <w:rsid w:val="4A1D5C78"/>
    <w:rsid w:val="4A2168B1"/>
    <w:rsid w:val="4A3D6EB9"/>
    <w:rsid w:val="4A496EB8"/>
    <w:rsid w:val="4A4B25F3"/>
    <w:rsid w:val="4A4C4619"/>
    <w:rsid w:val="4A59389C"/>
    <w:rsid w:val="4A600A0A"/>
    <w:rsid w:val="4A706DD2"/>
    <w:rsid w:val="4A8E53DC"/>
    <w:rsid w:val="4A961AE0"/>
    <w:rsid w:val="4A96518A"/>
    <w:rsid w:val="4AA54605"/>
    <w:rsid w:val="4AA94B8B"/>
    <w:rsid w:val="4AC21D37"/>
    <w:rsid w:val="4AC75EA2"/>
    <w:rsid w:val="4ACA57BA"/>
    <w:rsid w:val="4AE342B3"/>
    <w:rsid w:val="4AE63099"/>
    <w:rsid w:val="4AED437B"/>
    <w:rsid w:val="4B003447"/>
    <w:rsid w:val="4B0135CF"/>
    <w:rsid w:val="4B0B08E7"/>
    <w:rsid w:val="4B182C41"/>
    <w:rsid w:val="4B271E9E"/>
    <w:rsid w:val="4B2D7D6A"/>
    <w:rsid w:val="4B3765D6"/>
    <w:rsid w:val="4B43067A"/>
    <w:rsid w:val="4B4A0725"/>
    <w:rsid w:val="4B4D1E16"/>
    <w:rsid w:val="4B521B21"/>
    <w:rsid w:val="4B866AF8"/>
    <w:rsid w:val="4B9E419F"/>
    <w:rsid w:val="4BAF242A"/>
    <w:rsid w:val="4BC81C10"/>
    <w:rsid w:val="4BCD5625"/>
    <w:rsid w:val="4BE73901"/>
    <w:rsid w:val="4BEA4040"/>
    <w:rsid w:val="4C027651"/>
    <w:rsid w:val="4C0833D7"/>
    <w:rsid w:val="4C1318D8"/>
    <w:rsid w:val="4C1B1331"/>
    <w:rsid w:val="4C1B598A"/>
    <w:rsid w:val="4C30249A"/>
    <w:rsid w:val="4C3743AB"/>
    <w:rsid w:val="4C4604DD"/>
    <w:rsid w:val="4C4B31F0"/>
    <w:rsid w:val="4C701880"/>
    <w:rsid w:val="4C752C07"/>
    <w:rsid w:val="4C8B04E3"/>
    <w:rsid w:val="4CA177BE"/>
    <w:rsid w:val="4CAC37D2"/>
    <w:rsid w:val="4CBD0785"/>
    <w:rsid w:val="4CD65046"/>
    <w:rsid w:val="4CE17CAE"/>
    <w:rsid w:val="4CE27EB0"/>
    <w:rsid w:val="4CE523D6"/>
    <w:rsid w:val="4CE54A4B"/>
    <w:rsid w:val="4CEC027C"/>
    <w:rsid w:val="4CF96FD4"/>
    <w:rsid w:val="4D1B6B8E"/>
    <w:rsid w:val="4D2921E9"/>
    <w:rsid w:val="4D365861"/>
    <w:rsid w:val="4D505D63"/>
    <w:rsid w:val="4D53078F"/>
    <w:rsid w:val="4D570A54"/>
    <w:rsid w:val="4D594475"/>
    <w:rsid w:val="4D6F275C"/>
    <w:rsid w:val="4D757792"/>
    <w:rsid w:val="4D891BC8"/>
    <w:rsid w:val="4DA100EC"/>
    <w:rsid w:val="4DA13F49"/>
    <w:rsid w:val="4DA23C5A"/>
    <w:rsid w:val="4DBB30C6"/>
    <w:rsid w:val="4DC9593C"/>
    <w:rsid w:val="4DC96BE0"/>
    <w:rsid w:val="4DCC3EE3"/>
    <w:rsid w:val="4DD93B97"/>
    <w:rsid w:val="4DF27DE9"/>
    <w:rsid w:val="4DFA3442"/>
    <w:rsid w:val="4DFC7501"/>
    <w:rsid w:val="4E09068D"/>
    <w:rsid w:val="4E0E53DC"/>
    <w:rsid w:val="4E10308E"/>
    <w:rsid w:val="4E147171"/>
    <w:rsid w:val="4E1C46DA"/>
    <w:rsid w:val="4E1D228A"/>
    <w:rsid w:val="4E1E3790"/>
    <w:rsid w:val="4E1F269C"/>
    <w:rsid w:val="4E233F7A"/>
    <w:rsid w:val="4E2A34C8"/>
    <w:rsid w:val="4E3C6EE8"/>
    <w:rsid w:val="4E4753D0"/>
    <w:rsid w:val="4E4A36B3"/>
    <w:rsid w:val="4E623E64"/>
    <w:rsid w:val="4E663A16"/>
    <w:rsid w:val="4E697E63"/>
    <w:rsid w:val="4E7252DD"/>
    <w:rsid w:val="4E7940D2"/>
    <w:rsid w:val="4E7F33C7"/>
    <w:rsid w:val="4E83695B"/>
    <w:rsid w:val="4E8406DF"/>
    <w:rsid w:val="4E9066F0"/>
    <w:rsid w:val="4E924C46"/>
    <w:rsid w:val="4EAB23CE"/>
    <w:rsid w:val="4ECA5B72"/>
    <w:rsid w:val="4ED45C0C"/>
    <w:rsid w:val="4F036A2F"/>
    <w:rsid w:val="4F043980"/>
    <w:rsid w:val="4F307185"/>
    <w:rsid w:val="4F380368"/>
    <w:rsid w:val="4F4401E1"/>
    <w:rsid w:val="4F57783E"/>
    <w:rsid w:val="4F660937"/>
    <w:rsid w:val="4F707D05"/>
    <w:rsid w:val="4F7C7627"/>
    <w:rsid w:val="4F882122"/>
    <w:rsid w:val="4F9A2440"/>
    <w:rsid w:val="4F9A53CE"/>
    <w:rsid w:val="4FC1071A"/>
    <w:rsid w:val="4FCC5A01"/>
    <w:rsid w:val="4FCD6965"/>
    <w:rsid w:val="4FD26F17"/>
    <w:rsid w:val="4FD33884"/>
    <w:rsid w:val="4FEF7D98"/>
    <w:rsid w:val="4FF05EDF"/>
    <w:rsid w:val="4FFF6FF8"/>
    <w:rsid w:val="50005E29"/>
    <w:rsid w:val="50030338"/>
    <w:rsid w:val="50253C24"/>
    <w:rsid w:val="50266DC8"/>
    <w:rsid w:val="50284153"/>
    <w:rsid w:val="5028494D"/>
    <w:rsid w:val="503A72E3"/>
    <w:rsid w:val="506A34C4"/>
    <w:rsid w:val="506C2EB5"/>
    <w:rsid w:val="506E65E9"/>
    <w:rsid w:val="50723F70"/>
    <w:rsid w:val="507323AA"/>
    <w:rsid w:val="508240F1"/>
    <w:rsid w:val="508350AC"/>
    <w:rsid w:val="50841697"/>
    <w:rsid w:val="5087238B"/>
    <w:rsid w:val="50881A80"/>
    <w:rsid w:val="509129BD"/>
    <w:rsid w:val="509F5685"/>
    <w:rsid w:val="50B95DF1"/>
    <w:rsid w:val="50BF7EA2"/>
    <w:rsid w:val="50C9477A"/>
    <w:rsid w:val="50D17F23"/>
    <w:rsid w:val="50D878AE"/>
    <w:rsid w:val="50D87C59"/>
    <w:rsid w:val="50E455AD"/>
    <w:rsid w:val="510A7736"/>
    <w:rsid w:val="51114590"/>
    <w:rsid w:val="51131080"/>
    <w:rsid w:val="51153BB6"/>
    <w:rsid w:val="511B2897"/>
    <w:rsid w:val="511C2057"/>
    <w:rsid w:val="51210FA3"/>
    <w:rsid w:val="51226A29"/>
    <w:rsid w:val="51226E5E"/>
    <w:rsid w:val="512972D9"/>
    <w:rsid w:val="512978D0"/>
    <w:rsid w:val="5133222C"/>
    <w:rsid w:val="51392D0A"/>
    <w:rsid w:val="51471F91"/>
    <w:rsid w:val="516944BC"/>
    <w:rsid w:val="51910061"/>
    <w:rsid w:val="519677B9"/>
    <w:rsid w:val="519F69C9"/>
    <w:rsid w:val="51B650C5"/>
    <w:rsid w:val="51B7215B"/>
    <w:rsid w:val="51BB5951"/>
    <w:rsid w:val="51BE2BBA"/>
    <w:rsid w:val="51C04F92"/>
    <w:rsid w:val="51CA5016"/>
    <w:rsid w:val="51E02EDA"/>
    <w:rsid w:val="51E23FF4"/>
    <w:rsid w:val="52044FD5"/>
    <w:rsid w:val="520E1486"/>
    <w:rsid w:val="521203BE"/>
    <w:rsid w:val="521C744A"/>
    <w:rsid w:val="5223404D"/>
    <w:rsid w:val="52274B56"/>
    <w:rsid w:val="52567063"/>
    <w:rsid w:val="525B1534"/>
    <w:rsid w:val="52724D4D"/>
    <w:rsid w:val="527900FB"/>
    <w:rsid w:val="528C6A0E"/>
    <w:rsid w:val="52995311"/>
    <w:rsid w:val="529B3F4D"/>
    <w:rsid w:val="529B3F84"/>
    <w:rsid w:val="529D3D17"/>
    <w:rsid w:val="529F733A"/>
    <w:rsid w:val="52A52093"/>
    <w:rsid w:val="52A979BD"/>
    <w:rsid w:val="52B07656"/>
    <w:rsid w:val="52BA10C9"/>
    <w:rsid w:val="52BD0979"/>
    <w:rsid w:val="52BE3527"/>
    <w:rsid w:val="52C274F3"/>
    <w:rsid w:val="52D02947"/>
    <w:rsid w:val="52DB707F"/>
    <w:rsid w:val="52E86914"/>
    <w:rsid w:val="52EB4871"/>
    <w:rsid w:val="52F05461"/>
    <w:rsid w:val="52F35F5C"/>
    <w:rsid w:val="52F73CEE"/>
    <w:rsid w:val="530733C6"/>
    <w:rsid w:val="530E7671"/>
    <w:rsid w:val="531112D0"/>
    <w:rsid w:val="53115FAC"/>
    <w:rsid w:val="53131E02"/>
    <w:rsid w:val="53145E44"/>
    <w:rsid w:val="5317444D"/>
    <w:rsid w:val="531B1301"/>
    <w:rsid w:val="5328645E"/>
    <w:rsid w:val="5328717E"/>
    <w:rsid w:val="533029CA"/>
    <w:rsid w:val="533C48A5"/>
    <w:rsid w:val="534745BF"/>
    <w:rsid w:val="53525315"/>
    <w:rsid w:val="5356228B"/>
    <w:rsid w:val="535B6154"/>
    <w:rsid w:val="53762850"/>
    <w:rsid w:val="538E19D3"/>
    <w:rsid w:val="53902F85"/>
    <w:rsid w:val="53A17B0D"/>
    <w:rsid w:val="53AA7FFA"/>
    <w:rsid w:val="53FB6F6D"/>
    <w:rsid w:val="540004BB"/>
    <w:rsid w:val="54010618"/>
    <w:rsid w:val="540451A7"/>
    <w:rsid w:val="54076205"/>
    <w:rsid w:val="540F6D27"/>
    <w:rsid w:val="541D6D8F"/>
    <w:rsid w:val="54323A68"/>
    <w:rsid w:val="543C16DA"/>
    <w:rsid w:val="544534DA"/>
    <w:rsid w:val="54591FE3"/>
    <w:rsid w:val="546643EE"/>
    <w:rsid w:val="546F0896"/>
    <w:rsid w:val="54786C35"/>
    <w:rsid w:val="547A3826"/>
    <w:rsid w:val="549B37DD"/>
    <w:rsid w:val="549D6CE0"/>
    <w:rsid w:val="54A318C6"/>
    <w:rsid w:val="54A930AA"/>
    <w:rsid w:val="54A97925"/>
    <w:rsid w:val="54AB35EF"/>
    <w:rsid w:val="54B034FE"/>
    <w:rsid w:val="54B35ED3"/>
    <w:rsid w:val="54B46905"/>
    <w:rsid w:val="54BC3E2F"/>
    <w:rsid w:val="54C00CC1"/>
    <w:rsid w:val="54D27137"/>
    <w:rsid w:val="54E403F1"/>
    <w:rsid w:val="54E47594"/>
    <w:rsid w:val="54EA4540"/>
    <w:rsid w:val="550F6FBA"/>
    <w:rsid w:val="55135635"/>
    <w:rsid w:val="55325E6D"/>
    <w:rsid w:val="553C004E"/>
    <w:rsid w:val="554453C5"/>
    <w:rsid w:val="554D167E"/>
    <w:rsid w:val="555263A7"/>
    <w:rsid w:val="55655C17"/>
    <w:rsid w:val="55854A5F"/>
    <w:rsid w:val="559B6F3E"/>
    <w:rsid w:val="55A9573E"/>
    <w:rsid w:val="55B8666E"/>
    <w:rsid w:val="55E4753C"/>
    <w:rsid w:val="55F50596"/>
    <w:rsid w:val="55FB005D"/>
    <w:rsid w:val="560C1849"/>
    <w:rsid w:val="561006E5"/>
    <w:rsid w:val="561C1D2C"/>
    <w:rsid w:val="561C28AB"/>
    <w:rsid w:val="56257444"/>
    <w:rsid w:val="562A273A"/>
    <w:rsid w:val="563146F7"/>
    <w:rsid w:val="563E2B94"/>
    <w:rsid w:val="56467810"/>
    <w:rsid w:val="56477168"/>
    <w:rsid w:val="56490020"/>
    <w:rsid w:val="56494FD9"/>
    <w:rsid w:val="56513C95"/>
    <w:rsid w:val="565B1A15"/>
    <w:rsid w:val="565B3E71"/>
    <w:rsid w:val="565E32C5"/>
    <w:rsid w:val="56772910"/>
    <w:rsid w:val="569431B0"/>
    <w:rsid w:val="56963DC0"/>
    <w:rsid w:val="569B437C"/>
    <w:rsid w:val="56AC6A40"/>
    <w:rsid w:val="56AD2D2E"/>
    <w:rsid w:val="56B00211"/>
    <w:rsid w:val="56B23F89"/>
    <w:rsid w:val="56B608DE"/>
    <w:rsid w:val="56BC0232"/>
    <w:rsid w:val="56D30B12"/>
    <w:rsid w:val="56F9277A"/>
    <w:rsid w:val="570F7216"/>
    <w:rsid w:val="57207C0F"/>
    <w:rsid w:val="572A1C6F"/>
    <w:rsid w:val="575A6EDC"/>
    <w:rsid w:val="575E2E4E"/>
    <w:rsid w:val="5766155A"/>
    <w:rsid w:val="576903C7"/>
    <w:rsid w:val="577356EB"/>
    <w:rsid w:val="577410DE"/>
    <w:rsid w:val="57755289"/>
    <w:rsid w:val="579175CD"/>
    <w:rsid w:val="579E38F8"/>
    <w:rsid w:val="57A129FF"/>
    <w:rsid w:val="57A749CC"/>
    <w:rsid w:val="57A9565E"/>
    <w:rsid w:val="57B93F38"/>
    <w:rsid w:val="57C9355F"/>
    <w:rsid w:val="57DF171D"/>
    <w:rsid w:val="57F31DBF"/>
    <w:rsid w:val="58055D78"/>
    <w:rsid w:val="58103A7A"/>
    <w:rsid w:val="58184D2D"/>
    <w:rsid w:val="581B3F76"/>
    <w:rsid w:val="58262BFF"/>
    <w:rsid w:val="583019E9"/>
    <w:rsid w:val="58360A6E"/>
    <w:rsid w:val="58451B6F"/>
    <w:rsid w:val="58566538"/>
    <w:rsid w:val="585920ED"/>
    <w:rsid w:val="5864466C"/>
    <w:rsid w:val="589A6DB0"/>
    <w:rsid w:val="58D33E46"/>
    <w:rsid w:val="58FE0DD7"/>
    <w:rsid w:val="58FF6F42"/>
    <w:rsid w:val="5913470F"/>
    <w:rsid w:val="591F1682"/>
    <w:rsid w:val="592B3FC6"/>
    <w:rsid w:val="592D70CA"/>
    <w:rsid w:val="595F0B91"/>
    <w:rsid w:val="599F5B19"/>
    <w:rsid w:val="59A04570"/>
    <w:rsid w:val="59AF0885"/>
    <w:rsid w:val="59BA71AC"/>
    <w:rsid w:val="59D25BD6"/>
    <w:rsid w:val="59D60C98"/>
    <w:rsid w:val="59F749D4"/>
    <w:rsid w:val="5A0532BF"/>
    <w:rsid w:val="5A0D3096"/>
    <w:rsid w:val="5A13344B"/>
    <w:rsid w:val="5A1462BA"/>
    <w:rsid w:val="5A1D5219"/>
    <w:rsid w:val="5A1E4EF5"/>
    <w:rsid w:val="5A200164"/>
    <w:rsid w:val="5A371800"/>
    <w:rsid w:val="5A420BA5"/>
    <w:rsid w:val="5A4E37C8"/>
    <w:rsid w:val="5A520807"/>
    <w:rsid w:val="5A523DA3"/>
    <w:rsid w:val="5A5F37E1"/>
    <w:rsid w:val="5A82030A"/>
    <w:rsid w:val="5A8D1D96"/>
    <w:rsid w:val="5A90321C"/>
    <w:rsid w:val="5AA0484E"/>
    <w:rsid w:val="5AA83A51"/>
    <w:rsid w:val="5AAD748E"/>
    <w:rsid w:val="5AB20E59"/>
    <w:rsid w:val="5AB81256"/>
    <w:rsid w:val="5ABF5491"/>
    <w:rsid w:val="5AC95DB3"/>
    <w:rsid w:val="5AD15FA8"/>
    <w:rsid w:val="5AF639C5"/>
    <w:rsid w:val="5B023ACB"/>
    <w:rsid w:val="5B0D7F1E"/>
    <w:rsid w:val="5B195A10"/>
    <w:rsid w:val="5B195B23"/>
    <w:rsid w:val="5B370E88"/>
    <w:rsid w:val="5B4D7CA6"/>
    <w:rsid w:val="5B4F671D"/>
    <w:rsid w:val="5B504C28"/>
    <w:rsid w:val="5B544690"/>
    <w:rsid w:val="5B5E53B7"/>
    <w:rsid w:val="5B5F075C"/>
    <w:rsid w:val="5B6F7BC7"/>
    <w:rsid w:val="5B700408"/>
    <w:rsid w:val="5B710D68"/>
    <w:rsid w:val="5B825CAE"/>
    <w:rsid w:val="5B860A2B"/>
    <w:rsid w:val="5B873D5B"/>
    <w:rsid w:val="5B9257DE"/>
    <w:rsid w:val="5B984E62"/>
    <w:rsid w:val="5B992C85"/>
    <w:rsid w:val="5B9E1823"/>
    <w:rsid w:val="5BA74314"/>
    <w:rsid w:val="5BA913F1"/>
    <w:rsid w:val="5BC717D7"/>
    <w:rsid w:val="5BCD5699"/>
    <w:rsid w:val="5BD35D46"/>
    <w:rsid w:val="5BD719BA"/>
    <w:rsid w:val="5BD731BA"/>
    <w:rsid w:val="5BD824C2"/>
    <w:rsid w:val="5BE25A16"/>
    <w:rsid w:val="5BF32D9F"/>
    <w:rsid w:val="5C00657C"/>
    <w:rsid w:val="5C1815A0"/>
    <w:rsid w:val="5C2A69ED"/>
    <w:rsid w:val="5C350360"/>
    <w:rsid w:val="5C452CC1"/>
    <w:rsid w:val="5C520DA1"/>
    <w:rsid w:val="5C55730B"/>
    <w:rsid w:val="5C677226"/>
    <w:rsid w:val="5C6C4831"/>
    <w:rsid w:val="5C7133B8"/>
    <w:rsid w:val="5C784204"/>
    <w:rsid w:val="5C7D4C4C"/>
    <w:rsid w:val="5C7F5079"/>
    <w:rsid w:val="5C862760"/>
    <w:rsid w:val="5C8E1C60"/>
    <w:rsid w:val="5C9272E9"/>
    <w:rsid w:val="5C936475"/>
    <w:rsid w:val="5C967906"/>
    <w:rsid w:val="5CAF252A"/>
    <w:rsid w:val="5CAF4C4C"/>
    <w:rsid w:val="5CB76AE2"/>
    <w:rsid w:val="5CB90402"/>
    <w:rsid w:val="5CC95BF8"/>
    <w:rsid w:val="5CD03A4D"/>
    <w:rsid w:val="5CD45309"/>
    <w:rsid w:val="5CE103E2"/>
    <w:rsid w:val="5CFB44FB"/>
    <w:rsid w:val="5CFD18AA"/>
    <w:rsid w:val="5D0E3713"/>
    <w:rsid w:val="5D122333"/>
    <w:rsid w:val="5D1321F6"/>
    <w:rsid w:val="5D174350"/>
    <w:rsid w:val="5D277664"/>
    <w:rsid w:val="5D404A26"/>
    <w:rsid w:val="5D446AF9"/>
    <w:rsid w:val="5D64034A"/>
    <w:rsid w:val="5D982E1B"/>
    <w:rsid w:val="5D9A4320"/>
    <w:rsid w:val="5DB55A6D"/>
    <w:rsid w:val="5DCF2C56"/>
    <w:rsid w:val="5DDF358F"/>
    <w:rsid w:val="5DE92E4D"/>
    <w:rsid w:val="5DF47FDA"/>
    <w:rsid w:val="5DF70C36"/>
    <w:rsid w:val="5DFE6042"/>
    <w:rsid w:val="5E1B6E61"/>
    <w:rsid w:val="5E484FA9"/>
    <w:rsid w:val="5E4A21EB"/>
    <w:rsid w:val="5E4B039A"/>
    <w:rsid w:val="5E4B1316"/>
    <w:rsid w:val="5E510E7E"/>
    <w:rsid w:val="5E515E4C"/>
    <w:rsid w:val="5E5238CE"/>
    <w:rsid w:val="5E5913DD"/>
    <w:rsid w:val="5E6F37A9"/>
    <w:rsid w:val="5E8321C4"/>
    <w:rsid w:val="5E8F737D"/>
    <w:rsid w:val="5E9D0A6E"/>
    <w:rsid w:val="5E9F014A"/>
    <w:rsid w:val="5EAE36BF"/>
    <w:rsid w:val="5EAF460D"/>
    <w:rsid w:val="5EBA41F7"/>
    <w:rsid w:val="5EBF02C5"/>
    <w:rsid w:val="5EC800AA"/>
    <w:rsid w:val="5F0A7E9D"/>
    <w:rsid w:val="5F1833DF"/>
    <w:rsid w:val="5F1C0CF6"/>
    <w:rsid w:val="5F2929DD"/>
    <w:rsid w:val="5F2D7F9F"/>
    <w:rsid w:val="5F3A1BA9"/>
    <w:rsid w:val="5F3C65CF"/>
    <w:rsid w:val="5F4000F1"/>
    <w:rsid w:val="5F403BE5"/>
    <w:rsid w:val="5F4F169F"/>
    <w:rsid w:val="5F545F55"/>
    <w:rsid w:val="5F6A1CE9"/>
    <w:rsid w:val="5F7D5144"/>
    <w:rsid w:val="5F852B36"/>
    <w:rsid w:val="5F8E7730"/>
    <w:rsid w:val="5F903F74"/>
    <w:rsid w:val="5F976FE5"/>
    <w:rsid w:val="5FAC62A0"/>
    <w:rsid w:val="5FB6355F"/>
    <w:rsid w:val="5FCA1E36"/>
    <w:rsid w:val="5FE31491"/>
    <w:rsid w:val="5FEE42C8"/>
    <w:rsid w:val="5FF52687"/>
    <w:rsid w:val="5FFB2605"/>
    <w:rsid w:val="5FFC31C9"/>
    <w:rsid w:val="603F2D0F"/>
    <w:rsid w:val="6040260C"/>
    <w:rsid w:val="605807A0"/>
    <w:rsid w:val="605C4EFD"/>
    <w:rsid w:val="605F07A2"/>
    <w:rsid w:val="6074484D"/>
    <w:rsid w:val="607905F2"/>
    <w:rsid w:val="608B4572"/>
    <w:rsid w:val="60A93257"/>
    <w:rsid w:val="60BC384D"/>
    <w:rsid w:val="60CB7108"/>
    <w:rsid w:val="60CF59B7"/>
    <w:rsid w:val="60D200D5"/>
    <w:rsid w:val="60E443F7"/>
    <w:rsid w:val="60FC18A6"/>
    <w:rsid w:val="6103464E"/>
    <w:rsid w:val="61046E55"/>
    <w:rsid w:val="612E1292"/>
    <w:rsid w:val="613B1110"/>
    <w:rsid w:val="6142107A"/>
    <w:rsid w:val="6142619F"/>
    <w:rsid w:val="61437891"/>
    <w:rsid w:val="614D4530"/>
    <w:rsid w:val="615A4E5B"/>
    <w:rsid w:val="616E48A7"/>
    <w:rsid w:val="61703941"/>
    <w:rsid w:val="61890AF6"/>
    <w:rsid w:val="619C04EF"/>
    <w:rsid w:val="619F0F6B"/>
    <w:rsid w:val="61AC172B"/>
    <w:rsid w:val="61B16F4F"/>
    <w:rsid w:val="61C30347"/>
    <w:rsid w:val="61C95377"/>
    <w:rsid w:val="61CD5A74"/>
    <w:rsid w:val="61CF5101"/>
    <w:rsid w:val="61F4090A"/>
    <w:rsid w:val="61FC1A76"/>
    <w:rsid w:val="62367830"/>
    <w:rsid w:val="623C143F"/>
    <w:rsid w:val="623D372D"/>
    <w:rsid w:val="62425307"/>
    <w:rsid w:val="624A4CEB"/>
    <w:rsid w:val="624F75D6"/>
    <w:rsid w:val="625207B2"/>
    <w:rsid w:val="62664344"/>
    <w:rsid w:val="626C6B86"/>
    <w:rsid w:val="626F2EC2"/>
    <w:rsid w:val="62707420"/>
    <w:rsid w:val="6271300E"/>
    <w:rsid w:val="627C3C4B"/>
    <w:rsid w:val="62856891"/>
    <w:rsid w:val="62990E89"/>
    <w:rsid w:val="629C1388"/>
    <w:rsid w:val="62A67227"/>
    <w:rsid w:val="62AC7970"/>
    <w:rsid w:val="62AF4177"/>
    <w:rsid w:val="62B405FF"/>
    <w:rsid w:val="62BF6990"/>
    <w:rsid w:val="62C93676"/>
    <w:rsid w:val="62CF4542"/>
    <w:rsid w:val="62E17FE4"/>
    <w:rsid w:val="62E30D88"/>
    <w:rsid w:val="62E55166"/>
    <w:rsid w:val="63030A00"/>
    <w:rsid w:val="632664A9"/>
    <w:rsid w:val="632B29FF"/>
    <w:rsid w:val="63304C80"/>
    <w:rsid w:val="633D52BF"/>
    <w:rsid w:val="635434A7"/>
    <w:rsid w:val="63660075"/>
    <w:rsid w:val="6373048C"/>
    <w:rsid w:val="637B20CB"/>
    <w:rsid w:val="637C0D51"/>
    <w:rsid w:val="637C1D74"/>
    <w:rsid w:val="638F34A9"/>
    <w:rsid w:val="639023E4"/>
    <w:rsid w:val="63B54E24"/>
    <w:rsid w:val="63B57146"/>
    <w:rsid w:val="63EC5731"/>
    <w:rsid w:val="63F37095"/>
    <w:rsid w:val="63F56A0D"/>
    <w:rsid w:val="63F85DD1"/>
    <w:rsid w:val="640600C6"/>
    <w:rsid w:val="641474F3"/>
    <w:rsid w:val="642A29D6"/>
    <w:rsid w:val="642F7AEC"/>
    <w:rsid w:val="64324081"/>
    <w:rsid w:val="64457A91"/>
    <w:rsid w:val="644E6778"/>
    <w:rsid w:val="64627FE7"/>
    <w:rsid w:val="64653C10"/>
    <w:rsid w:val="64785955"/>
    <w:rsid w:val="64915B01"/>
    <w:rsid w:val="64A6459D"/>
    <w:rsid w:val="64AA262D"/>
    <w:rsid w:val="64AB4C90"/>
    <w:rsid w:val="64AC343A"/>
    <w:rsid w:val="64B31BF1"/>
    <w:rsid w:val="64BC5660"/>
    <w:rsid w:val="64BE373F"/>
    <w:rsid w:val="65091D3A"/>
    <w:rsid w:val="65135DCB"/>
    <w:rsid w:val="651E455F"/>
    <w:rsid w:val="65246866"/>
    <w:rsid w:val="6525792A"/>
    <w:rsid w:val="652E0A4C"/>
    <w:rsid w:val="65325748"/>
    <w:rsid w:val="65534021"/>
    <w:rsid w:val="655C549A"/>
    <w:rsid w:val="65705EF9"/>
    <w:rsid w:val="659E0DB6"/>
    <w:rsid w:val="65B004D2"/>
    <w:rsid w:val="65B93A78"/>
    <w:rsid w:val="65D87EA7"/>
    <w:rsid w:val="65E00E26"/>
    <w:rsid w:val="65EC10C6"/>
    <w:rsid w:val="65FE2FD0"/>
    <w:rsid w:val="660073F3"/>
    <w:rsid w:val="662976BC"/>
    <w:rsid w:val="662B74D0"/>
    <w:rsid w:val="663B33EF"/>
    <w:rsid w:val="66433CD3"/>
    <w:rsid w:val="66470CA9"/>
    <w:rsid w:val="664E58E8"/>
    <w:rsid w:val="665E5B82"/>
    <w:rsid w:val="666517FF"/>
    <w:rsid w:val="666A1995"/>
    <w:rsid w:val="668D50C8"/>
    <w:rsid w:val="66A31E15"/>
    <w:rsid w:val="66B56B1D"/>
    <w:rsid w:val="66BF794D"/>
    <w:rsid w:val="66C52A4B"/>
    <w:rsid w:val="66C633DD"/>
    <w:rsid w:val="66D204E0"/>
    <w:rsid w:val="66D311C9"/>
    <w:rsid w:val="66F223B5"/>
    <w:rsid w:val="66F9191E"/>
    <w:rsid w:val="670125C1"/>
    <w:rsid w:val="670572FA"/>
    <w:rsid w:val="670E20D5"/>
    <w:rsid w:val="67122292"/>
    <w:rsid w:val="671F3024"/>
    <w:rsid w:val="67244105"/>
    <w:rsid w:val="67323F10"/>
    <w:rsid w:val="67465A06"/>
    <w:rsid w:val="674C74B7"/>
    <w:rsid w:val="67526B69"/>
    <w:rsid w:val="67584AB8"/>
    <w:rsid w:val="675D4280"/>
    <w:rsid w:val="67623A6E"/>
    <w:rsid w:val="67676C30"/>
    <w:rsid w:val="67743C6D"/>
    <w:rsid w:val="677E58F0"/>
    <w:rsid w:val="678B66D6"/>
    <w:rsid w:val="67947AF7"/>
    <w:rsid w:val="67B127AF"/>
    <w:rsid w:val="67B63D02"/>
    <w:rsid w:val="67CD46F7"/>
    <w:rsid w:val="67D275A2"/>
    <w:rsid w:val="67D85FE9"/>
    <w:rsid w:val="67D9391E"/>
    <w:rsid w:val="67DC4633"/>
    <w:rsid w:val="67FA3B1E"/>
    <w:rsid w:val="67FA55DF"/>
    <w:rsid w:val="680B2E76"/>
    <w:rsid w:val="6812467D"/>
    <w:rsid w:val="6813679E"/>
    <w:rsid w:val="68196929"/>
    <w:rsid w:val="681A27E1"/>
    <w:rsid w:val="682702AF"/>
    <w:rsid w:val="68310D4B"/>
    <w:rsid w:val="683531FE"/>
    <w:rsid w:val="68384084"/>
    <w:rsid w:val="68421A01"/>
    <w:rsid w:val="68500B99"/>
    <w:rsid w:val="68536D43"/>
    <w:rsid w:val="6855268F"/>
    <w:rsid w:val="685F097B"/>
    <w:rsid w:val="68615DE8"/>
    <w:rsid w:val="6868050B"/>
    <w:rsid w:val="68775135"/>
    <w:rsid w:val="687F3264"/>
    <w:rsid w:val="68932999"/>
    <w:rsid w:val="689E0CED"/>
    <w:rsid w:val="68A275B9"/>
    <w:rsid w:val="68A53E1E"/>
    <w:rsid w:val="68AD23F4"/>
    <w:rsid w:val="68AE28CB"/>
    <w:rsid w:val="68AE5A18"/>
    <w:rsid w:val="68B53AC4"/>
    <w:rsid w:val="68BD0687"/>
    <w:rsid w:val="68D92C55"/>
    <w:rsid w:val="68DB2693"/>
    <w:rsid w:val="68FD6B87"/>
    <w:rsid w:val="69025ED5"/>
    <w:rsid w:val="6923027D"/>
    <w:rsid w:val="692837AF"/>
    <w:rsid w:val="69335B36"/>
    <w:rsid w:val="694F4371"/>
    <w:rsid w:val="695259D7"/>
    <w:rsid w:val="695C2E8F"/>
    <w:rsid w:val="696C7A03"/>
    <w:rsid w:val="69781B4C"/>
    <w:rsid w:val="698214D6"/>
    <w:rsid w:val="69857065"/>
    <w:rsid w:val="698D5A53"/>
    <w:rsid w:val="698F3AB4"/>
    <w:rsid w:val="69927C43"/>
    <w:rsid w:val="69B4358D"/>
    <w:rsid w:val="69C06EB9"/>
    <w:rsid w:val="69D5795B"/>
    <w:rsid w:val="69F369E3"/>
    <w:rsid w:val="69F95BA5"/>
    <w:rsid w:val="6A010B44"/>
    <w:rsid w:val="6A0B1ABF"/>
    <w:rsid w:val="6A3E361C"/>
    <w:rsid w:val="6A4D5233"/>
    <w:rsid w:val="6A564C48"/>
    <w:rsid w:val="6A5824BC"/>
    <w:rsid w:val="6A5C1F46"/>
    <w:rsid w:val="6A650F95"/>
    <w:rsid w:val="6A68566A"/>
    <w:rsid w:val="6A8723EC"/>
    <w:rsid w:val="6A9E4DC6"/>
    <w:rsid w:val="6AA07AB9"/>
    <w:rsid w:val="6AB11BE5"/>
    <w:rsid w:val="6AC67278"/>
    <w:rsid w:val="6AD321EB"/>
    <w:rsid w:val="6AD47477"/>
    <w:rsid w:val="6ADF304E"/>
    <w:rsid w:val="6AE11C8A"/>
    <w:rsid w:val="6AE2564D"/>
    <w:rsid w:val="6AE93D6F"/>
    <w:rsid w:val="6AED5C29"/>
    <w:rsid w:val="6AEE2A44"/>
    <w:rsid w:val="6AEF5633"/>
    <w:rsid w:val="6AF24932"/>
    <w:rsid w:val="6AF40235"/>
    <w:rsid w:val="6AF87714"/>
    <w:rsid w:val="6AFF2398"/>
    <w:rsid w:val="6B1A04C4"/>
    <w:rsid w:val="6B1F2F91"/>
    <w:rsid w:val="6B243B0C"/>
    <w:rsid w:val="6B3956A7"/>
    <w:rsid w:val="6B503098"/>
    <w:rsid w:val="6B5D5AAC"/>
    <w:rsid w:val="6B7553D3"/>
    <w:rsid w:val="6B780B4E"/>
    <w:rsid w:val="6B7C40E3"/>
    <w:rsid w:val="6B844E24"/>
    <w:rsid w:val="6BD7461F"/>
    <w:rsid w:val="6BDD0F41"/>
    <w:rsid w:val="6C0F225A"/>
    <w:rsid w:val="6C113D72"/>
    <w:rsid w:val="6C224BCE"/>
    <w:rsid w:val="6C2B603A"/>
    <w:rsid w:val="6C3B2DDB"/>
    <w:rsid w:val="6C5F3E8E"/>
    <w:rsid w:val="6C654691"/>
    <w:rsid w:val="6C6860E7"/>
    <w:rsid w:val="6C7C1180"/>
    <w:rsid w:val="6C88132C"/>
    <w:rsid w:val="6C912F85"/>
    <w:rsid w:val="6CAA77A5"/>
    <w:rsid w:val="6CAB36D8"/>
    <w:rsid w:val="6CC32ACC"/>
    <w:rsid w:val="6CC41866"/>
    <w:rsid w:val="6CC71984"/>
    <w:rsid w:val="6CD50C99"/>
    <w:rsid w:val="6CEF47D6"/>
    <w:rsid w:val="6CF13C81"/>
    <w:rsid w:val="6D0B1173"/>
    <w:rsid w:val="6D0E30A9"/>
    <w:rsid w:val="6D1458A3"/>
    <w:rsid w:val="6D1924DB"/>
    <w:rsid w:val="6D1F5E0D"/>
    <w:rsid w:val="6D2305EB"/>
    <w:rsid w:val="6D3F3A4A"/>
    <w:rsid w:val="6D5502EE"/>
    <w:rsid w:val="6D6D1DF5"/>
    <w:rsid w:val="6D8E0835"/>
    <w:rsid w:val="6D9A775D"/>
    <w:rsid w:val="6D9E0A43"/>
    <w:rsid w:val="6D9E3709"/>
    <w:rsid w:val="6DA54F9A"/>
    <w:rsid w:val="6DA7050F"/>
    <w:rsid w:val="6DC650DC"/>
    <w:rsid w:val="6DC679A3"/>
    <w:rsid w:val="6DC94F8B"/>
    <w:rsid w:val="6DDA4C6A"/>
    <w:rsid w:val="6DDB796B"/>
    <w:rsid w:val="6DDC0947"/>
    <w:rsid w:val="6DE42445"/>
    <w:rsid w:val="6DE50B87"/>
    <w:rsid w:val="6E1B6DB2"/>
    <w:rsid w:val="6E2146F4"/>
    <w:rsid w:val="6E48505B"/>
    <w:rsid w:val="6E4965FC"/>
    <w:rsid w:val="6E5D5C3D"/>
    <w:rsid w:val="6E5D7227"/>
    <w:rsid w:val="6E6301DC"/>
    <w:rsid w:val="6E6B12C6"/>
    <w:rsid w:val="6E6B3AE1"/>
    <w:rsid w:val="6E6D45BE"/>
    <w:rsid w:val="6E7234AD"/>
    <w:rsid w:val="6E8830D6"/>
    <w:rsid w:val="6E895A00"/>
    <w:rsid w:val="6E8D43DD"/>
    <w:rsid w:val="6E9047F2"/>
    <w:rsid w:val="6E953883"/>
    <w:rsid w:val="6E9665C3"/>
    <w:rsid w:val="6E987E23"/>
    <w:rsid w:val="6EA600EA"/>
    <w:rsid w:val="6EAC2372"/>
    <w:rsid w:val="6EC1500C"/>
    <w:rsid w:val="6EC8577F"/>
    <w:rsid w:val="6ED209FA"/>
    <w:rsid w:val="6ED2525C"/>
    <w:rsid w:val="6EFA6A7C"/>
    <w:rsid w:val="6EFF06D6"/>
    <w:rsid w:val="6F204B39"/>
    <w:rsid w:val="6F397EB2"/>
    <w:rsid w:val="6F401113"/>
    <w:rsid w:val="6F5E0EE0"/>
    <w:rsid w:val="6F6303CE"/>
    <w:rsid w:val="6F6B532E"/>
    <w:rsid w:val="6F7B5258"/>
    <w:rsid w:val="6F8E4A5F"/>
    <w:rsid w:val="6F9416C7"/>
    <w:rsid w:val="6FA237E9"/>
    <w:rsid w:val="6FA341B0"/>
    <w:rsid w:val="6FCC091D"/>
    <w:rsid w:val="6FDF6E49"/>
    <w:rsid w:val="6FE03D45"/>
    <w:rsid w:val="6FF50B96"/>
    <w:rsid w:val="6FF95AB8"/>
    <w:rsid w:val="6FFA4167"/>
    <w:rsid w:val="7009467C"/>
    <w:rsid w:val="700A3B58"/>
    <w:rsid w:val="70363C29"/>
    <w:rsid w:val="70577575"/>
    <w:rsid w:val="70644D4B"/>
    <w:rsid w:val="706E6349"/>
    <w:rsid w:val="70901D3A"/>
    <w:rsid w:val="70A11FDF"/>
    <w:rsid w:val="70A646E9"/>
    <w:rsid w:val="70B0513A"/>
    <w:rsid w:val="70C90FAE"/>
    <w:rsid w:val="70CE5546"/>
    <w:rsid w:val="70D10432"/>
    <w:rsid w:val="70E61586"/>
    <w:rsid w:val="70F42D9E"/>
    <w:rsid w:val="70FA71EB"/>
    <w:rsid w:val="70FF43F0"/>
    <w:rsid w:val="71072C7D"/>
    <w:rsid w:val="710A3C02"/>
    <w:rsid w:val="710B477C"/>
    <w:rsid w:val="71161DE1"/>
    <w:rsid w:val="711655D0"/>
    <w:rsid w:val="71193A4E"/>
    <w:rsid w:val="711D2EDE"/>
    <w:rsid w:val="711E4E4A"/>
    <w:rsid w:val="71250CC1"/>
    <w:rsid w:val="712B3716"/>
    <w:rsid w:val="71300C31"/>
    <w:rsid w:val="71393BCC"/>
    <w:rsid w:val="714737B2"/>
    <w:rsid w:val="714F4202"/>
    <w:rsid w:val="71522EDE"/>
    <w:rsid w:val="715F08BA"/>
    <w:rsid w:val="716C19CF"/>
    <w:rsid w:val="71850692"/>
    <w:rsid w:val="71923D36"/>
    <w:rsid w:val="71926269"/>
    <w:rsid w:val="71A72887"/>
    <w:rsid w:val="71B629A5"/>
    <w:rsid w:val="71C51099"/>
    <w:rsid w:val="71D97EEA"/>
    <w:rsid w:val="71DB64D8"/>
    <w:rsid w:val="71DF70A8"/>
    <w:rsid w:val="71E55A7A"/>
    <w:rsid w:val="71E91E4F"/>
    <w:rsid w:val="71F44E84"/>
    <w:rsid w:val="71FB17D1"/>
    <w:rsid w:val="720B781C"/>
    <w:rsid w:val="721300E5"/>
    <w:rsid w:val="721D2C5D"/>
    <w:rsid w:val="723F01DC"/>
    <w:rsid w:val="724E5543"/>
    <w:rsid w:val="72720D85"/>
    <w:rsid w:val="727C0C16"/>
    <w:rsid w:val="728678A3"/>
    <w:rsid w:val="729358E5"/>
    <w:rsid w:val="729C0B15"/>
    <w:rsid w:val="72AB7AE3"/>
    <w:rsid w:val="72C63908"/>
    <w:rsid w:val="72E168CF"/>
    <w:rsid w:val="72E96A79"/>
    <w:rsid w:val="72F52353"/>
    <w:rsid w:val="73154850"/>
    <w:rsid w:val="732E02F4"/>
    <w:rsid w:val="73312D6E"/>
    <w:rsid w:val="73365490"/>
    <w:rsid w:val="733E450B"/>
    <w:rsid w:val="7348484C"/>
    <w:rsid w:val="7371655E"/>
    <w:rsid w:val="737871FE"/>
    <w:rsid w:val="73A700EF"/>
    <w:rsid w:val="73BA34EB"/>
    <w:rsid w:val="73BB0416"/>
    <w:rsid w:val="73BB23C5"/>
    <w:rsid w:val="73C208AB"/>
    <w:rsid w:val="73C4767E"/>
    <w:rsid w:val="73D844AD"/>
    <w:rsid w:val="73D92F51"/>
    <w:rsid w:val="73F02777"/>
    <w:rsid w:val="741C234F"/>
    <w:rsid w:val="742B746E"/>
    <w:rsid w:val="743B05C1"/>
    <w:rsid w:val="744321B9"/>
    <w:rsid w:val="744F3E04"/>
    <w:rsid w:val="74750ECD"/>
    <w:rsid w:val="74800F12"/>
    <w:rsid w:val="74822F34"/>
    <w:rsid w:val="74873C5A"/>
    <w:rsid w:val="74B05BAE"/>
    <w:rsid w:val="74B22D11"/>
    <w:rsid w:val="74B67745"/>
    <w:rsid w:val="74BB3CF3"/>
    <w:rsid w:val="74CA5026"/>
    <w:rsid w:val="74DA71BD"/>
    <w:rsid w:val="74F87553"/>
    <w:rsid w:val="74F956BC"/>
    <w:rsid w:val="74FC040C"/>
    <w:rsid w:val="75190F9A"/>
    <w:rsid w:val="751A4598"/>
    <w:rsid w:val="7530632D"/>
    <w:rsid w:val="75366432"/>
    <w:rsid w:val="756248C1"/>
    <w:rsid w:val="7567283F"/>
    <w:rsid w:val="7568007B"/>
    <w:rsid w:val="756E349E"/>
    <w:rsid w:val="756E598B"/>
    <w:rsid w:val="75800044"/>
    <w:rsid w:val="75801B52"/>
    <w:rsid w:val="758D1A81"/>
    <w:rsid w:val="758D365A"/>
    <w:rsid w:val="759D4382"/>
    <w:rsid w:val="75A664BB"/>
    <w:rsid w:val="75B76901"/>
    <w:rsid w:val="75B8555A"/>
    <w:rsid w:val="75CE6CE0"/>
    <w:rsid w:val="75D44B92"/>
    <w:rsid w:val="75D77FE2"/>
    <w:rsid w:val="75DC1464"/>
    <w:rsid w:val="75E6090A"/>
    <w:rsid w:val="75FA2D4B"/>
    <w:rsid w:val="75FF1536"/>
    <w:rsid w:val="760B4CB7"/>
    <w:rsid w:val="760D4954"/>
    <w:rsid w:val="762B2C11"/>
    <w:rsid w:val="764101FF"/>
    <w:rsid w:val="764A4B43"/>
    <w:rsid w:val="764B08AE"/>
    <w:rsid w:val="764E5142"/>
    <w:rsid w:val="765A6EBE"/>
    <w:rsid w:val="765A7A78"/>
    <w:rsid w:val="76690363"/>
    <w:rsid w:val="766A4FD3"/>
    <w:rsid w:val="767159C6"/>
    <w:rsid w:val="7673022A"/>
    <w:rsid w:val="76882384"/>
    <w:rsid w:val="76897E06"/>
    <w:rsid w:val="768E1382"/>
    <w:rsid w:val="769957D3"/>
    <w:rsid w:val="769D232A"/>
    <w:rsid w:val="76A7201E"/>
    <w:rsid w:val="76B0150D"/>
    <w:rsid w:val="76BC1603"/>
    <w:rsid w:val="76C31D0B"/>
    <w:rsid w:val="76D779A8"/>
    <w:rsid w:val="76DB0DCF"/>
    <w:rsid w:val="76DD1EEF"/>
    <w:rsid w:val="76E12511"/>
    <w:rsid w:val="76E34212"/>
    <w:rsid w:val="76F82FEA"/>
    <w:rsid w:val="770C64FD"/>
    <w:rsid w:val="770E0614"/>
    <w:rsid w:val="77103658"/>
    <w:rsid w:val="771A472E"/>
    <w:rsid w:val="77242968"/>
    <w:rsid w:val="772E79B2"/>
    <w:rsid w:val="77310C2F"/>
    <w:rsid w:val="773624E4"/>
    <w:rsid w:val="775A630A"/>
    <w:rsid w:val="775E2FCF"/>
    <w:rsid w:val="77852976"/>
    <w:rsid w:val="77854826"/>
    <w:rsid w:val="77872DAA"/>
    <w:rsid w:val="778F35D3"/>
    <w:rsid w:val="779C0CB4"/>
    <w:rsid w:val="77A41E61"/>
    <w:rsid w:val="77A73513"/>
    <w:rsid w:val="77AA3761"/>
    <w:rsid w:val="77B17813"/>
    <w:rsid w:val="77E9049A"/>
    <w:rsid w:val="77FD3EDE"/>
    <w:rsid w:val="7800025A"/>
    <w:rsid w:val="780F0FC9"/>
    <w:rsid w:val="781130E9"/>
    <w:rsid w:val="781615D7"/>
    <w:rsid w:val="782207CE"/>
    <w:rsid w:val="782433E7"/>
    <w:rsid w:val="783A3050"/>
    <w:rsid w:val="783B6A3C"/>
    <w:rsid w:val="784D0326"/>
    <w:rsid w:val="78505AFF"/>
    <w:rsid w:val="786D6D22"/>
    <w:rsid w:val="787434CB"/>
    <w:rsid w:val="787566C8"/>
    <w:rsid w:val="787B03C1"/>
    <w:rsid w:val="78A26AF3"/>
    <w:rsid w:val="78A44204"/>
    <w:rsid w:val="78A751EB"/>
    <w:rsid w:val="78D1419F"/>
    <w:rsid w:val="78D16453"/>
    <w:rsid w:val="78D36808"/>
    <w:rsid w:val="78E1476F"/>
    <w:rsid w:val="79052133"/>
    <w:rsid w:val="79065C1B"/>
    <w:rsid w:val="79083128"/>
    <w:rsid w:val="7925576A"/>
    <w:rsid w:val="792828B0"/>
    <w:rsid w:val="7928508B"/>
    <w:rsid w:val="792D0059"/>
    <w:rsid w:val="79311AF6"/>
    <w:rsid w:val="793D3CD0"/>
    <w:rsid w:val="794C6FC7"/>
    <w:rsid w:val="795552EC"/>
    <w:rsid w:val="79C21387"/>
    <w:rsid w:val="79D51E82"/>
    <w:rsid w:val="79DD40B3"/>
    <w:rsid w:val="79E8078D"/>
    <w:rsid w:val="7A0D09CC"/>
    <w:rsid w:val="7A2754DB"/>
    <w:rsid w:val="7A2916DF"/>
    <w:rsid w:val="7A31596D"/>
    <w:rsid w:val="7A5E29C4"/>
    <w:rsid w:val="7A645589"/>
    <w:rsid w:val="7A8E16C0"/>
    <w:rsid w:val="7A8F3C9E"/>
    <w:rsid w:val="7AA30ADE"/>
    <w:rsid w:val="7AAE2C70"/>
    <w:rsid w:val="7AB52994"/>
    <w:rsid w:val="7AB97388"/>
    <w:rsid w:val="7AC5017B"/>
    <w:rsid w:val="7ACB0E07"/>
    <w:rsid w:val="7ACC0D3C"/>
    <w:rsid w:val="7AF4420F"/>
    <w:rsid w:val="7AF679AD"/>
    <w:rsid w:val="7AFE6C6F"/>
    <w:rsid w:val="7AFF06D5"/>
    <w:rsid w:val="7B0D056F"/>
    <w:rsid w:val="7B207590"/>
    <w:rsid w:val="7B672BAC"/>
    <w:rsid w:val="7B68086A"/>
    <w:rsid w:val="7B6D3E0C"/>
    <w:rsid w:val="7B9D0F20"/>
    <w:rsid w:val="7BAE2DD5"/>
    <w:rsid w:val="7BB60372"/>
    <w:rsid w:val="7BB61173"/>
    <w:rsid w:val="7BBF0C29"/>
    <w:rsid w:val="7BC56CBB"/>
    <w:rsid w:val="7BD9615B"/>
    <w:rsid w:val="7BE05E94"/>
    <w:rsid w:val="7BE86FD9"/>
    <w:rsid w:val="7C022A97"/>
    <w:rsid w:val="7C0734BF"/>
    <w:rsid w:val="7C0E0770"/>
    <w:rsid w:val="7C2C2F45"/>
    <w:rsid w:val="7C2E40D7"/>
    <w:rsid w:val="7C484151"/>
    <w:rsid w:val="7C6F177A"/>
    <w:rsid w:val="7C7E629E"/>
    <w:rsid w:val="7CA50B3B"/>
    <w:rsid w:val="7CCB45C8"/>
    <w:rsid w:val="7CF92030"/>
    <w:rsid w:val="7CF951E8"/>
    <w:rsid w:val="7CFC7D9A"/>
    <w:rsid w:val="7D0544DF"/>
    <w:rsid w:val="7D1B2758"/>
    <w:rsid w:val="7D3A3102"/>
    <w:rsid w:val="7D4122AB"/>
    <w:rsid w:val="7D435F90"/>
    <w:rsid w:val="7D4B76E4"/>
    <w:rsid w:val="7D597C0A"/>
    <w:rsid w:val="7D625F43"/>
    <w:rsid w:val="7D6464C5"/>
    <w:rsid w:val="7D755C07"/>
    <w:rsid w:val="7D7A19E6"/>
    <w:rsid w:val="7D807066"/>
    <w:rsid w:val="7D81642A"/>
    <w:rsid w:val="7D910DC1"/>
    <w:rsid w:val="7D956C94"/>
    <w:rsid w:val="7D9D0B73"/>
    <w:rsid w:val="7DAB52B1"/>
    <w:rsid w:val="7DB201CE"/>
    <w:rsid w:val="7DD31D38"/>
    <w:rsid w:val="7DDD0BB9"/>
    <w:rsid w:val="7DE533E0"/>
    <w:rsid w:val="7DEF064E"/>
    <w:rsid w:val="7DF06A41"/>
    <w:rsid w:val="7DFA7E07"/>
    <w:rsid w:val="7E062500"/>
    <w:rsid w:val="7E1F7486"/>
    <w:rsid w:val="7E2067E3"/>
    <w:rsid w:val="7E337729"/>
    <w:rsid w:val="7E4548B9"/>
    <w:rsid w:val="7E4F53C3"/>
    <w:rsid w:val="7E5865F9"/>
    <w:rsid w:val="7E7810E6"/>
    <w:rsid w:val="7E875488"/>
    <w:rsid w:val="7EA22FC0"/>
    <w:rsid w:val="7EB554BC"/>
    <w:rsid w:val="7EB92309"/>
    <w:rsid w:val="7EBF2EFE"/>
    <w:rsid w:val="7EBF5135"/>
    <w:rsid w:val="7EC15AFA"/>
    <w:rsid w:val="7ED342CE"/>
    <w:rsid w:val="7EE84879"/>
    <w:rsid w:val="7EFA5DC9"/>
    <w:rsid w:val="7F031EC8"/>
    <w:rsid w:val="7F091680"/>
    <w:rsid w:val="7F0C74AB"/>
    <w:rsid w:val="7F3E7D72"/>
    <w:rsid w:val="7F480E1D"/>
    <w:rsid w:val="7F4D6245"/>
    <w:rsid w:val="7F5771EE"/>
    <w:rsid w:val="7F5E2E29"/>
    <w:rsid w:val="7F604567"/>
    <w:rsid w:val="7F762C20"/>
    <w:rsid w:val="7F7B3963"/>
    <w:rsid w:val="7F7D45B6"/>
    <w:rsid w:val="7F8864B8"/>
    <w:rsid w:val="7FA23B09"/>
    <w:rsid w:val="7FAB1A27"/>
    <w:rsid w:val="7FAD3455"/>
    <w:rsid w:val="7FC17629"/>
    <w:rsid w:val="7FDA6ECE"/>
    <w:rsid w:val="7FDD4580"/>
    <w:rsid w:val="7FF77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59"/>
    <w:qFormat/>
    <w:uiPriority w:val="9"/>
    <w:pPr>
      <w:keepNext/>
      <w:keepLines/>
      <w:spacing w:before="260" w:after="260" w:line="416" w:lineRule="auto"/>
      <w:outlineLvl w:val="2"/>
    </w:pPr>
    <w:rPr>
      <w:b/>
      <w:bCs/>
      <w:sz w:val="32"/>
      <w:szCs w:val="32"/>
    </w:rPr>
  </w:style>
  <w:style w:type="paragraph" w:styleId="6">
    <w:name w:val="heading 4"/>
    <w:basedOn w:val="1"/>
    <w:next w:val="1"/>
    <w:link w:val="16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61"/>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6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qFormat/>
    <w:uiPriority w:val="39"/>
  </w:style>
  <w:style w:type="paragraph" w:styleId="17">
    <w:name w:val="toc 2"/>
    <w:basedOn w:val="1"/>
    <w:next w:val="1"/>
    <w:qFormat/>
    <w:uiPriority w:val="39"/>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qFormat/>
    <w:uiPriority w:val="0"/>
    <w:pPr>
      <w:jc w:val="left"/>
    </w:pPr>
  </w:style>
  <w:style w:type="paragraph" w:styleId="21">
    <w:name w:val="Body Text"/>
    <w:basedOn w:val="1"/>
    <w:qFormat/>
    <w:uiPriority w:val="0"/>
    <w:pPr>
      <w:spacing w:after="120"/>
    </w:pPr>
  </w:style>
  <w:style w:type="paragraph" w:styleId="22">
    <w:name w:val="Body Text Indent"/>
    <w:basedOn w:val="1"/>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179"/>
    <w:qFormat/>
    <w:uiPriority w:val="0"/>
    <w:pPr>
      <w:widowControl/>
      <w:spacing w:after="4" w:line="260" w:lineRule="auto"/>
      <w:ind w:left="448"/>
    </w:pPr>
    <w:rPr>
      <w:rFonts w:ascii="宋体" w:hAnsi="Courier New" w:eastAsia="微软雅黑"/>
      <w:color w:val="000000"/>
      <w:sz w:val="20"/>
      <w:szCs w:val="22"/>
    </w:rPr>
  </w:style>
  <w:style w:type="paragraph" w:styleId="25">
    <w:name w:val="toc 8"/>
    <w:basedOn w:val="12"/>
    <w:next w:val="1"/>
    <w:semiHidden/>
    <w:qFormat/>
    <w:uiPriority w:val="0"/>
  </w:style>
  <w:style w:type="paragraph" w:styleId="26">
    <w:name w:val="Date"/>
    <w:basedOn w:val="1"/>
    <w:next w:val="1"/>
    <w:qFormat/>
    <w:uiPriority w:val="0"/>
    <w:rPr>
      <w:sz w:val="24"/>
      <w:szCs w:val="20"/>
    </w:rPr>
  </w:style>
  <w:style w:type="paragraph" w:styleId="27">
    <w:name w:val="Body Text Indent 2"/>
    <w:basedOn w:val="1"/>
    <w:link w:val="166"/>
    <w:qFormat/>
    <w:uiPriority w:val="0"/>
    <w:pPr>
      <w:ind w:firstLine="210" w:firstLineChars="100"/>
    </w:pPr>
  </w:style>
  <w:style w:type="paragraph" w:styleId="28">
    <w:name w:val="endnote text"/>
    <w:basedOn w:val="1"/>
    <w:qFormat/>
    <w:uiPriority w:val="0"/>
    <w:pPr>
      <w:snapToGrid w:val="0"/>
    </w:pPr>
  </w:style>
  <w:style w:type="paragraph" w:styleId="29">
    <w:name w:val="Balloon Text"/>
    <w:basedOn w:val="1"/>
    <w:link w:val="151"/>
    <w:qFormat/>
    <w:uiPriority w:val="99"/>
    <w:rPr>
      <w:sz w:val="18"/>
      <w:szCs w:val="18"/>
    </w:rPr>
  </w:style>
  <w:style w:type="paragraph" w:styleId="30">
    <w:name w:val="footer"/>
    <w:basedOn w:val="1"/>
    <w:link w:val="164"/>
    <w:qFormat/>
    <w:uiPriority w:val="99"/>
    <w:pPr>
      <w:tabs>
        <w:tab w:val="center" w:pos="4153"/>
        <w:tab w:val="right" w:pos="8306"/>
      </w:tabs>
      <w:snapToGrid w:val="0"/>
      <w:ind w:right="210" w:rightChars="100"/>
      <w:jc w:val="right"/>
    </w:pPr>
    <w:rPr>
      <w:sz w:val="18"/>
      <w:szCs w:val="18"/>
    </w:rPr>
  </w:style>
  <w:style w:type="paragraph" w:styleId="31">
    <w:name w:val="header"/>
    <w:basedOn w:val="1"/>
    <w:link w:val="14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rFonts w:ascii="宋体"/>
    </w:rPr>
  </w:style>
  <w:style w:type="paragraph" w:styleId="33">
    <w:name w:val="footnote text"/>
    <w:basedOn w:val="1"/>
    <w:semiHidden/>
    <w:qFormat/>
    <w:uiPriority w:val="0"/>
    <w:pPr>
      <w:snapToGrid w:val="0"/>
      <w:jc w:val="left"/>
    </w:pPr>
    <w:rPr>
      <w:sz w:val="18"/>
      <w:szCs w:val="18"/>
    </w:rPr>
  </w:style>
  <w:style w:type="paragraph" w:styleId="34">
    <w:name w:val="Body Text Indent 3"/>
    <w:basedOn w:val="1"/>
    <w:qFormat/>
    <w:uiPriority w:val="0"/>
    <w:pPr>
      <w:widowControl/>
      <w:spacing w:line="360" w:lineRule="auto"/>
      <w:ind w:firstLine="420"/>
    </w:pPr>
    <w:rPr>
      <w:rFonts w:hAnsi="宋体"/>
      <w:sz w:val="18"/>
    </w:rPr>
  </w:style>
  <w:style w:type="paragraph" w:styleId="35">
    <w:name w:val="toc 9"/>
    <w:basedOn w:val="25"/>
    <w:next w:val="1"/>
    <w:semiHidden/>
    <w:qFormat/>
    <w:uiPriority w:val="0"/>
  </w:style>
  <w:style w:type="paragraph" w:styleId="36">
    <w:name w:val="Body Text 2"/>
    <w:basedOn w:val="1"/>
    <w:qFormat/>
    <w:uiPriority w:val="0"/>
    <w:pPr>
      <w:spacing w:after="120" w:line="480" w:lineRule="auto"/>
    </w:pPr>
  </w:style>
  <w:style w:type="paragraph" w:styleId="37">
    <w:name w:val="HTML Preformatted"/>
    <w:basedOn w:val="1"/>
    <w:qFormat/>
    <w:uiPriority w:val="0"/>
    <w:rPr>
      <w:rFonts w:ascii="Courier New" w:hAnsi="Courier New" w:cs="Courier New"/>
      <w:sz w:val="20"/>
      <w:szCs w:val="20"/>
    </w:rPr>
  </w:style>
  <w:style w:type="paragraph" w:styleId="38">
    <w:name w:val="Title"/>
    <w:basedOn w:val="1"/>
    <w:qFormat/>
    <w:uiPriority w:val="0"/>
    <w:pPr>
      <w:spacing w:before="240" w:after="60"/>
      <w:jc w:val="center"/>
      <w:outlineLvl w:val="0"/>
    </w:pPr>
    <w:rPr>
      <w:rFonts w:ascii="Arial" w:hAnsi="Arial" w:cs="Arial"/>
      <w:b/>
      <w:bCs/>
      <w:sz w:val="32"/>
      <w:szCs w:val="32"/>
    </w:rPr>
  </w:style>
  <w:style w:type="paragraph" w:styleId="39">
    <w:name w:val="Body Text First Indent"/>
    <w:basedOn w:val="21"/>
    <w:link w:val="143"/>
    <w:qFormat/>
    <w:uiPriority w:val="0"/>
    <w:pPr>
      <w:ind w:firstLine="420"/>
    </w:pPr>
    <w:rPr>
      <w:szCs w:val="20"/>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Light Shading Accent 2"/>
    <w:basedOn w:val="40"/>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3">
    <w:name w:val="Light Shading Accent 6"/>
    <w:basedOn w:val="40"/>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Accent 2"/>
    <w:basedOn w:val="40"/>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6"/>
    <w:basedOn w:val="40"/>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Medium Shading 1 Accent 6"/>
    <w:basedOn w:val="40"/>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47">
    <w:name w:val="Medium Shading 2 Accent 2"/>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48">
    <w:name w:val="Medium Shading 2 Accent 3"/>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49">
    <w:name w:val="Medium Shading 2 Accent 4"/>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5"/>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1">
    <w:name w:val="Medium Shading 2 Accent 6"/>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2">
    <w:name w:val="Medium Grid 3 Accent 2"/>
    <w:basedOn w:val="40"/>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53">
    <w:name w:val="Medium Grid 3 Accent 3"/>
    <w:basedOn w:val="40"/>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54">
    <w:name w:val="Medium Grid 3 Accent 4"/>
    <w:basedOn w:val="40"/>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55">
    <w:name w:val="Medium Grid 3 Accent 5"/>
    <w:basedOn w:val="40"/>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56">
    <w:name w:val="Dark List Accent 5"/>
    <w:basedOn w:val="40"/>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7">
    <w:name w:val="Dark List Accent 6"/>
    <w:basedOn w:val="40"/>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58">
    <w:name w:val="Colorful Shading Accent 1"/>
    <w:basedOn w:val="40"/>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59">
    <w:name w:val="Colorful Shading Accent 2"/>
    <w:basedOn w:val="40"/>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60">
    <w:name w:val="Colorful Shading Accent 3"/>
    <w:basedOn w:val="40"/>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62">
    <w:name w:val="page number"/>
    <w:qFormat/>
    <w:uiPriority w:val="0"/>
    <w:rPr>
      <w:rFonts w:ascii="Times New Roman" w:hAnsi="Times New Roman" w:eastAsia="宋体"/>
      <w:sz w:val="18"/>
    </w:rPr>
  </w:style>
  <w:style w:type="character" w:styleId="63">
    <w:name w:val="FollowedHyperlink"/>
    <w:qFormat/>
    <w:uiPriority w:val="0"/>
    <w:rPr>
      <w:color w:val="800080"/>
      <w:u w:val="single"/>
    </w:rPr>
  </w:style>
  <w:style w:type="character" w:styleId="64">
    <w:name w:val="HTML Definition"/>
    <w:qFormat/>
    <w:uiPriority w:val="0"/>
    <w:rPr>
      <w:i/>
      <w:iCs/>
    </w:rPr>
  </w:style>
  <w:style w:type="character" w:styleId="65">
    <w:name w:val="HTML Typewriter"/>
    <w:qFormat/>
    <w:uiPriority w:val="0"/>
    <w:rPr>
      <w:rFonts w:ascii="Courier New" w:hAnsi="Courier New"/>
      <w:sz w:val="20"/>
      <w:szCs w:val="20"/>
    </w:rPr>
  </w:style>
  <w:style w:type="character" w:styleId="66">
    <w:name w:val="HTML Acronym"/>
    <w:basedOn w:val="61"/>
    <w:qFormat/>
    <w:uiPriority w:val="0"/>
  </w:style>
  <w:style w:type="character" w:styleId="67">
    <w:name w:val="HTML Variable"/>
    <w:qFormat/>
    <w:uiPriority w:val="0"/>
    <w:rPr>
      <w:i/>
      <w:iCs/>
    </w:rPr>
  </w:style>
  <w:style w:type="character" w:styleId="68">
    <w:name w:val="Hyperlink"/>
    <w:qFormat/>
    <w:uiPriority w:val="99"/>
    <w:rPr>
      <w:rFonts w:ascii="Times New Roman" w:hAnsi="Times New Roman" w:eastAsia="宋体"/>
      <w:color w:val="auto"/>
      <w:spacing w:val="0"/>
      <w:w w:val="100"/>
      <w:position w:val="0"/>
      <w:sz w:val="21"/>
      <w:u w:val="none"/>
    </w:rPr>
  </w:style>
  <w:style w:type="character" w:styleId="69">
    <w:name w:val="HTML Code"/>
    <w:qFormat/>
    <w:uiPriority w:val="0"/>
    <w:rPr>
      <w:rFonts w:ascii="Courier New" w:hAnsi="Courier New"/>
      <w:sz w:val="20"/>
      <w:szCs w:val="20"/>
    </w:rPr>
  </w:style>
  <w:style w:type="character" w:styleId="70">
    <w:name w:val="HTML Cite"/>
    <w:qFormat/>
    <w:uiPriority w:val="0"/>
    <w:rPr>
      <w:i/>
      <w:iCs/>
    </w:rPr>
  </w:style>
  <w:style w:type="character" w:styleId="71">
    <w:name w:val="footnote reference"/>
    <w:semiHidden/>
    <w:qFormat/>
    <w:uiPriority w:val="0"/>
    <w:rPr>
      <w:vertAlign w:val="superscript"/>
    </w:rPr>
  </w:style>
  <w:style w:type="character" w:styleId="72">
    <w:name w:val="HTML Keyboard"/>
    <w:qFormat/>
    <w:uiPriority w:val="0"/>
    <w:rPr>
      <w:rFonts w:ascii="Courier New" w:hAnsi="Courier New"/>
      <w:sz w:val="20"/>
      <w:szCs w:val="20"/>
    </w:rPr>
  </w:style>
  <w:style w:type="character" w:styleId="73">
    <w:name w:val="HTML Sample"/>
    <w:qFormat/>
    <w:uiPriority w:val="0"/>
    <w:rPr>
      <w:rFonts w:ascii="Courier New" w:hAnsi="Courier New"/>
    </w:rPr>
  </w:style>
  <w:style w:type="paragraph" w:customStyle="1" w:styleId="74">
    <w:name w:val="图表脚注说明"/>
    <w:basedOn w:val="1"/>
    <w:qFormat/>
    <w:uiPriority w:val="0"/>
    <w:pPr>
      <w:numPr>
        <w:ilvl w:val="0"/>
        <w:numId w:val="1"/>
      </w:numPr>
    </w:pPr>
    <w:rPr>
      <w:rFonts w:ascii="宋体"/>
      <w:sz w:val="18"/>
      <w:szCs w:val="18"/>
    </w:rPr>
  </w:style>
  <w:style w:type="paragraph" w:customStyle="1" w:styleId="75">
    <w:name w:val="附录四级条标题"/>
    <w:basedOn w:val="76"/>
    <w:next w:val="80"/>
    <w:qFormat/>
    <w:uiPriority w:val="0"/>
    <w:pPr>
      <w:numPr>
        <w:ilvl w:val="5"/>
      </w:numPr>
      <w:outlineLvl w:val="5"/>
    </w:pPr>
  </w:style>
  <w:style w:type="paragraph" w:customStyle="1" w:styleId="76">
    <w:name w:val="附录三级条标题"/>
    <w:basedOn w:val="77"/>
    <w:next w:val="80"/>
    <w:qFormat/>
    <w:uiPriority w:val="0"/>
    <w:pPr>
      <w:numPr>
        <w:ilvl w:val="4"/>
      </w:numPr>
      <w:outlineLvl w:val="4"/>
    </w:pPr>
  </w:style>
  <w:style w:type="paragraph" w:customStyle="1" w:styleId="77">
    <w:name w:val="附录二级条标题"/>
    <w:basedOn w:val="78"/>
    <w:next w:val="80"/>
    <w:qFormat/>
    <w:uiPriority w:val="0"/>
    <w:pPr>
      <w:numPr>
        <w:ilvl w:val="3"/>
      </w:numPr>
      <w:outlineLvl w:val="3"/>
    </w:pPr>
  </w:style>
  <w:style w:type="paragraph" w:customStyle="1" w:styleId="78">
    <w:name w:val="附录一级条标题"/>
    <w:basedOn w:val="79"/>
    <w:next w:val="80"/>
    <w:qFormat/>
    <w:uiPriority w:val="0"/>
    <w:pPr>
      <w:numPr>
        <w:ilvl w:val="2"/>
      </w:numPr>
      <w:autoSpaceDN w:val="0"/>
      <w:outlineLvl w:val="2"/>
    </w:pPr>
  </w:style>
  <w:style w:type="paragraph" w:customStyle="1" w:styleId="79">
    <w:name w:val="附录章标题"/>
    <w:next w:val="80"/>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段"/>
    <w:link w:val="1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正文表标题"/>
    <w:next w:val="8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2">
    <w:name w:val="四级无标题条"/>
    <w:basedOn w:val="1"/>
    <w:qFormat/>
    <w:uiPriority w:val="0"/>
    <w:pPr>
      <w:numPr>
        <w:ilvl w:val="5"/>
        <w:numId w:val="1"/>
      </w:numPr>
    </w:pPr>
  </w:style>
  <w:style w:type="paragraph" w:customStyle="1" w:styleId="8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6">
    <w:name w:val="注："/>
    <w:next w:val="80"/>
    <w:link w:val="149"/>
    <w:qFormat/>
    <w:uiPriority w:val="0"/>
    <w:pPr>
      <w:widowControl w:val="0"/>
      <w:numPr>
        <w:ilvl w:val="0"/>
        <w:numId w:val="4"/>
      </w:numPr>
      <w:autoSpaceDE w:val="0"/>
      <w:autoSpaceDN w:val="0"/>
      <w:jc w:val="both"/>
    </w:pPr>
    <w:rPr>
      <w:rFonts w:ascii="宋体" w:hAnsi="Times New Roman" w:eastAsia="宋体" w:cs="Times New Roman"/>
      <w:sz w:val="18"/>
      <w:lang w:val="en-US" w:eastAsia="zh-CN" w:bidi="ar-SA"/>
    </w:rPr>
  </w:style>
  <w:style w:type="paragraph" w:customStyle="1" w:styleId="87">
    <w:name w:val="一级条标题"/>
    <w:basedOn w:val="88"/>
    <w:next w:val="80"/>
    <w:link w:val="142"/>
    <w:qFormat/>
    <w:uiPriority w:val="0"/>
    <w:pPr>
      <w:numPr>
        <w:ilvl w:val="2"/>
      </w:numPr>
      <w:outlineLvl w:val="2"/>
    </w:pPr>
  </w:style>
  <w:style w:type="paragraph" w:customStyle="1" w:styleId="88">
    <w:name w:val="章标题"/>
    <w:next w:val="80"/>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8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
    <w:name w:val="条文脚注"/>
    <w:basedOn w:val="33"/>
    <w:qFormat/>
    <w:uiPriority w:val="0"/>
    <w:pPr>
      <w:ind w:left="780" w:leftChars="200" w:hanging="360" w:hangingChars="200"/>
      <w:jc w:val="both"/>
    </w:pPr>
    <w:rPr>
      <w:rFonts w:ascii="宋体"/>
    </w:rPr>
  </w:style>
  <w:style w:type="paragraph" w:customStyle="1" w:styleId="91">
    <w:name w:val="注×："/>
    <w:qFormat/>
    <w:uiPriority w:val="0"/>
    <w:pPr>
      <w:widowControl w:val="0"/>
      <w:numPr>
        <w:ilvl w:val="0"/>
        <w:numId w:val="6"/>
      </w:numPr>
      <w:tabs>
        <w:tab w:val="left" w:pos="630"/>
        <w:tab w:val="clear" w:pos="500"/>
      </w:tabs>
      <w:autoSpaceDE w:val="0"/>
      <w:autoSpaceDN w:val="0"/>
      <w:jc w:val="both"/>
    </w:pPr>
    <w:rPr>
      <w:rFonts w:ascii="宋体" w:hAnsi="Times New Roman" w:eastAsia="宋体" w:cs="Times New Roman"/>
      <w:sz w:val="18"/>
      <w:lang w:val="en-US" w:eastAsia="zh-CN" w:bidi="ar-SA"/>
    </w:rPr>
  </w:style>
  <w:style w:type="paragraph" w:customStyle="1" w:styleId="92">
    <w:name w:val="正文图标题"/>
    <w:next w:val="8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3">
    <w:name w:val="示例"/>
    <w:next w:val="80"/>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5">
    <w:name w:val="二级条标题"/>
    <w:basedOn w:val="87"/>
    <w:next w:val="80"/>
    <w:link w:val="153"/>
    <w:qFormat/>
    <w:uiPriority w:val="0"/>
    <w:pPr>
      <w:numPr>
        <w:ilvl w:val="3"/>
      </w:numPr>
      <w:outlineLvl w:val="3"/>
    </w:pPr>
  </w:style>
  <w:style w:type="paragraph" w:customStyle="1" w:styleId="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7">
    <w:name w:val="参考文献、索引标题"/>
    <w:basedOn w:val="98"/>
    <w:next w:val="1"/>
    <w:qFormat/>
    <w:uiPriority w:val="0"/>
    <w:pPr>
      <w:numPr>
        <w:numId w:val="0"/>
      </w:numPr>
      <w:spacing w:after="200"/>
    </w:pPr>
    <w:rPr>
      <w:sz w:val="21"/>
    </w:rPr>
  </w:style>
  <w:style w:type="paragraph" w:customStyle="1" w:styleId="98">
    <w:name w:val="前言、引言标题"/>
    <w:next w:val="1"/>
    <w:qFormat/>
    <w:uiPriority w:val="0"/>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
    <w:name w:val="三级条标题"/>
    <w:basedOn w:val="95"/>
    <w:next w:val="80"/>
    <w:link w:val="152"/>
    <w:qFormat/>
    <w:uiPriority w:val="0"/>
    <w:pPr>
      <w:numPr>
        <w:ilvl w:val="4"/>
      </w:numPr>
      <w:outlineLvl w:val="4"/>
    </w:pPr>
  </w:style>
  <w:style w:type="paragraph" w:customStyle="1" w:styleId="100">
    <w:name w:val="图表脚注"/>
    <w:next w:val="8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实施日期"/>
    <w:basedOn w:val="103"/>
    <w:qFormat/>
    <w:uiPriority w:val="0"/>
    <w:pPr>
      <w:jc w:val="right"/>
    </w:pPr>
  </w:style>
  <w:style w:type="paragraph" w:customStyle="1" w:styleId="103">
    <w:name w:val="发布日期"/>
    <w:qFormat/>
    <w:uiPriority w:val="0"/>
    <w:rPr>
      <w:rFonts w:ascii="Times New Roman" w:hAnsi="Times New Roman" w:eastAsia="黑体" w:cs="Times New Roman"/>
      <w:sz w:val="28"/>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一级无标题条"/>
    <w:basedOn w:val="1"/>
    <w:qFormat/>
    <w:uiPriority w:val="0"/>
    <w:pPr>
      <w:numPr>
        <w:ilvl w:val="2"/>
        <w:numId w:val="1"/>
      </w:numPr>
    </w:pPr>
  </w:style>
  <w:style w:type="paragraph" w:customStyle="1" w:styleId="106">
    <w:name w:val="封面标准号2"/>
    <w:basedOn w:val="107"/>
    <w:qFormat/>
    <w:uiPriority w:val="0"/>
    <w:pPr>
      <w:adjustRightInd w:val="0"/>
      <w:spacing w:before="357" w:line="280" w:lineRule="exact"/>
    </w:p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2">
    <w:name w:val="无标题条"/>
    <w:next w:val="80"/>
    <w:qFormat/>
    <w:uiPriority w:val="0"/>
    <w:pPr>
      <w:jc w:val="both"/>
    </w:pPr>
    <w:rPr>
      <w:rFonts w:ascii="Times New Roman" w:hAnsi="Times New Roman" w:eastAsia="宋体" w:cs="Times New Roman"/>
      <w:sz w:val="21"/>
      <w:lang w:val="en-US" w:eastAsia="zh-CN" w:bidi="ar-SA"/>
    </w:rPr>
  </w:style>
  <w:style w:type="paragraph" w:customStyle="1" w:styleId="113">
    <w:name w:val="发布部门"/>
    <w:next w:val="80"/>
    <w:qFormat/>
    <w:uiPriority w:val="0"/>
    <w:pPr>
      <w:jc w:val="center"/>
    </w:pPr>
    <w:rPr>
      <w:rFonts w:ascii="宋体" w:hAnsi="Times New Roman" w:eastAsia="宋体" w:cs="Times New Roman"/>
      <w:b/>
      <w:spacing w:val="20"/>
      <w:w w:val="135"/>
      <w:sz w:val="36"/>
      <w:lang w:val="en-US" w:eastAsia="zh-CN" w:bidi="ar-SA"/>
    </w:rPr>
  </w:style>
  <w:style w:type="paragraph" w:customStyle="1" w:styleId="114">
    <w:name w:val="三级无标题条"/>
    <w:basedOn w:val="1"/>
    <w:qFormat/>
    <w:uiPriority w:val="0"/>
    <w:pPr>
      <w:numPr>
        <w:ilvl w:val="4"/>
        <w:numId w:val="1"/>
      </w:numPr>
    </w:pPr>
  </w:style>
  <w:style w:type="paragraph" w:customStyle="1" w:styleId="115">
    <w:name w:val="列项——"/>
    <w:qFormat/>
    <w:uiPriority w:val="0"/>
    <w:pPr>
      <w:widowControl w:val="0"/>
      <w:numPr>
        <w:ilvl w:val="0"/>
        <w:numId w:val="10"/>
      </w:numPr>
      <w:tabs>
        <w:tab w:val="left" w:pos="854"/>
        <w:tab w:val="clear" w:pos="1571"/>
      </w:tabs>
      <w:ind w:left="840"/>
      <w:jc w:val="both"/>
    </w:pPr>
    <w:rPr>
      <w:rFonts w:ascii="宋体" w:hAnsi="Times New Roman" w:eastAsia="宋体" w:cs="Times New Roman"/>
      <w:sz w:val="21"/>
      <w:lang w:val="en-US" w:eastAsia="zh-CN" w:bidi="ar-SA"/>
    </w:rPr>
  </w:style>
  <w:style w:type="paragraph" w:customStyle="1" w:styleId="116">
    <w:name w:val="标准书眉_偶数页"/>
    <w:basedOn w:val="110"/>
    <w:next w:val="1"/>
    <w:qFormat/>
    <w:uiPriority w:val="0"/>
    <w:pPr>
      <w:jc w:val="left"/>
    </w:pPr>
  </w:style>
  <w:style w:type="paragraph" w:customStyle="1" w:styleId="11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0">
    <w:name w:val="附录五级条标题"/>
    <w:basedOn w:val="75"/>
    <w:next w:val="80"/>
    <w:qFormat/>
    <w:uiPriority w:val="0"/>
    <w:pPr>
      <w:numPr>
        <w:ilvl w:val="6"/>
      </w:numPr>
      <w:outlineLvl w:val="6"/>
    </w:pPr>
  </w:style>
  <w:style w:type="paragraph" w:customStyle="1" w:styleId="121">
    <w:name w:val="破折号列项"/>
    <w:qFormat/>
    <w:uiPriority w:val="0"/>
    <w:pPr>
      <w:numPr>
        <w:ilvl w:val="0"/>
        <w:numId w:val="11"/>
      </w:numPr>
    </w:pPr>
    <w:rPr>
      <w:rFonts w:ascii="Times New Roman" w:hAnsi="Times New Roman" w:eastAsia="宋体" w:cs="Times New Roman"/>
      <w:sz w:val="21"/>
      <w:lang w:val="en-US" w:eastAsia="zh-CN" w:bidi="ar-SA"/>
    </w:rPr>
  </w:style>
  <w:style w:type="paragraph" w:customStyle="1" w:styleId="122">
    <w:name w:val="附录图标题"/>
    <w:next w:val="80"/>
    <w:qFormat/>
    <w:uiPriority w:val="0"/>
    <w:pPr>
      <w:jc w:val="center"/>
    </w:pPr>
    <w:rPr>
      <w:rFonts w:ascii="黑体" w:hAnsi="Times New Roman" w:eastAsia="黑体" w:cs="Times New Roman"/>
      <w:sz w:val="21"/>
      <w:lang w:val="en-US" w:eastAsia="zh-CN" w:bidi="ar-SA"/>
    </w:rPr>
  </w:style>
  <w:style w:type="paragraph" w:customStyle="1" w:styleId="123">
    <w:name w:val="目次、标准名称标题"/>
    <w:basedOn w:val="98"/>
    <w:next w:val="80"/>
    <w:qFormat/>
    <w:uiPriority w:val="0"/>
    <w:pPr>
      <w:numPr>
        <w:numId w:val="0"/>
      </w:numPr>
      <w:spacing w:line="460" w:lineRule="exact"/>
    </w:pPr>
  </w:style>
  <w:style w:type="paragraph" w:customStyle="1" w:styleId="124">
    <w:name w:val="二级无标题条"/>
    <w:basedOn w:val="1"/>
    <w:qFormat/>
    <w:uiPriority w:val="0"/>
    <w:pPr>
      <w:numPr>
        <w:ilvl w:val="3"/>
        <w:numId w:val="1"/>
      </w:numPr>
    </w:pPr>
  </w:style>
  <w:style w:type="paragraph" w:customStyle="1" w:styleId="12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7">
    <w:name w:val="破折号列项（二级）"/>
    <w:basedOn w:val="121"/>
    <w:qFormat/>
    <w:uiPriority w:val="0"/>
    <w:pPr>
      <w:numPr>
        <w:numId w:val="12"/>
      </w:numPr>
      <w:ind w:left="1219" w:hanging="425"/>
    </w:pPr>
  </w:style>
  <w:style w:type="paragraph" w:customStyle="1" w:styleId="128">
    <w:name w:val="附录表标题"/>
    <w:next w:val="8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29">
    <w:name w:val="其他发布部门"/>
    <w:basedOn w:val="113"/>
    <w:qFormat/>
    <w:uiPriority w:val="0"/>
    <w:pPr>
      <w:spacing w:line="0" w:lineRule="atLeast"/>
    </w:pPr>
    <w:rPr>
      <w:rFonts w:ascii="黑体" w:eastAsia="黑体"/>
      <w:b w:val="0"/>
    </w:rPr>
  </w:style>
  <w:style w:type="paragraph" w:customStyle="1" w:styleId="130">
    <w:name w:val="标准书眉一"/>
    <w:qFormat/>
    <w:uiPriority w:val="0"/>
    <w:pPr>
      <w:jc w:val="both"/>
    </w:pPr>
    <w:rPr>
      <w:rFonts w:ascii="Times New Roman" w:hAnsi="Times New Roman" w:eastAsia="宋体" w:cs="Times New Roman"/>
      <w:lang w:val="en-US" w:eastAsia="zh-CN" w:bidi="ar-SA"/>
    </w:rPr>
  </w:style>
  <w:style w:type="paragraph" w:customStyle="1" w:styleId="131">
    <w:name w:val="五级无标题条"/>
    <w:basedOn w:val="1"/>
    <w:qFormat/>
    <w:uiPriority w:val="0"/>
    <w:pPr>
      <w:numPr>
        <w:ilvl w:val="6"/>
        <w:numId w:val="1"/>
      </w:numPr>
    </w:pPr>
  </w:style>
  <w:style w:type="paragraph" w:customStyle="1" w:styleId="1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3">
    <w:name w:val="四级条标题"/>
    <w:basedOn w:val="99"/>
    <w:next w:val="80"/>
    <w:qFormat/>
    <w:uiPriority w:val="0"/>
    <w:pPr>
      <w:numPr>
        <w:ilvl w:val="5"/>
      </w:numPr>
      <w:outlineLvl w:val="5"/>
    </w:pPr>
  </w:style>
  <w:style w:type="paragraph" w:customStyle="1" w:styleId="134">
    <w:name w:val="列出段落1"/>
    <w:basedOn w:val="1"/>
    <w:qFormat/>
    <w:uiPriority w:val="34"/>
    <w:pPr>
      <w:ind w:firstLine="420" w:firstLineChars="200"/>
    </w:pPr>
  </w:style>
  <w:style w:type="paragraph" w:customStyle="1" w:styleId="13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36">
    <w:name w:val="五级条标题"/>
    <w:basedOn w:val="133"/>
    <w:next w:val="80"/>
    <w:qFormat/>
    <w:uiPriority w:val="0"/>
    <w:pPr>
      <w:numPr>
        <w:ilvl w:val="6"/>
      </w:numPr>
      <w:outlineLvl w:val="6"/>
    </w:pPr>
  </w:style>
  <w:style w:type="paragraph" w:customStyle="1" w:styleId="13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38">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39">
    <w:name w:val="封面标准代替信息"/>
    <w:basedOn w:val="106"/>
    <w:qFormat/>
    <w:uiPriority w:val="0"/>
    <w:pPr>
      <w:spacing w:before="57"/>
    </w:pPr>
    <w:rPr>
      <w:rFonts w:ascii="宋体"/>
      <w:sz w:val="21"/>
    </w:rPr>
  </w:style>
  <w:style w:type="paragraph" w:customStyle="1" w:styleId="140">
    <w:name w:val="附录标识"/>
    <w:basedOn w:val="98"/>
    <w:link w:val="141"/>
    <w:qFormat/>
    <w:uiPriority w:val="0"/>
    <w:pPr>
      <w:numPr>
        <w:ilvl w:val="0"/>
        <w:numId w:val="2"/>
      </w:numPr>
      <w:tabs>
        <w:tab w:val="left" w:pos="6405"/>
      </w:tabs>
      <w:spacing w:after="200"/>
    </w:pPr>
    <w:rPr>
      <w:rFonts w:ascii="Times New Roman" w:eastAsia="宋体"/>
      <w:sz w:val="21"/>
    </w:rPr>
  </w:style>
  <w:style w:type="character" w:customStyle="1" w:styleId="141">
    <w:name w:val="附录标识 Char"/>
    <w:link w:val="140"/>
    <w:qFormat/>
    <w:uiPriority w:val="0"/>
    <w:rPr>
      <w:sz w:val="21"/>
      <w:shd w:val="clear" w:color="FFFFFF" w:fill="FFFFFF"/>
    </w:rPr>
  </w:style>
  <w:style w:type="character" w:customStyle="1" w:styleId="142">
    <w:name w:val="一级条标题 Char"/>
    <w:link w:val="87"/>
    <w:qFormat/>
    <w:uiPriority w:val="0"/>
    <w:rPr>
      <w:rFonts w:ascii="黑体" w:eastAsia="黑体"/>
      <w:sz w:val="21"/>
    </w:rPr>
  </w:style>
  <w:style w:type="character" w:customStyle="1" w:styleId="143">
    <w:name w:val="正文文本首行缩进 字符"/>
    <w:link w:val="39"/>
    <w:qFormat/>
    <w:uiPriority w:val="0"/>
    <w:rPr>
      <w:kern w:val="2"/>
      <w:sz w:val="21"/>
    </w:rPr>
  </w:style>
  <w:style w:type="character" w:customStyle="1" w:styleId="144">
    <w:name w:val="个人答复风格"/>
    <w:qFormat/>
    <w:uiPriority w:val="0"/>
    <w:rPr>
      <w:rFonts w:ascii="Arial" w:hAnsi="Arial" w:eastAsia="宋体" w:cs="Arial"/>
      <w:color w:val="auto"/>
      <w:sz w:val="20"/>
    </w:rPr>
  </w:style>
  <w:style w:type="character" w:customStyle="1" w:styleId="145">
    <w:name w:val="个人撰写风格"/>
    <w:qFormat/>
    <w:uiPriority w:val="0"/>
    <w:rPr>
      <w:rFonts w:ascii="Arial" w:hAnsi="Arial" w:eastAsia="宋体" w:cs="Arial"/>
      <w:color w:val="auto"/>
      <w:sz w:val="20"/>
    </w:rPr>
  </w:style>
  <w:style w:type="character" w:customStyle="1" w:styleId="146">
    <w:name w:val="段 Char"/>
    <w:link w:val="80"/>
    <w:qFormat/>
    <w:uiPriority w:val="0"/>
    <w:rPr>
      <w:rFonts w:ascii="宋体"/>
      <w:sz w:val="21"/>
      <w:lang w:val="en-US" w:eastAsia="zh-CN" w:bidi="ar-SA"/>
    </w:rPr>
  </w:style>
  <w:style w:type="character" w:customStyle="1" w:styleId="147">
    <w:name w:val="页眉 字符"/>
    <w:link w:val="31"/>
    <w:qFormat/>
    <w:uiPriority w:val="99"/>
    <w:rPr>
      <w:kern w:val="2"/>
      <w:sz w:val="18"/>
      <w:szCs w:val="18"/>
    </w:rPr>
  </w:style>
  <w:style w:type="character" w:customStyle="1" w:styleId="148">
    <w:name w:val="发布"/>
    <w:qFormat/>
    <w:uiPriority w:val="0"/>
    <w:rPr>
      <w:rFonts w:ascii="黑体" w:eastAsia="黑体"/>
      <w:spacing w:val="22"/>
      <w:w w:val="100"/>
      <w:position w:val="3"/>
      <w:sz w:val="28"/>
    </w:rPr>
  </w:style>
  <w:style w:type="character" w:customStyle="1" w:styleId="149">
    <w:name w:val="注： Char"/>
    <w:link w:val="86"/>
    <w:qFormat/>
    <w:uiPriority w:val="0"/>
    <w:rPr>
      <w:rFonts w:ascii="宋体"/>
      <w:sz w:val="18"/>
    </w:rPr>
  </w:style>
  <w:style w:type="character" w:customStyle="1" w:styleId="150">
    <w:name w:val="段 Char Char"/>
    <w:qFormat/>
    <w:uiPriority w:val="0"/>
    <w:rPr>
      <w:rFonts w:ascii="宋体"/>
      <w:sz w:val="21"/>
      <w:lang w:val="en-US" w:eastAsia="zh-CN" w:bidi="ar-SA"/>
    </w:rPr>
  </w:style>
  <w:style w:type="character" w:customStyle="1" w:styleId="151">
    <w:name w:val="批注框文本 字符"/>
    <w:link w:val="29"/>
    <w:qFormat/>
    <w:uiPriority w:val="99"/>
    <w:rPr>
      <w:kern w:val="2"/>
      <w:sz w:val="18"/>
      <w:szCs w:val="18"/>
    </w:rPr>
  </w:style>
  <w:style w:type="character" w:customStyle="1" w:styleId="152">
    <w:name w:val="三级条标题 Char"/>
    <w:link w:val="99"/>
    <w:qFormat/>
    <w:uiPriority w:val="0"/>
    <w:rPr>
      <w:rFonts w:ascii="黑体" w:eastAsia="黑体"/>
      <w:sz w:val="21"/>
    </w:rPr>
  </w:style>
  <w:style w:type="character" w:customStyle="1" w:styleId="153">
    <w:name w:val="二级条标题 Char"/>
    <w:link w:val="95"/>
    <w:qFormat/>
    <w:uiPriority w:val="0"/>
    <w:rPr>
      <w:rFonts w:ascii="黑体" w:eastAsia="黑体"/>
      <w:sz w:val="21"/>
    </w:rPr>
  </w:style>
  <w:style w:type="paragraph" w:customStyle="1" w:styleId="154">
    <w:name w:val="Char1"/>
    <w:basedOn w:val="1"/>
    <w:qFormat/>
    <w:uiPriority w:val="0"/>
    <w:pPr>
      <w:widowControl/>
      <w:spacing w:after="160" w:line="240" w:lineRule="exact"/>
      <w:jc w:val="left"/>
    </w:pPr>
  </w:style>
  <w:style w:type="paragraph" w:customStyle="1" w:styleId="155">
    <w:name w:val="样式1"/>
    <w:basedOn w:val="113"/>
    <w:qFormat/>
    <w:uiPriority w:val="0"/>
    <w:rPr>
      <w:rFonts w:hAnsi="宋体"/>
    </w:rPr>
  </w:style>
  <w:style w:type="paragraph" w:customStyle="1" w:styleId="156">
    <w:name w:val="Table Paragraph"/>
    <w:basedOn w:val="1"/>
    <w:qFormat/>
    <w:uiPriority w:val="1"/>
    <w:pPr>
      <w:jc w:val="center"/>
    </w:pPr>
    <w:rPr>
      <w:rFonts w:ascii="宋体" w:hAnsi="宋体" w:cs="宋体"/>
    </w:rPr>
  </w:style>
  <w:style w:type="character" w:customStyle="1" w:styleId="157">
    <w:name w:val="标题 1 字符"/>
    <w:link w:val="3"/>
    <w:qFormat/>
    <w:uiPriority w:val="9"/>
    <w:rPr>
      <w:b/>
      <w:bCs/>
      <w:kern w:val="44"/>
      <w:sz w:val="44"/>
      <w:szCs w:val="44"/>
    </w:rPr>
  </w:style>
  <w:style w:type="character" w:customStyle="1" w:styleId="158">
    <w:name w:val="标题 2 字符"/>
    <w:link w:val="4"/>
    <w:qFormat/>
    <w:uiPriority w:val="9"/>
    <w:rPr>
      <w:rFonts w:ascii="Arial" w:hAnsi="Arial" w:eastAsia="黑体"/>
      <w:b/>
      <w:bCs/>
      <w:kern w:val="2"/>
      <w:sz w:val="32"/>
      <w:szCs w:val="32"/>
    </w:rPr>
  </w:style>
  <w:style w:type="character" w:customStyle="1" w:styleId="159">
    <w:name w:val="标题 3 字符"/>
    <w:link w:val="5"/>
    <w:qFormat/>
    <w:uiPriority w:val="9"/>
    <w:rPr>
      <w:b/>
      <w:bCs/>
      <w:kern w:val="2"/>
      <w:sz w:val="32"/>
      <w:szCs w:val="32"/>
    </w:rPr>
  </w:style>
  <w:style w:type="character" w:customStyle="1" w:styleId="160">
    <w:name w:val="标题 4 字符"/>
    <w:link w:val="6"/>
    <w:qFormat/>
    <w:uiPriority w:val="9"/>
    <w:rPr>
      <w:rFonts w:ascii="Arial" w:hAnsi="Arial" w:eastAsia="黑体"/>
      <w:b/>
      <w:bCs/>
      <w:kern w:val="2"/>
      <w:sz w:val="28"/>
      <w:szCs w:val="28"/>
    </w:rPr>
  </w:style>
  <w:style w:type="character" w:customStyle="1" w:styleId="161">
    <w:name w:val="标题 5 字符"/>
    <w:link w:val="7"/>
    <w:qFormat/>
    <w:uiPriority w:val="9"/>
    <w:rPr>
      <w:b/>
      <w:bCs/>
      <w:kern w:val="2"/>
      <w:sz w:val="28"/>
      <w:szCs w:val="28"/>
    </w:rPr>
  </w:style>
  <w:style w:type="character" w:customStyle="1" w:styleId="162">
    <w:name w:val="三级条标题 Char Char"/>
    <w:basedOn w:val="153"/>
    <w:qFormat/>
    <w:uiPriority w:val="0"/>
    <w:rPr>
      <w:rFonts w:ascii="黑体" w:eastAsia="黑体"/>
      <w:kern w:val="2"/>
      <w:sz w:val="21"/>
      <w:szCs w:val="24"/>
      <w:lang w:val="en-US" w:eastAsia="zh-CN" w:bidi="ar-SA"/>
    </w:rPr>
  </w:style>
  <w:style w:type="character" w:customStyle="1" w:styleId="163">
    <w:name w:val="章标题 Char"/>
    <w:qFormat/>
    <w:uiPriority w:val="0"/>
    <w:rPr>
      <w:rFonts w:ascii="黑体" w:eastAsia="黑体"/>
      <w:kern w:val="2"/>
      <w:sz w:val="21"/>
      <w:szCs w:val="24"/>
      <w:lang w:val="en-US" w:eastAsia="zh-CN" w:bidi="ar-SA"/>
    </w:rPr>
  </w:style>
  <w:style w:type="character" w:customStyle="1" w:styleId="164">
    <w:name w:val="页脚 字符"/>
    <w:link w:val="30"/>
    <w:qFormat/>
    <w:uiPriority w:val="99"/>
    <w:rPr>
      <w:kern w:val="2"/>
      <w:sz w:val="18"/>
      <w:szCs w:val="18"/>
    </w:rPr>
  </w:style>
  <w:style w:type="character" w:customStyle="1" w:styleId="165">
    <w:name w:val="short_text1"/>
    <w:qFormat/>
    <w:uiPriority w:val="0"/>
    <w:rPr>
      <w:sz w:val="26"/>
      <w:szCs w:val="26"/>
    </w:rPr>
  </w:style>
  <w:style w:type="character" w:customStyle="1" w:styleId="166">
    <w:name w:val="正文文本缩进 2 字符"/>
    <w:basedOn w:val="61"/>
    <w:link w:val="27"/>
    <w:qFormat/>
    <w:uiPriority w:val="0"/>
    <w:rPr>
      <w:kern w:val="2"/>
      <w:sz w:val="21"/>
      <w:szCs w:val="24"/>
    </w:rPr>
  </w:style>
  <w:style w:type="paragraph" w:customStyle="1" w:styleId="16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6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69">
    <w:name w:val="11一级条标题"/>
    <w:basedOn w:val="1"/>
    <w:next w:val="1"/>
    <w:qFormat/>
    <w:uiPriority w:val="0"/>
    <w:pPr>
      <w:widowControl/>
      <w:outlineLvl w:val="2"/>
    </w:pPr>
    <w:rPr>
      <w:rFonts w:ascii="黑体" w:eastAsia="黑体"/>
      <w:kern w:val="0"/>
      <w:szCs w:val="20"/>
    </w:rPr>
  </w:style>
  <w:style w:type="paragraph" w:customStyle="1" w:styleId="170">
    <w:name w:val="1"/>
    <w:basedOn w:val="1"/>
    <w:next w:val="1"/>
    <w:qFormat/>
    <w:uiPriority w:val="0"/>
  </w:style>
  <w:style w:type="paragraph" w:customStyle="1" w:styleId="171">
    <w:name w:val="批注框文本1"/>
    <w:basedOn w:val="1"/>
    <w:semiHidden/>
    <w:qFormat/>
    <w:uiPriority w:val="0"/>
    <w:rPr>
      <w:sz w:val="18"/>
      <w:szCs w:val="18"/>
    </w:rPr>
  </w:style>
  <w:style w:type="paragraph" w:customStyle="1" w:styleId="172">
    <w:name w:val="Char3"/>
    <w:basedOn w:val="1"/>
    <w:qFormat/>
    <w:uiPriority w:val="0"/>
    <w:pPr>
      <w:widowControl/>
      <w:spacing w:after="160" w:line="240" w:lineRule="exact"/>
      <w:ind w:left="567" w:hanging="567"/>
      <w:jc w:val="left"/>
    </w:pPr>
    <w:rPr>
      <w:rFonts w:ascii="Verdana" w:hAnsi="Verdana"/>
      <w:kern w:val="0"/>
      <w:sz w:val="20"/>
      <w:szCs w:val="20"/>
      <w:lang w:eastAsia="en-US"/>
    </w:rPr>
  </w:style>
  <w:style w:type="paragraph" w:customStyle="1" w:styleId="173">
    <w:name w:val="辅标题1"/>
    <w:basedOn w:val="38"/>
    <w:next w:val="39"/>
    <w:link w:val="174"/>
    <w:qFormat/>
    <w:uiPriority w:val="0"/>
    <w:pPr>
      <w:tabs>
        <w:tab w:val="left" w:pos="312"/>
      </w:tabs>
      <w:adjustRightInd w:val="0"/>
      <w:spacing w:beforeLines="70" w:afterLines="70" w:line="320" w:lineRule="atLeast"/>
      <w:ind w:left="425" w:hanging="425"/>
      <w:jc w:val="left"/>
      <w:textAlignment w:val="baseline"/>
    </w:pPr>
    <w:rPr>
      <w:rFonts w:ascii="黑体" w:eastAsia="黑体" w:cs="Times New Roman"/>
      <w:b w:val="0"/>
      <w:kern w:val="0"/>
      <w:sz w:val="21"/>
    </w:rPr>
  </w:style>
  <w:style w:type="character" w:customStyle="1" w:styleId="174">
    <w:name w:val="辅标题1 Char"/>
    <w:link w:val="173"/>
    <w:qFormat/>
    <w:uiPriority w:val="0"/>
    <w:rPr>
      <w:rFonts w:ascii="黑体" w:hAnsi="Arial" w:eastAsia="黑体"/>
      <w:bCs/>
      <w:sz w:val="21"/>
      <w:szCs w:val="32"/>
    </w:rPr>
  </w:style>
  <w:style w:type="paragraph" w:customStyle="1" w:styleId="175">
    <w:name w:val="辅标题2"/>
    <w:basedOn w:val="173"/>
    <w:next w:val="39"/>
    <w:qFormat/>
    <w:uiPriority w:val="0"/>
    <w:pPr>
      <w:tabs>
        <w:tab w:val="left" w:pos="480"/>
        <w:tab w:val="clear" w:pos="312"/>
      </w:tabs>
      <w:spacing w:beforeLines="0" w:afterLines="0"/>
      <w:ind w:left="5671"/>
    </w:pPr>
    <w:rPr>
      <w:rFonts w:ascii="宋体" w:eastAsia="宋体"/>
    </w:rPr>
  </w:style>
  <w:style w:type="paragraph" w:customStyle="1" w:styleId="176">
    <w:name w:val="辅标题3"/>
    <w:basedOn w:val="173"/>
    <w:next w:val="39"/>
    <w:qFormat/>
    <w:uiPriority w:val="0"/>
    <w:pPr>
      <w:tabs>
        <w:tab w:val="left" w:pos="672"/>
        <w:tab w:val="clear" w:pos="312"/>
      </w:tabs>
      <w:spacing w:beforeLines="0" w:afterLines="0"/>
      <w:ind w:left="142"/>
    </w:pPr>
    <w:rPr>
      <w:rFonts w:ascii="宋体" w:eastAsia="宋体"/>
    </w:rPr>
  </w:style>
  <w:style w:type="paragraph" w:customStyle="1" w:styleId="177">
    <w:name w:val="辅标题4"/>
    <w:basedOn w:val="173"/>
    <w:next w:val="39"/>
    <w:qFormat/>
    <w:uiPriority w:val="0"/>
    <w:pPr>
      <w:tabs>
        <w:tab w:val="left" w:pos="360"/>
        <w:tab w:val="left" w:pos="864"/>
        <w:tab w:val="clear" w:pos="312"/>
      </w:tabs>
      <w:spacing w:beforeLines="0" w:afterLines="0"/>
      <w:ind w:left="993"/>
    </w:pPr>
    <w:rPr>
      <w:rFonts w:ascii="宋体" w:eastAsia="宋体"/>
    </w:rPr>
  </w:style>
  <w:style w:type="paragraph" w:customStyle="1" w:styleId="178">
    <w:name w:val="辅标题5"/>
    <w:basedOn w:val="173"/>
    <w:next w:val="39"/>
    <w:qFormat/>
    <w:uiPriority w:val="0"/>
    <w:pPr>
      <w:tabs>
        <w:tab w:val="left" w:pos="360"/>
        <w:tab w:val="clear" w:pos="312"/>
      </w:tabs>
      <w:spacing w:beforeLines="0" w:afterLines="0"/>
      <w:ind w:left="735"/>
    </w:pPr>
    <w:rPr>
      <w:rFonts w:ascii="宋体" w:eastAsia="宋体"/>
    </w:rPr>
  </w:style>
  <w:style w:type="character" w:customStyle="1" w:styleId="179">
    <w:name w:val="纯文本 字符"/>
    <w:basedOn w:val="61"/>
    <w:link w:val="24"/>
    <w:qFormat/>
    <w:uiPriority w:val="0"/>
    <w:rPr>
      <w:rFonts w:ascii="宋体" w:hAnsi="Courier New" w:eastAsia="微软雅黑"/>
      <w:color w:val="000000"/>
      <w:kern w:val="2"/>
      <w:szCs w:val="22"/>
    </w:rPr>
  </w:style>
  <w:style w:type="character" w:customStyle="1" w:styleId="180">
    <w:name w:val="书籍标题1"/>
    <w:basedOn w:val="61"/>
    <w:qFormat/>
    <w:uiPriority w:val="33"/>
    <w:rPr>
      <w:b/>
      <w:bCs/>
      <w:smallCaps/>
      <w:spacing w:val="5"/>
    </w:rPr>
  </w:style>
  <w:style w:type="paragraph" w:customStyle="1" w:styleId="181">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82">
    <w:name w:val="浅色底纹1"/>
    <w:basedOn w:val="40"/>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83">
    <w:name w:val="浅色底纹 - 强调文字颜色 11"/>
    <w:basedOn w:val="40"/>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84">
    <w:name w:val="中等深浅底纹 21"/>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185">
    <w:name w:val="中等深浅底纹 2 - 强调文字颜色 11"/>
    <w:basedOn w:val="40"/>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186">
    <w:name w:val="浅色列表1"/>
    <w:basedOn w:val="40"/>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87">
    <w:name w:val="浅色网格1"/>
    <w:basedOn w:val="40"/>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188">
    <w:name w:val="浅色网格 - 强调文字颜色 11"/>
    <w:basedOn w:val="40"/>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89">
    <w:name w:val="中等深浅底纹 11"/>
    <w:basedOn w:val="40"/>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190">
    <w:name w:val="中等深浅底纹 1 - 强调文字颜色 11"/>
    <w:basedOn w:val="40"/>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191">
    <w:name w:val="中等深浅列表 11"/>
    <w:basedOn w:val="40"/>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192">
    <w:name w:val="中等深浅网格 31"/>
    <w:basedOn w:val="40"/>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93">
    <w:name w:val="彩色底纹1"/>
    <w:basedOn w:val="40"/>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94">
    <w:name w:val="彩色列表1"/>
    <w:basedOn w:val="40"/>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character" w:customStyle="1" w:styleId="195">
    <w:name w:val="fontstyle01"/>
    <w:basedOn w:val="61"/>
    <w:qFormat/>
    <w:uiPriority w:val="0"/>
    <w:rPr>
      <w:rFonts w:hint="eastAsia" w:ascii="黑体" w:hAnsi="黑体" w:eastAsia="黑体"/>
      <w:color w:val="000000"/>
      <w:sz w:val="22"/>
      <w:szCs w:val="22"/>
    </w:rPr>
  </w:style>
  <w:style w:type="character" w:customStyle="1" w:styleId="196">
    <w:name w:val="fontstyle21"/>
    <w:basedOn w:val="61"/>
    <w:qFormat/>
    <w:uiPriority w:val="0"/>
    <w:rPr>
      <w:rFonts w:hint="eastAsia" w:ascii="宋体" w:hAnsi="宋体" w:eastAsia="宋体"/>
      <w:color w:val="000000"/>
      <w:sz w:val="22"/>
      <w:szCs w:val="22"/>
    </w:rPr>
  </w:style>
  <w:style w:type="character" w:customStyle="1" w:styleId="197">
    <w:name w:val="fontstyle31"/>
    <w:basedOn w:val="61"/>
    <w:qFormat/>
    <w:uiPriority w:val="0"/>
    <w:rPr>
      <w:rFonts w:hint="default" w:ascii="TimesNewRomanPSMT" w:hAnsi="TimesNewRomanPSMT"/>
      <w:color w:val="000000"/>
      <w:sz w:val="22"/>
      <w:szCs w:val="22"/>
    </w:rPr>
  </w:style>
  <w:style w:type="character" w:customStyle="1" w:styleId="198">
    <w:name w:val="fontstyle11"/>
    <w:basedOn w:val="61"/>
    <w:qFormat/>
    <w:uiPriority w:val="0"/>
    <w:rPr>
      <w:rFonts w:hint="eastAsia" w:ascii="宋体" w:hAnsi="宋体" w:eastAsia="宋体"/>
      <w:color w:val="000000"/>
      <w:sz w:val="22"/>
      <w:szCs w:val="22"/>
    </w:rPr>
  </w:style>
  <w:style w:type="paragraph" w:customStyle="1" w:styleId="19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0">
    <w:name w:val="font01"/>
    <w:basedOn w:val="61"/>
    <w:qFormat/>
    <w:uiPriority w:val="0"/>
    <w:rPr>
      <w:rFonts w:hint="eastAsia" w:ascii="楷体" w:hAnsi="楷体" w:eastAsia="楷体" w:cs="楷体"/>
      <w:color w:val="000000"/>
      <w:sz w:val="24"/>
      <w:szCs w:val="24"/>
      <w:u w:val="none"/>
    </w:rPr>
  </w:style>
  <w:style w:type="character" w:customStyle="1" w:styleId="201">
    <w:name w:val="font11"/>
    <w:basedOn w:val="61"/>
    <w:qFormat/>
    <w:uiPriority w:val="0"/>
    <w:rPr>
      <w:rFonts w:hint="default" w:ascii="Cambria" w:hAnsi="Cambria" w:eastAsia="Cambria" w:cs="Cambria"/>
      <w:color w:val="000000"/>
      <w:sz w:val="24"/>
      <w:szCs w:val="24"/>
      <w:u w:val="none"/>
    </w:rPr>
  </w:style>
  <w:style w:type="character" w:customStyle="1" w:styleId="202">
    <w:name w:val="font91"/>
    <w:basedOn w:val="61"/>
    <w:qFormat/>
    <w:uiPriority w:val="0"/>
    <w:rPr>
      <w:rFonts w:hint="default" w:ascii="Cambria" w:hAnsi="Cambria" w:eastAsia="Cambria" w:cs="Cambria"/>
      <w:color w:val="000000"/>
      <w:sz w:val="24"/>
      <w:szCs w:val="24"/>
      <w:u w:val="none"/>
      <w:vertAlign w:val="subscript"/>
    </w:rPr>
  </w:style>
  <w:style w:type="character" w:customStyle="1" w:styleId="203">
    <w:name w:val="font81"/>
    <w:basedOn w:val="61"/>
    <w:qFormat/>
    <w:uiPriority w:val="0"/>
    <w:rPr>
      <w:rFonts w:hint="default" w:ascii="Cambria" w:hAnsi="Cambria" w:eastAsia="Cambria" w:cs="Cambria"/>
      <w:color w:val="000000"/>
      <w:sz w:val="24"/>
      <w:szCs w:val="24"/>
      <w:u w:val="none"/>
    </w:rPr>
  </w:style>
  <w:style w:type="character" w:customStyle="1" w:styleId="204">
    <w:name w:val="font101"/>
    <w:basedOn w:val="61"/>
    <w:qFormat/>
    <w:uiPriority w:val="0"/>
    <w:rPr>
      <w:rFonts w:hint="default" w:ascii="Cambria" w:hAnsi="Cambria" w:eastAsia="Cambria" w:cs="Cambria"/>
      <w:color w:val="000000"/>
      <w:sz w:val="24"/>
      <w:szCs w:val="24"/>
      <w:u w:val="none"/>
      <w:vertAlign w:val="subscript"/>
    </w:rPr>
  </w:style>
  <w:style w:type="character" w:customStyle="1" w:styleId="205">
    <w:name w:val="font111"/>
    <w:basedOn w:val="61"/>
    <w:qFormat/>
    <w:uiPriority w:val="0"/>
    <w:rPr>
      <w:rFonts w:hint="eastAsia" w:ascii="宋体" w:hAnsi="宋体" w:eastAsia="宋体" w:cs="宋体"/>
      <w:color w:val="000000"/>
      <w:sz w:val="20"/>
      <w:szCs w:val="20"/>
      <w:u w:val="none"/>
      <w:vertAlign w:val="subscript"/>
    </w:rPr>
  </w:style>
  <w:style w:type="character" w:customStyle="1" w:styleId="206">
    <w:name w:val="font131"/>
    <w:basedOn w:val="61"/>
    <w:qFormat/>
    <w:uiPriority w:val="0"/>
    <w:rPr>
      <w:rFonts w:hint="eastAsia" w:ascii="宋体" w:hAnsi="宋体" w:eastAsia="宋体" w:cs="宋体"/>
      <w:color w:val="000000"/>
      <w:sz w:val="18"/>
      <w:szCs w:val="18"/>
      <w:u w:val="none"/>
      <w:vertAlign w:val="subscript"/>
    </w:rPr>
  </w:style>
  <w:style w:type="character" w:customStyle="1" w:styleId="207">
    <w:name w:val="font31"/>
    <w:basedOn w:val="61"/>
    <w:qFormat/>
    <w:uiPriority w:val="0"/>
    <w:rPr>
      <w:rFonts w:hint="eastAsia" w:ascii="宋体" w:hAnsi="宋体" w:eastAsia="宋体" w:cs="宋体"/>
      <w:color w:val="000000"/>
      <w:sz w:val="18"/>
      <w:szCs w:val="18"/>
      <w:u w:val="none"/>
      <w:vertAlign w:val="subscript"/>
    </w:rPr>
  </w:style>
  <w:style w:type="character" w:customStyle="1" w:styleId="208">
    <w:name w:val="font121"/>
    <w:basedOn w:val="61"/>
    <w:qFormat/>
    <w:uiPriority w:val="0"/>
    <w:rPr>
      <w:rFonts w:hint="eastAsia" w:ascii="宋体" w:hAnsi="宋体" w:eastAsia="宋体" w:cs="宋体"/>
      <w:color w:val="000000"/>
      <w:sz w:val="18"/>
      <w:szCs w:val="18"/>
      <w:u w:val="none"/>
    </w:rPr>
  </w:style>
  <w:style w:type="character" w:customStyle="1" w:styleId="209">
    <w:name w:val="_Style 5"/>
    <w:qFormat/>
    <w:uiPriority w:val="33"/>
    <w:rPr>
      <w:b/>
      <w:bCs/>
      <w:smallCaps/>
      <w:spacing w:val="5"/>
    </w:rPr>
  </w:style>
  <w:style w:type="paragraph" w:customStyle="1" w:styleId="210">
    <w:name w:val="WPSOffice手动目录 1"/>
    <w:qFormat/>
    <w:uiPriority w:val="0"/>
    <w:rPr>
      <w:rFonts w:ascii="Times New Roman" w:hAnsi="Times New Roman" w:eastAsia="宋体" w:cs="Times New Roman"/>
      <w:lang w:val="en-US" w:eastAsia="zh-CN" w:bidi="ar-SA"/>
    </w:rPr>
  </w:style>
  <w:style w:type="paragraph" w:customStyle="1" w:styleId="2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UyOTM0Mzk5MDE1IiwKCSJHcm91cElkIiA6ICI0NDIzNzQ4MjkiLAoJIkltYWdlIiA6ICJpVkJPUncwS0dnb0FBQUFOU1VoRVVnQUFBcnNBQUFJQkNBWUFBQUJKTW5lUkFBQUFBWE5TUjBJQXJzNGM2UUFBSUFCSlJFRlVlSnpzM1hsOFUxWGVQL0RQT1RkSlcxcXdSVUJFS0FVS0xWdVRteW9PT3NxZ2JEckt1Q0M0enFqenVNMDQ2b3l6NktQajZET09NNzluZFBSeFhHREdXVnhHUlVWVUJCVUVCRGNRbTZRcGxKWkZVNmpzMmdLbHRNbTk1L3Y3bzJsTTA3UUpOQ1JwK2I1ZkwxL1NjODg5OTV1a3ZmZWJlODhDTU1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RFSDdQMFZ2RWU5T3gzTnV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20</Pages>
  <Words>1599</Words>
  <Characters>9117</Characters>
  <Lines>75</Lines>
  <Paragraphs>21</Paragraphs>
  <TotalTime>2</TotalTime>
  <ScaleCrop>false</ScaleCrop>
  <LinksUpToDate>false</LinksUpToDate>
  <CharactersWithSpaces>10695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2023-11-15T14:00:00Z</dcterms:created>
  <dc:creator>标准科</dc:creator>
  <cp:lastModifiedBy>李志刚</cp:lastModifiedBy>
  <cp:lastPrinted>2021-08-11T07:52:00Z</cp:lastPrinted>
  <dcterms:modified xsi:type="dcterms:W3CDTF">2024-12-10T08:52:31Z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33F735F656BB47019651263BACE3A342_13</vt:lpwstr>
  </property>
</Properties>
</file>