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FD90F">
      <w:pPr>
        <w:pStyle w:val="52"/>
        <w:rPr>
          <w:rFonts w:ascii="黑体"/>
          <w:color w:val="FF0000"/>
          <w:sz w:val="21"/>
        </w:rPr>
      </w:pPr>
      <w:bookmarkStart w:id="0" w:name="SectionMark0"/>
      <w:r>
        <w:rPr>
          <w:rFonts w:hint="eastAsia" w:ascii="黑体"/>
          <w:color w:val="000000" w:themeColor="text1"/>
          <w:sz w:val="21"/>
          <w14:textFill>
            <w14:solidFill>
              <w14:schemeClr w14:val="tx1"/>
            </w14:solidFill>
          </w14:textFill>
        </w:rPr>
        <w:t>ICS</w:t>
      </w:r>
      <w:r>
        <w:rPr>
          <w:rFonts w:ascii="黑体"/>
          <w:color w:val="000000" w:themeColor="text1"/>
          <w:sz w:val="21"/>
          <w14:textFill>
            <w14:solidFill>
              <w14:schemeClr w14:val="tx1"/>
            </w14:solidFill>
          </w14:textFill>
        </w:rP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8816340</wp:posOffset>
                </wp:positionV>
                <wp:extent cx="6120130" cy="529590"/>
                <wp:effectExtent l="0" t="1270" r="0" b="2540"/>
                <wp:wrapNone/>
                <wp:docPr id="15"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529590"/>
                        </a:xfrm>
                        <a:prstGeom prst="rect">
                          <a:avLst/>
                        </a:prstGeom>
                        <a:solidFill>
                          <a:srgbClr val="FFFFFF"/>
                        </a:solidFill>
                        <a:ln>
                          <a:noFill/>
                        </a:ln>
                      </wps:spPr>
                      <wps:txbx>
                        <w:txbxContent>
                          <w:p w14:paraId="5941204E">
                            <w:pPr>
                              <w:pStyle w:val="54"/>
                              <w:ind w:firstLine="2360" w:firstLineChars="500"/>
                              <w:jc w:val="left"/>
                              <w:rPr>
                                <w:sz w:val="32"/>
                                <w:szCs w:val="32"/>
                              </w:rPr>
                            </w:pPr>
                            <w:r>
                              <w:rPr>
                                <w:rFonts w:hint="eastAsia"/>
                                <w:sz w:val="32"/>
                                <w:szCs w:val="32"/>
                              </w:rPr>
                              <w:t>中国有色金属工业协会</w:t>
                            </w:r>
                          </w:p>
                          <w:p w14:paraId="32813A96">
                            <w:pPr>
                              <w:pStyle w:val="54"/>
                              <w:ind w:firstLine="2360" w:firstLineChars="400"/>
                              <w:jc w:val="left"/>
                              <w:rPr>
                                <w:spacing w:val="79"/>
                                <w:sz w:val="32"/>
                                <w:szCs w:val="32"/>
                              </w:rPr>
                            </w:pPr>
                            <w:r>
                              <w:rPr>
                                <w:rFonts w:hint="eastAsia"/>
                                <w:spacing w:val="79"/>
                                <w:sz w:val="32"/>
                                <w:szCs w:val="32"/>
                              </w:rPr>
                              <w:t>中</w:t>
                            </w:r>
                            <w:r>
                              <w:rPr>
                                <w:rFonts w:hint="eastAsia"/>
                                <w:spacing w:val="85"/>
                                <w:sz w:val="32"/>
                                <w:szCs w:val="32"/>
                              </w:rPr>
                              <w:t>国</w:t>
                            </w:r>
                            <w:r>
                              <w:rPr>
                                <w:rFonts w:hint="eastAsia"/>
                                <w:spacing w:val="91"/>
                                <w:sz w:val="32"/>
                                <w:szCs w:val="32"/>
                              </w:rPr>
                              <w:t>有色金属</w:t>
                            </w:r>
                            <w:r>
                              <w:rPr>
                                <w:rFonts w:hint="eastAsia"/>
                                <w:spacing w:val="85"/>
                                <w:sz w:val="32"/>
                                <w:szCs w:val="32"/>
                              </w:rPr>
                              <w:t>学</w:t>
                            </w:r>
                            <w:r>
                              <w:rPr>
                                <w:rFonts w:hint="eastAsia"/>
                                <w:spacing w:val="79"/>
                                <w:sz w:val="32"/>
                                <w:szCs w:val="32"/>
                              </w:rPr>
                              <w:t>会</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0pt;margin-top:694.2pt;height:41.7pt;width:481.9pt;mso-position-horizontal-relative:margin;mso-position-vertical-relative:margin;z-index:251664384;mso-width-relative:page;mso-height-relative:page;" fillcolor="#FFFFFF" filled="t" stroked="f" coordsize="21600,21600" o:gfxdata="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vsA8dkAAAAKAQAADwAAAAAAAAAB&#10;ACAAAAAiAAAAZHJzL2Rvd25yZXYueG1sUEsBAhQAFAAAAAgAh07iQB/XhfIPAgAALAQAAA4AAAAA&#10;AAAAAQAgAAAAKAEAAGRycy9lMm9Eb2MueG1sUEsFBgAAAAAGAAYAWQEAAKkFAAAAAA==&#10;">
                <v:fill on="t" focussize="0,0"/>
                <v:stroke on="f"/>
                <v:imagedata o:title=""/>
                <o:lock v:ext="edit" aspectratio="f"/>
                <v:textbox inset="0mm,0mm,0mm,0mm">
                  <w:txbxContent>
                    <w:p w14:paraId="5941204E">
                      <w:pPr>
                        <w:pStyle w:val="54"/>
                        <w:ind w:firstLine="2360" w:firstLineChars="500"/>
                        <w:jc w:val="left"/>
                        <w:rPr>
                          <w:sz w:val="32"/>
                          <w:szCs w:val="32"/>
                        </w:rPr>
                      </w:pPr>
                      <w:r>
                        <w:rPr>
                          <w:rFonts w:hint="eastAsia"/>
                          <w:sz w:val="32"/>
                          <w:szCs w:val="32"/>
                        </w:rPr>
                        <w:t>中国有色金属工业协会</w:t>
                      </w:r>
                    </w:p>
                    <w:p w14:paraId="32813A96">
                      <w:pPr>
                        <w:pStyle w:val="54"/>
                        <w:ind w:firstLine="2360" w:firstLineChars="400"/>
                        <w:jc w:val="left"/>
                        <w:rPr>
                          <w:spacing w:val="79"/>
                          <w:sz w:val="32"/>
                          <w:szCs w:val="32"/>
                        </w:rPr>
                      </w:pPr>
                      <w:r>
                        <w:rPr>
                          <w:rFonts w:hint="eastAsia"/>
                          <w:spacing w:val="79"/>
                          <w:sz w:val="32"/>
                          <w:szCs w:val="32"/>
                        </w:rPr>
                        <w:t>中</w:t>
                      </w:r>
                      <w:r>
                        <w:rPr>
                          <w:rFonts w:hint="eastAsia"/>
                          <w:spacing w:val="85"/>
                          <w:sz w:val="32"/>
                          <w:szCs w:val="32"/>
                        </w:rPr>
                        <w:t>国</w:t>
                      </w:r>
                      <w:r>
                        <w:rPr>
                          <w:rFonts w:hint="eastAsia"/>
                          <w:spacing w:val="91"/>
                          <w:sz w:val="32"/>
                          <w:szCs w:val="32"/>
                        </w:rPr>
                        <w:t>有色金属</w:t>
                      </w:r>
                      <w:r>
                        <w:rPr>
                          <w:rFonts w:hint="eastAsia"/>
                          <w:spacing w:val="85"/>
                          <w:sz w:val="32"/>
                          <w:szCs w:val="32"/>
                        </w:rPr>
                        <w:t>学</w:t>
                      </w:r>
                      <w:r>
                        <w:rPr>
                          <w:rFonts w:hint="eastAsia"/>
                          <w:spacing w:val="79"/>
                          <w:sz w:val="32"/>
                          <w:szCs w:val="32"/>
                        </w:rPr>
                        <w:t>会</w:t>
                      </w:r>
                    </w:p>
                  </w:txbxContent>
                </v:textbox>
                <w10:anchorlock/>
              </v:shape>
            </w:pict>
          </mc:Fallback>
        </mc:AlternateContent>
      </w:r>
      <w:r>
        <w:rPr>
          <w:rFonts w:ascii="黑体"/>
          <w:color w:val="000000" w:themeColor="text1"/>
          <w:sz w:val="21"/>
          <w14:textFill>
            <w14:solidFill>
              <w14:schemeClr w14:val="tx1"/>
            </w14:solidFill>
          </w14:textFill>
        </w:rPr>
        <mc:AlternateContent>
          <mc:Choice Requires="wps">
            <w:drawing>
              <wp:anchor distT="0" distB="0" distL="114300" distR="114300" simplePos="0" relativeHeight="251663360" behindDoc="0" locked="1" layoutInCell="1" allowOverlap="1">
                <wp:simplePos x="0" y="0"/>
                <wp:positionH relativeFrom="margin">
                  <wp:posOffset>4114800</wp:posOffset>
                </wp:positionH>
                <wp:positionV relativeFrom="margin">
                  <wp:posOffset>8420100</wp:posOffset>
                </wp:positionV>
                <wp:extent cx="2019300" cy="312420"/>
                <wp:effectExtent l="0" t="0" r="4445" b="0"/>
                <wp:wrapNone/>
                <wp:docPr id="14"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08317944">
                            <w:pPr>
                              <w:pStyle w:val="55"/>
                            </w:pPr>
                            <w:r>
                              <w:t>20</w:t>
                            </w:r>
                            <w:r>
                              <w:rPr>
                                <w:rFonts w:hint="eastAsia"/>
                              </w:rPr>
                              <w:t>2×-××-××实施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4pt;margin-top:663pt;height:24.6pt;width:159pt;mso-position-horizontal-relative:margin;mso-position-vertical-relative:margin;z-index:251663360;mso-width-relative:page;mso-height-relative:page;" fillcolor="#FFFFFF" filled="t" stroked="f" coordsize="21600,21600" o:gfxdata="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GrBjPYAAAADQEAAA8AAAAAAAAAAQAg&#10;AAAAIgAAAGRycy9kb3ducmV2LnhtbFBLAQIUABQAAAAIAIdO4kCOHcRFDgIAACwEAAAOAAAAAAAA&#10;AAEAIAAAACcBAABkcnMvZTJvRG9jLnhtbFBLBQYAAAAABgAGAFkBAACnBQAAAAA=&#10;">
                <v:fill on="t" focussize="0,0"/>
                <v:stroke on="f"/>
                <v:imagedata o:title=""/>
                <o:lock v:ext="edit" aspectratio="f"/>
                <v:textbox inset="0mm,0mm,0mm,0mm">
                  <w:txbxContent>
                    <w:p w14:paraId="08317944">
                      <w:pPr>
                        <w:pStyle w:val="55"/>
                      </w:pPr>
                      <w:r>
                        <w:t>20</w:t>
                      </w:r>
                      <w:r>
                        <w:rPr>
                          <w:rFonts w:hint="eastAsia"/>
                        </w:rPr>
                        <w:t>2×-××-××实施</w:t>
                      </w:r>
                    </w:p>
                  </w:txbxContent>
                </v:textbox>
                <w10:anchorlock/>
              </v:shape>
            </w:pict>
          </mc:Fallback>
        </mc:AlternateContent>
      </w:r>
      <w:r>
        <w:rPr>
          <w:rFonts w:ascii="黑体"/>
          <w:color w:val="000000" w:themeColor="text1"/>
          <w:sz w:val="21"/>
          <w14:textFill>
            <w14:solidFill>
              <w14:schemeClr w14:val="tx1"/>
            </w14:solidFill>
          </w14:textFill>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8420100</wp:posOffset>
                </wp:positionV>
                <wp:extent cx="2019300" cy="312420"/>
                <wp:effectExtent l="0" t="0" r="4445" b="0"/>
                <wp:wrapNone/>
                <wp:docPr id="13"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13781640">
                            <w:pPr>
                              <w:pStyle w:val="48"/>
                            </w:pPr>
                            <w:r>
                              <w:t>20</w:t>
                            </w:r>
                            <w:r>
                              <w:rPr>
                                <w:rFonts w:hint="eastAsia"/>
                              </w:rPr>
                              <w:t>2×-××-××发布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63pt;height:24.6pt;width:159pt;mso-position-horizontal-relative:margin;mso-position-vertical-relative:margin;z-index:251662336;mso-width-relative:page;mso-height-relative:page;" fillcolor="#FFFFFF" filled="t" stroked="f" coordsize="21600,21600" o:gfxdata="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V7rR9cAAAAKAQAADwAAAAAAAAABACAA&#10;AAAiAAAAZHJzL2Rvd25yZXYueG1sUEsBAhQAFAAAAAgAh07iQFx2T+sOAgAALAQAAA4AAAAAAAAA&#10;AQAgAAAAJgEAAGRycy9lMm9Eb2MueG1sUEsFBgAAAAAGAAYAWQEAAKYFAAAAAA==&#10;">
                <v:fill on="t" focussize="0,0"/>
                <v:stroke on="f"/>
                <v:imagedata o:title=""/>
                <o:lock v:ext="edit" aspectratio="f"/>
                <v:textbox inset="0mm,0mm,0mm,0mm">
                  <w:txbxContent>
                    <w:p w14:paraId="13781640">
                      <w:pPr>
                        <w:pStyle w:val="48"/>
                      </w:pPr>
                      <w:r>
                        <w:t>20</w:t>
                      </w:r>
                      <w:r>
                        <w:rPr>
                          <w:rFonts w:hint="eastAsia"/>
                        </w:rPr>
                        <w:t>2×-××-××发布</w:t>
                      </w:r>
                    </w:p>
                  </w:txbxContent>
                </v:textbox>
                <w10:anchorlock/>
              </v:shape>
            </w:pict>
          </mc:Fallback>
        </mc:AlternateContent>
      </w:r>
      <w:r>
        <w:rPr>
          <w:rFonts w:ascii="黑体"/>
          <w:color w:val="000000" w:themeColor="text1"/>
          <w:sz w:val="21"/>
          <w14:textFill>
            <w14:solidFill>
              <w14:schemeClr w14:val="tx1"/>
            </w14:solidFill>
          </w14:textFill>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2773680</wp:posOffset>
                </wp:positionV>
                <wp:extent cx="6057900" cy="4853940"/>
                <wp:effectExtent l="0" t="0" r="4445" b="0"/>
                <wp:wrapNone/>
                <wp:docPr id="12" name="fmFrame4"/>
                <wp:cNvGraphicFramePr/>
                <a:graphic xmlns:a="http://schemas.openxmlformats.org/drawingml/2006/main">
                  <a:graphicData uri="http://schemas.microsoft.com/office/word/2010/wordprocessingShape">
                    <wps:wsp>
                      <wps:cNvSpPr txBox="1">
                        <a:spLocks noChangeArrowheads="1"/>
                      </wps:cNvSpPr>
                      <wps:spPr bwMode="auto">
                        <a:xfrm>
                          <a:off x="0" y="0"/>
                          <a:ext cx="6057900" cy="4853940"/>
                        </a:xfrm>
                        <a:prstGeom prst="rect">
                          <a:avLst/>
                        </a:prstGeom>
                        <a:solidFill>
                          <a:srgbClr val="FFFFFF"/>
                        </a:solidFill>
                        <a:ln>
                          <a:noFill/>
                        </a:ln>
                      </wps:spPr>
                      <wps:txbx>
                        <w:txbxContent>
                          <w:p w14:paraId="1CDBD836">
                            <w:pPr>
                              <w:pStyle w:val="47"/>
                            </w:pPr>
                          </w:p>
                          <w:p w14:paraId="3902480A">
                            <w:pPr>
                              <w:pStyle w:val="47"/>
                              <w:spacing w:line="360" w:lineRule="auto"/>
                              <w:rPr>
                                <w:rFonts w:hAnsi="黑体"/>
                                <w:color w:val="000000"/>
                              </w:rPr>
                            </w:pPr>
                            <w:r>
                              <w:rPr>
                                <w:rFonts w:hint="eastAsia" w:hAnsi="黑体"/>
                                <w:color w:val="000000"/>
                              </w:rPr>
                              <w:t>铝灰渣化学分析方法</w:t>
                            </w:r>
                          </w:p>
                          <w:p w14:paraId="2792845C">
                            <w:pPr>
                              <w:pStyle w:val="47"/>
                              <w:spacing w:line="360" w:lineRule="auto"/>
                              <w:rPr>
                                <w:rFonts w:hAnsi="黑体"/>
                                <w:color w:val="000000"/>
                              </w:rPr>
                            </w:pPr>
                            <w:r>
                              <w:rPr>
                                <w:rFonts w:hint="eastAsia" w:hAnsi="黑体"/>
                                <w:color w:val="000000"/>
                              </w:rPr>
                              <w:t>第</w:t>
                            </w:r>
                            <w:r>
                              <w:rPr>
                                <w:rFonts w:hint="eastAsia" w:hAnsi="黑体"/>
                                <w:color w:val="000000"/>
                                <w:lang w:val="en-US" w:eastAsia="zh-CN"/>
                              </w:rPr>
                              <w:t>5</w:t>
                            </w:r>
                            <w:r>
                              <w:rPr>
                                <w:rFonts w:hint="eastAsia" w:hAnsi="黑体"/>
                                <w:color w:val="000000"/>
                              </w:rPr>
                              <w:t>部分：氯含量的测定</w:t>
                            </w:r>
                          </w:p>
                          <w:p w14:paraId="3AEC7B9D">
                            <w:pPr>
                              <w:pStyle w:val="47"/>
                              <w:rPr>
                                <w:rFonts w:hAnsi="黑体"/>
                                <w:color w:val="000000"/>
                                <w:szCs w:val="52"/>
                              </w:rPr>
                            </w:pPr>
                          </w:p>
                          <w:p w14:paraId="1D4F06BC">
                            <w:pPr>
                              <w:spacing w:line="360" w:lineRule="auto"/>
                              <w:jc w:val="center"/>
                              <w:rPr>
                                <w:rFonts w:ascii="Times New Roman" w:hAnsi="Times New Roman" w:eastAsia="黑体" w:cs="Times New Roman"/>
                                <w:color w:val="000000"/>
                                <w:sz w:val="24"/>
                              </w:rPr>
                            </w:pPr>
                            <w:r>
                              <w:rPr>
                                <w:rFonts w:ascii="Times New Roman" w:hAnsi="Times New Roman" w:eastAsia="黑体" w:cs="Times New Roman"/>
                                <w:color w:val="000000"/>
                                <w:sz w:val="24"/>
                              </w:rPr>
                              <w:t>Chemical analysis methods of aluminium slags and ash —</w:t>
                            </w:r>
                          </w:p>
                          <w:p w14:paraId="7BC225D2">
                            <w:pPr>
                              <w:spacing w:line="360" w:lineRule="auto"/>
                              <w:jc w:val="center"/>
                              <w:rPr>
                                <w:rFonts w:ascii="黑体" w:hAnsi="黑体" w:eastAsia="黑体"/>
                                <w:color w:val="000000"/>
                                <w:sz w:val="24"/>
                              </w:rPr>
                            </w:pPr>
                            <w:r>
                              <w:rPr>
                                <w:rFonts w:ascii="Times New Roman" w:hAnsi="Times New Roman" w:eastAsia="黑体" w:cs="Times New Roman"/>
                                <w:color w:val="000000"/>
                                <w:sz w:val="24"/>
                              </w:rPr>
                              <w:t xml:space="preserve">Part </w:t>
                            </w:r>
                            <w:r>
                              <w:rPr>
                                <w:rFonts w:hint="eastAsia" w:ascii="Times New Roman" w:hAnsi="Times New Roman" w:eastAsia="黑体" w:cs="Times New Roman"/>
                                <w:color w:val="000000"/>
                                <w:sz w:val="24"/>
                                <w:lang w:val="en-US" w:eastAsia="zh-CN"/>
                              </w:rPr>
                              <w:t>5</w:t>
                            </w:r>
                            <w:r>
                              <w:rPr>
                                <w:rFonts w:ascii="Times New Roman" w:hAnsi="Times New Roman" w:eastAsia="黑体" w:cs="Times New Roman"/>
                                <w:color w:val="000000"/>
                                <w:sz w:val="24"/>
                              </w:rPr>
                              <w:t>: Determination of chlorine</w:t>
                            </w:r>
                            <w:r>
                              <w:rPr>
                                <w:rFonts w:hint="eastAsia" w:ascii="Times New Roman" w:hAnsi="Times New Roman" w:eastAsia="黑体" w:cs="Times New Roman"/>
                                <w:color w:val="000000"/>
                                <w:sz w:val="24"/>
                                <w:lang w:val="en-US" w:eastAsia="zh-CN"/>
                              </w:rPr>
                              <w:t xml:space="preserve"> </w:t>
                            </w:r>
                            <w:r>
                              <w:rPr>
                                <w:kern w:val="0"/>
                                <w:sz w:val="28"/>
                                <w:szCs w:val="28"/>
                              </w:rPr>
                              <w:t>content</w:t>
                            </w:r>
                          </w:p>
                          <w:p w14:paraId="6231ED16">
                            <w:pPr>
                              <w:spacing w:line="360" w:lineRule="auto"/>
                              <w:jc w:val="center"/>
                              <w:rPr>
                                <w:rFonts w:ascii="黑体" w:hAnsi="黑体" w:eastAsia="黑体"/>
                                <w:color w:val="000000"/>
                                <w:sz w:val="28"/>
                                <w:szCs w:val="28"/>
                              </w:rPr>
                            </w:pPr>
                          </w:p>
                          <w:p w14:paraId="30615250">
                            <w:pPr>
                              <w:jc w:val="center"/>
                              <w:rPr>
                                <w:rFonts w:eastAsia="黑体"/>
                                <w:color w:val="000000"/>
                                <w:sz w:val="24"/>
                              </w:rPr>
                            </w:pPr>
                          </w:p>
                          <w:p w14:paraId="209FA16E">
                            <w:pPr>
                              <w:pStyle w:val="51"/>
                              <w:spacing w:before="240"/>
                              <w:rPr>
                                <w:rFonts w:hAnsi="宋体"/>
                                <w:color w:val="000000"/>
                                <w:kern w:val="2"/>
                                <w:sz w:val="28"/>
                                <w:szCs w:val="28"/>
                              </w:rPr>
                            </w:pPr>
                            <w:r>
                              <w:rPr>
                                <w:rFonts w:hint="eastAsia" w:hAnsi="宋体"/>
                                <w:color w:val="000000"/>
                                <w:kern w:val="2"/>
                                <w:sz w:val="28"/>
                                <w:szCs w:val="28"/>
                              </w:rPr>
                              <w:t>（</w:t>
                            </w:r>
                            <w:r>
                              <w:rPr>
                                <w:rFonts w:hint="eastAsia" w:hAnsi="宋体"/>
                                <w:color w:val="000000"/>
                                <w:kern w:val="2"/>
                                <w:sz w:val="28"/>
                                <w:szCs w:val="28"/>
                                <w:lang w:eastAsia="zh-CN"/>
                              </w:rPr>
                              <w:t>送审</w:t>
                            </w:r>
                            <w:r>
                              <w:rPr>
                                <w:rFonts w:hint="eastAsia" w:hAnsi="宋体"/>
                                <w:color w:val="000000"/>
                                <w:kern w:val="2"/>
                                <w:sz w:val="28"/>
                                <w:szCs w:val="28"/>
                              </w:rPr>
                              <w:t>稿）</w:t>
                            </w: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0pt;margin-top:218.4pt;height:382.2pt;width:477pt;mso-position-horizontal-relative:margin;mso-position-vertical-relative:margin;z-index:251661312;mso-width-relative:page;mso-height-relative:page;" fillcolor="#FFFFFF" filled="t" stroked="f" coordsize="21600,21600" o:gfxdata="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JDRiC2AAAAAkBAAAPAAAAAAAA&#10;AAEAIAAAACIAAABkcnMvZG93bnJldi54bWxQSwECFAAUAAAACACHTuJAsN9GIRICAAAtBAAADgAA&#10;AAAAAAABACAAAAAnAQAAZHJzL2Uyb0RvYy54bWxQSwUGAAAAAAYABgBZAQAAqwUAAAAA&#10;">
                <v:fill on="t" focussize="0,0"/>
                <v:stroke on="f"/>
                <v:imagedata o:title=""/>
                <o:lock v:ext="edit" aspectratio="f"/>
                <v:textbox inset="0mm,0mm,0mm,0mm">
                  <w:txbxContent>
                    <w:p w14:paraId="1CDBD836">
                      <w:pPr>
                        <w:pStyle w:val="47"/>
                      </w:pPr>
                    </w:p>
                    <w:p w14:paraId="3902480A">
                      <w:pPr>
                        <w:pStyle w:val="47"/>
                        <w:spacing w:line="360" w:lineRule="auto"/>
                        <w:rPr>
                          <w:rFonts w:hAnsi="黑体"/>
                          <w:color w:val="000000"/>
                        </w:rPr>
                      </w:pPr>
                      <w:r>
                        <w:rPr>
                          <w:rFonts w:hint="eastAsia" w:hAnsi="黑体"/>
                          <w:color w:val="000000"/>
                        </w:rPr>
                        <w:t>铝灰渣化学分析方法</w:t>
                      </w:r>
                    </w:p>
                    <w:p w14:paraId="2792845C">
                      <w:pPr>
                        <w:pStyle w:val="47"/>
                        <w:spacing w:line="360" w:lineRule="auto"/>
                        <w:rPr>
                          <w:rFonts w:hAnsi="黑体"/>
                          <w:color w:val="000000"/>
                        </w:rPr>
                      </w:pPr>
                      <w:r>
                        <w:rPr>
                          <w:rFonts w:hint="eastAsia" w:hAnsi="黑体"/>
                          <w:color w:val="000000"/>
                        </w:rPr>
                        <w:t>第</w:t>
                      </w:r>
                      <w:r>
                        <w:rPr>
                          <w:rFonts w:hint="eastAsia" w:hAnsi="黑体"/>
                          <w:color w:val="000000"/>
                          <w:lang w:val="en-US" w:eastAsia="zh-CN"/>
                        </w:rPr>
                        <w:t>5</w:t>
                      </w:r>
                      <w:r>
                        <w:rPr>
                          <w:rFonts w:hint="eastAsia" w:hAnsi="黑体"/>
                          <w:color w:val="000000"/>
                        </w:rPr>
                        <w:t>部分：氯含量的测定</w:t>
                      </w:r>
                    </w:p>
                    <w:p w14:paraId="3AEC7B9D">
                      <w:pPr>
                        <w:pStyle w:val="47"/>
                        <w:rPr>
                          <w:rFonts w:hAnsi="黑体"/>
                          <w:color w:val="000000"/>
                          <w:szCs w:val="52"/>
                        </w:rPr>
                      </w:pPr>
                    </w:p>
                    <w:p w14:paraId="1D4F06BC">
                      <w:pPr>
                        <w:spacing w:line="360" w:lineRule="auto"/>
                        <w:jc w:val="center"/>
                        <w:rPr>
                          <w:rFonts w:ascii="Times New Roman" w:hAnsi="Times New Roman" w:eastAsia="黑体" w:cs="Times New Roman"/>
                          <w:color w:val="000000"/>
                          <w:sz w:val="24"/>
                        </w:rPr>
                      </w:pPr>
                      <w:r>
                        <w:rPr>
                          <w:rFonts w:ascii="Times New Roman" w:hAnsi="Times New Roman" w:eastAsia="黑体" w:cs="Times New Roman"/>
                          <w:color w:val="000000"/>
                          <w:sz w:val="24"/>
                        </w:rPr>
                        <w:t>Chemical analysis methods of aluminium slags and ash —</w:t>
                      </w:r>
                    </w:p>
                    <w:p w14:paraId="7BC225D2">
                      <w:pPr>
                        <w:spacing w:line="360" w:lineRule="auto"/>
                        <w:jc w:val="center"/>
                        <w:rPr>
                          <w:rFonts w:ascii="黑体" w:hAnsi="黑体" w:eastAsia="黑体"/>
                          <w:color w:val="000000"/>
                          <w:sz w:val="24"/>
                        </w:rPr>
                      </w:pPr>
                      <w:r>
                        <w:rPr>
                          <w:rFonts w:ascii="Times New Roman" w:hAnsi="Times New Roman" w:eastAsia="黑体" w:cs="Times New Roman"/>
                          <w:color w:val="000000"/>
                          <w:sz w:val="24"/>
                        </w:rPr>
                        <w:t xml:space="preserve">Part </w:t>
                      </w:r>
                      <w:r>
                        <w:rPr>
                          <w:rFonts w:hint="eastAsia" w:ascii="Times New Roman" w:hAnsi="Times New Roman" w:eastAsia="黑体" w:cs="Times New Roman"/>
                          <w:color w:val="000000"/>
                          <w:sz w:val="24"/>
                          <w:lang w:val="en-US" w:eastAsia="zh-CN"/>
                        </w:rPr>
                        <w:t>5</w:t>
                      </w:r>
                      <w:r>
                        <w:rPr>
                          <w:rFonts w:ascii="Times New Roman" w:hAnsi="Times New Roman" w:eastAsia="黑体" w:cs="Times New Roman"/>
                          <w:color w:val="000000"/>
                          <w:sz w:val="24"/>
                        </w:rPr>
                        <w:t>: Determination of chlorine</w:t>
                      </w:r>
                      <w:r>
                        <w:rPr>
                          <w:rFonts w:hint="eastAsia" w:ascii="Times New Roman" w:hAnsi="Times New Roman" w:eastAsia="黑体" w:cs="Times New Roman"/>
                          <w:color w:val="000000"/>
                          <w:sz w:val="24"/>
                          <w:lang w:val="en-US" w:eastAsia="zh-CN"/>
                        </w:rPr>
                        <w:t xml:space="preserve"> </w:t>
                      </w:r>
                      <w:r>
                        <w:rPr>
                          <w:kern w:val="0"/>
                          <w:sz w:val="28"/>
                          <w:szCs w:val="28"/>
                        </w:rPr>
                        <w:t>content</w:t>
                      </w:r>
                    </w:p>
                    <w:p w14:paraId="6231ED16">
                      <w:pPr>
                        <w:spacing w:line="360" w:lineRule="auto"/>
                        <w:jc w:val="center"/>
                        <w:rPr>
                          <w:rFonts w:ascii="黑体" w:hAnsi="黑体" w:eastAsia="黑体"/>
                          <w:color w:val="000000"/>
                          <w:sz w:val="28"/>
                          <w:szCs w:val="28"/>
                        </w:rPr>
                      </w:pPr>
                    </w:p>
                    <w:p w14:paraId="30615250">
                      <w:pPr>
                        <w:jc w:val="center"/>
                        <w:rPr>
                          <w:rFonts w:eastAsia="黑体"/>
                          <w:color w:val="000000"/>
                          <w:sz w:val="24"/>
                        </w:rPr>
                      </w:pPr>
                    </w:p>
                    <w:p w14:paraId="209FA16E">
                      <w:pPr>
                        <w:pStyle w:val="51"/>
                        <w:spacing w:before="240"/>
                        <w:rPr>
                          <w:rFonts w:hAnsi="宋体"/>
                          <w:color w:val="000000"/>
                          <w:kern w:val="2"/>
                          <w:sz w:val="28"/>
                          <w:szCs w:val="28"/>
                        </w:rPr>
                      </w:pPr>
                      <w:r>
                        <w:rPr>
                          <w:rFonts w:hint="eastAsia" w:hAnsi="宋体"/>
                          <w:color w:val="000000"/>
                          <w:kern w:val="2"/>
                          <w:sz w:val="28"/>
                          <w:szCs w:val="28"/>
                        </w:rPr>
                        <w:t>（</w:t>
                      </w:r>
                      <w:r>
                        <w:rPr>
                          <w:rFonts w:hint="eastAsia" w:hAnsi="宋体"/>
                          <w:color w:val="000000"/>
                          <w:kern w:val="2"/>
                          <w:sz w:val="28"/>
                          <w:szCs w:val="28"/>
                          <w:lang w:eastAsia="zh-CN"/>
                        </w:rPr>
                        <w:t>送审</w:t>
                      </w:r>
                      <w:r>
                        <w:rPr>
                          <w:rFonts w:hint="eastAsia" w:hAnsi="宋体"/>
                          <w:color w:val="000000"/>
                          <w:kern w:val="2"/>
                          <w:sz w:val="28"/>
                          <w:szCs w:val="28"/>
                        </w:rPr>
                        <w:t>稿）</w:t>
                      </w:r>
                    </w:p>
                  </w:txbxContent>
                </v:textbox>
                <w10:anchorlock/>
              </v:shape>
            </w:pict>
          </mc:Fallback>
        </mc:AlternateContent>
      </w:r>
      <w:r>
        <w:rPr>
          <w:rFonts w:ascii="黑体"/>
          <w:color w:val="000000" w:themeColor="text1"/>
          <w:sz w:val="21"/>
          <w14:textFill>
            <w14:solidFill>
              <w14:schemeClr w14:val="tx1"/>
            </w14:solidFill>
          </w14:textFill>
        </w:rPr>
        <mc:AlternateContent>
          <mc:Choice Requires="wps">
            <w:drawing>
              <wp:anchor distT="0" distB="0" distL="114300" distR="114300" simplePos="0" relativeHeight="251660288" behindDoc="0" locked="1" layoutInCell="1" allowOverlap="1">
                <wp:simplePos x="0" y="0"/>
                <wp:positionH relativeFrom="margin">
                  <wp:posOffset>3907790</wp:posOffset>
                </wp:positionH>
                <wp:positionV relativeFrom="margin">
                  <wp:posOffset>1530350</wp:posOffset>
                </wp:positionV>
                <wp:extent cx="2782570" cy="721995"/>
                <wp:effectExtent l="0" t="1905" r="635" b="0"/>
                <wp:wrapNone/>
                <wp:docPr id="10" name="fmFrame3"/>
                <wp:cNvGraphicFramePr/>
                <a:graphic xmlns:a="http://schemas.openxmlformats.org/drawingml/2006/main">
                  <a:graphicData uri="http://schemas.microsoft.com/office/word/2010/wordprocessingShape">
                    <wps:wsp>
                      <wps:cNvSpPr txBox="1">
                        <a:spLocks noChangeArrowheads="1"/>
                      </wps:cNvSpPr>
                      <wps:spPr bwMode="auto">
                        <a:xfrm>
                          <a:off x="0" y="0"/>
                          <a:ext cx="2782570" cy="721995"/>
                        </a:xfrm>
                        <a:prstGeom prst="rect">
                          <a:avLst/>
                        </a:prstGeom>
                        <a:solidFill>
                          <a:srgbClr val="FFFFFF"/>
                        </a:solidFill>
                        <a:ln>
                          <a:noFill/>
                        </a:ln>
                      </wps:spPr>
                      <wps:txbx>
                        <w:txbxContent>
                          <w:p w14:paraId="603A527A">
                            <w:pPr>
                              <w:pStyle w:val="49"/>
                              <w:spacing w:before="0" w:line="240" w:lineRule="auto"/>
                              <w:ind w:right="1260"/>
                              <w:jc w:val="center"/>
                              <w:rPr>
                                <w:rFonts w:ascii="黑体" w:hAnsi="黑体" w:eastAsia="黑体" w:cs="Calibri"/>
                                <w:szCs w:val="28"/>
                              </w:rPr>
                            </w:pPr>
                            <w:r>
                              <w:rPr>
                                <w:rFonts w:hint="eastAsia" w:ascii="黑体"/>
                                <w:szCs w:val="28"/>
                              </w:rPr>
                              <w:t xml:space="preserve">  </w:t>
                            </w:r>
                            <w:r>
                              <w:rPr>
                                <w:rFonts w:hint="eastAsia" w:ascii="黑体" w:hAnsi="黑体" w:eastAsia="黑体"/>
                                <w:szCs w:val="28"/>
                              </w:rPr>
                              <w:t xml:space="preserve"> </w:t>
                            </w:r>
                            <w:r>
                              <w:rPr>
                                <w:rFonts w:hint="eastAsia" w:asciiTheme="minorEastAsia" w:hAnsiTheme="minorEastAsia" w:eastAsiaTheme="minorEastAsia" w:cstheme="minorEastAsia"/>
                                <w:szCs w:val="28"/>
                              </w:rPr>
                              <w:t xml:space="preserve">  </w:t>
                            </w:r>
                            <w:r>
                              <w:rPr>
                                <w:rFonts w:hint="eastAsia" w:ascii="黑体" w:hAnsi="黑体" w:eastAsia="黑体" w:cstheme="minorEastAsia"/>
                                <w:szCs w:val="28"/>
                              </w:rPr>
                              <w:t>T/CNIA X</w:t>
                            </w:r>
                            <w:r>
                              <w:rPr>
                                <w:rFonts w:ascii="黑体" w:hAnsi="黑体" w:eastAsia="黑体" w:cstheme="minorEastAsia"/>
                                <w:szCs w:val="28"/>
                              </w:rPr>
                              <w:t>X</w:t>
                            </w:r>
                            <w:r>
                              <w:rPr>
                                <w:rFonts w:hint="eastAsia" w:ascii="黑体" w:hAnsi="黑体" w:eastAsia="黑体" w:cstheme="minorEastAsia"/>
                                <w:szCs w:val="28"/>
                              </w:rPr>
                              <w:t>X—202X</w:t>
                            </w: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307.7pt;margin-top:120.5pt;height:56.85pt;width:219.1pt;mso-position-horizontal-relative:margin;mso-position-vertical-relative:margin;z-index:251660288;mso-width-relative:page;mso-height-relative:page;" fillcolor="#FFFFFF" filled="t" stroked="f" coordsize="21600,21600" o:gfxdata="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vxE72gAAAAwBAAAPAAAAAAAA&#10;AAEAIAAAACIAAABkcnMvZG93bnJldi54bWxQSwECFAAUAAAACACHTuJABFd+tBACAAAsBAAADgAA&#10;AAAAAAABACAAAAApAQAAZHJzL2Uyb0RvYy54bWxQSwUGAAAAAAYABgBZAQAAqwUAAAAA&#10;">
                <v:fill on="t" focussize="0,0"/>
                <v:stroke on="f"/>
                <v:imagedata o:title=""/>
                <o:lock v:ext="edit" aspectratio="f"/>
                <v:textbox inset="0mm,0mm,0mm,0mm">
                  <w:txbxContent>
                    <w:p w14:paraId="603A527A">
                      <w:pPr>
                        <w:pStyle w:val="49"/>
                        <w:spacing w:before="0" w:line="240" w:lineRule="auto"/>
                        <w:ind w:right="1260"/>
                        <w:jc w:val="center"/>
                        <w:rPr>
                          <w:rFonts w:ascii="黑体" w:hAnsi="黑体" w:eastAsia="黑体" w:cs="Calibri"/>
                          <w:szCs w:val="28"/>
                        </w:rPr>
                      </w:pPr>
                      <w:r>
                        <w:rPr>
                          <w:rFonts w:hint="eastAsia" w:ascii="黑体"/>
                          <w:szCs w:val="28"/>
                        </w:rPr>
                        <w:t xml:space="preserve">  </w:t>
                      </w:r>
                      <w:r>
                        <w:rPr>
                          <w:rFonts w:hint="eastAsia" w:ascii="黑体" w:hAnsi="黑体" w:eastAsia="黑体"/>
                          <w:szCs w:val="28"/>
                        </w:rPr>
                        <w:t xml:space="preserve"> </w:t>
                      </w:r>
                      <w:r>
                        <w:rPr>
                          <w:rFonts w:hint="eastAsia" w:asciiTheme="minorEastAsia" w:hAnsiTheme="minorEastAsia" w:eastAsiaTheme="minorEastAsia" w:cstheme="minorEastAsia"/>
                          <w:szCs w:val="28"/>
                        </w:rPr>
                        <w:t xml:space="preserve">  </w:t>
                      </w:r>
                      <w:r>
                        <w:rPr>
                          <w:rFonts w:hint="eastAsia" w:ascii="黑体" w:hAnsi="黑体" w:eastAsia="黑体" w:cstheme="minorEastAsia"/>
                          <w:szCs w:val="28"/>
                        </w:rPr>
                        <w:t>T/CNIA X</w:t>
                      </w:r>
                      <w:r>
                        <w:rPr>
                          <w:rFonts w:ascii="黑体" w:hAnsi="黑体" w:eastAsia="黑体" w:cstheme="minorEastAsia"/>
                          <w:szCs w:val="28"/>
                        </w:rPr>
                        <w:t>X</w:t>
                      </w:r>
                      <w:r>
                        <w:rPr>
                          <w:rFonts w:hint="eastAsia" w:ascii="黑体" w:hAnsi="黑体" w:eastAsia="黑体" w:cstheme="minorEastAsia"/>
                          <w:szCs w:val="28"/>
                        </w:rPr>
                        <w:t>X—202X</w:t>
                      </w:r>
                    </w:p>
                  </w:txbxContent>
                </v:textbox>
                <w10:anchorlock/>
              </v:shape>
            </w:pict>
          </mc:Fallback>
        </mc:AlternateContent>
      </w:r>
      <w:r>
        <w:rPr>
          <w:rFonts w:ascii="黑体"/>
          <w:color w:val="000000" w:themeColor="text1"/>
          <w:sz w:val="21"/>
          <w14:textFill>
            <w14:solidFill>
              <w14:schemeClr w14:val="tx1"/>
            </w14:solidFill>
          </w14:textFill>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1010920</wp:posOffset>
                </wp:positionV>
                <wp:extent cx="6120130" cy="391160"/>
                <wp:effectExtent l="0" t="0" r="0" b="2540"/>
                <wp:wrapNone/>
                <wp:docPr id="9"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14:paraId="63297FDE">
                            <w:pPr>
                              <w:pStyle w:val="53"/>
                            </w:pPr>
                            <w:r>
                              <w:rPr>
                                <w:rFonts w:hint="eastAsia"/>
                              </w:rPr>
                              <w:t>团体标准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59264;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g5HBdcAAAAIAQAADwAAAAAAAAABACAA&#10;AAAiAAAAZHJzL2Rvd25yZXYueG1sUEsBAhQAFAAAAAgAh07iQMnB2QEOAgAAKwQAAA4AAAAAAAAA&#10;AQAgAAAAJgEAAGRycy9lMm9Eb2MueG1sUEsFBgAAAAAGAAYAWQEAAKYFAAAAAA==&#10;">
                <v:fill on="t" focussize="0,0"/>
                <v:stroke on="f"/>
                <v:imagedata o:title=""/>
                <o:lock v:ext="edit" aspectratio="f"/>
                <v:textbox inset="0mm,0mm,0mm,0mm">
                  <w:txbxContent>
                    <w:p w14:paraId="63297FDE">
                      <w:pPr>
                        <w:pStyle w:val="53"/>
                      </w:pPr>
                      <w:r>
                        <w:rPr>
                          <w:rFonts w:hint="eastAsia"/>
                        </w:rPr>
                        <w:t>团体标准</w:t>
                      </w:r>
                    </w:p>
                  </w:txbxContent>
                </v:textbox>
                <w10:anchorlock/>
              </v:shape>
            </w:pict>
          </mc:Fallback>
        </mc:AlternateContent>
      </w:r>
      <w:bookmarkEnd w:id="0"/>
      <w:r>
        <w:rPr>
          <w:rFonts w:hint="eastAsia" w:ascii="黑体"/>
          <w:color w:val="000000" w:themeColor="text1"/>
          <w:sz w:val="21"/>
          <w14:textFill>
            <w14:solidFill>
              <w14:schemeClr w14:val="tx1"/>
            </w14:solidFill>
          </w14:textFill>
        </w:rPr>
        <w:t xml:space="preserve"> </w:t>
      </w:r>
      <w:r>
        <w:rPr>
          <w:rFonts w:hint="eastAsia" w:ascii="黑体" w:hAnsi="宋体"/>
        </w:rPr>
        <w:t>77.120.10</w:t>
      </w:r>
    </w:p>
    <w:p w14:paraId="01A6FDCD">
      <w:pPr>
        <w:pStyle w:val="52"/>
        <w:rPr>
          <w:color w:val="000000" w:themeColor="text1"/>
          <w14:textFill>
            <w14:solidFill>
              <w14:schemeClr w14:val="tx1"/>
            </w14:solidFill>
          </w14:textFill>
        </w:rPr>
      </w:pPr>
      <w:r>
        <w:rPr>
          <w:rFonts w:hint="eastAsia" w:ascii="黑体"/>
          <w:color w:val="000000" w:themeColor="text1"/>
          <w:sz w:val="21"/>
          <w14:textFill>
            <w14:solidFill>
              <w14:schemeClr w14:val="tx1"/>
            </w14:solidFill>
          </w14:textFill>
        </w:rPr>
        <w:t>CCS H</w:t>
      </w:r>
      <w:r>
        <w:rPr>
          <w:rFonts w:ascii="黑体"/>
          <w:color w:val="000000" w:themeColor="text1"/>
          <w:sz w:val="21"/>
          <w14:textFill>
            <w14:solidFill>
              <w14:schemeClr w14:val="tx1"/>
            </w14:solidFill>
          </w14:textFill>
        </w:rPr>
        <w:t xml:space="preserve"> 12</w:t>
      </w:r>
    </w:p>
    <w:p w14:paraId="7E6363EE">
      <w:pPr>
        <w:widowControl/>
        <w:jc w:val="left"/>
        <w:rPr>
          <w:rFonts w:ascii="Times New Roman" w:hAnsi="Times New Roman" w:cs="Times New Roman"/>
          <w:szCs w:val="36"/>
        </w:rPr>
      </w:pPr>
      <w:r>
        <w:rPr>
          <w:szCs w:val="36"/>
        </w:rPr>
        <mc:AlternateContent>
          <mc:Choice Requires="wps">
            <w:drawing>
              <wp:anchor distT="0" distB="0" distL="114300" distR="114300" simplePos="0" relativeHeight="251672576" behindDoc="0" locked="0" layoutInCell="1" allowOverlap="1">
                <wp:simplePos x="0" y="0"/>
                <wp:positionH relativeFrom="column">
                  <wp:posOffset>-13970</wp:posOffset>
                </wp:positionH>
                <wp:positionV relativeFrom="paragraph">
                  <wp:posOffset>8324850</wp:posOffset>
                </wp:positionV>
                <wp:extent cx="6210935" cy="0"/>
                <wp:effectExtent l="10160" t="10795" r="8255" b="8255"/>
                <wp:wrapNone/>
                <wp:docPr id="8" name="AutoShape 19"/>
                <wp:cNvGraphicFramePr/>
                <a:graphic xmlns:a="http://schemas.openxmlformats.org/drawingml/2006/main">
                  <a:graphicData uri="http://schemas.microsoft.com/office/word/2010/wordprocessingShape">
                    <wps:wsp>
                      <wps:cNvCnPr>
                        <a:cxnSpLocks noChangeShapeType="1"/>
                      </wps:cNvCnPr>
                      <wps:spPr bwMode="auto">
                        <a:xfrm>
                          <a:off x="0" y="0"/>
                          <a:ext cx="6210935" cy="0"/>
                        </a:xfrm>
                        <a:prstGeom prst="straightConnector1">
                          <a:avLst/>
                        </a:prstGeom>
                        <a:noFill/>
                        <a:ln w="9525">
                          <a:solidFill>
                            <a:srgbClr val="000000"/>
                          </a:solidFill>
                          <a:round/>
                        </a:ln>
                      </wps:spPr>
                      <wps:bodyPr/>
                    </wps:wsp>
                  </a:graphicData>
                </a:graphic>
              </wp:anchor>
            </w:drawing>
          </mc:Choice>
          <mc:Fallback>
            <w:pict>
              <v:shape id="AutoShape 19" o:spid="_x0000_s1026" o:spt="32" type="#_x0000_t32" style="position:absolute;left:0pt;margin-left:-1.1pt;margin-top:655.5pt;height:0pt;width:489.05pt;z-index:251672576;mso-width-relative:page;mso-height-relative:page;" filled="f" stroked="t" coordsize="21600,21600" o:gfxdata="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3mAj5dYAAAAMAQAADwAAAAAAAAABACAA&#10;AAAiAAAAZHJzL2Rvd25yZXYueG1sUEsBAhQAFAAAAAgAh07iQDti3C7WAQAAswMAAA4AAAAAAAAA&#10;AQAgAAAAJQEAAGRycy9lMm9Eb2MueG1sUEsFBgAAAAAGAAYAWQEAAG0FAAAAAA==&#10;">
                <v:fill on="f" focussize="0,0"/>
                <v:stroke color="#000000" joinstyle="round"/>
                <v:imagedata o:title=""/>
                <o:lock v:ext="edit" aspectratio="f"/>
              </v:shape>
            </w:pict>
          </mc:Fallback>
        </mc:AlternateContent>
      </w:r>
      <w:r>
        <w:rPr>
          <w:szCs w:val="36"/>
        </w:rPr>
        <mc:AlternateContent>
          <mc:Choice Requires="wps">
            <w:drawing>
              <wp:anchor distT="0" distB="0" distL="114300" distR="114300" simplePos="0" relativeHeight="251666432" behindDoc="0" locked="0" layoutInCell="1" allowOverlap="1">
                <wp:simplePos x="0" y="0"/>
                <wp:positionH relativeFrom="column">
                  <wp:posOffset>-71755</wp:posOffset>
                </wp:positionH>
                <wp:positionV relativeFrom="paragraph">
                  <wp:posOffset>8044815</wp:posOffset>
                </wp:positionV>
                <wp:extent cx="6121400" cy="0"/>
                <wp:effectExtent l="9525" t="6985" r="12700" b="12065"/>
                <wp:wrapNone/>
                <wp:docPr id="7" name="Line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w:pict>
              <v:line id="Line 10" o:spid="_x0000_s1026" o:spt="20" style="position:absolute;left:0pt;margin-left:-5.65pt;margin-top:633.45pt;height:0pt;width:482pt;z-index:251666432;mso-width-relative:page;mso-height-relative:page;" filled="f" stroked="t" coordsize="21600,21600" o:gfxdata="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tO2qE2QAAAA0BAAAPAAAAAAAAAAEAIAAAACIAAABkcnMv&#10;ZG93bnJldi54bWxQSwECFAAUAAAACACHTuJA0GkFeMkBAAChAwAADgAAAAAAAAABACAAAAAoAQAA&#10;ZHJzL2Uyb0RvYy54bWxQSwUGAAAAAAYABgBZAQAAYwUAAAAA&#10;">
                <v:fill on="f" focussize="0,0"/>
                <v:stroke weight="1pt" color="#FFFFFF" joinstyle="round"/>
                <v:imagedata o:title=""/>
                <o:lock v:ext="edit" aspectratio="f"/>
              </v:line>
            </w:pict>
          </mc:Fallback>
        </mc:AlternateContent>
      </w:r>
      <w:r>
        <w:rPr>
          <w:szCs w:val="36"/>
        </w:rPr>
        <mc:AlternateContent>
          <mc:Choice Requires="wps">
            <w:drawing>
              <wp:anchor distT="0" distB="0" distL="114300" distR="114300" simplePos="0" relativeHeight="251671552" behindDoc="0" locked="0" layoutInCell="1" allowOverlap="1">
                <wp:simplePos x="0" y="0"/>
                <wp:positionH relativeFrom="column">
                  <wp:posOffset>-161290</wp:posOffset>
                </wp:positionH>
                <wp:positionV relativeFrom="paragraph">
                  <wp:posOffset>1463675</wp:posOffset>
                </wp:positionV>
                <wp:extent cx="6210935" cy="0"/>
                <wp:effectExtent l="5715" t="7620" r="12700" b="11430"/>
                <wp:wrapNone/>
                <wp:docPr id="6" name="AutoShape 18"/>
                <wp:cNvGraphicFramePr/>
                <a:graphic xmlns:a="http://schemas.openxmlformats.org/drawingml/2006/main">
                  <a:graphicData uri="http://schemas.microsoft.com/office/word/2010/wordprocessingShape">
                    <wps:wsp>
                      <wps:cNvCnPr>
                        <a:cxnSpLocks noChangeShapeType="1"/>
                      </wps:cNvCnPr>
                      <wps:spPr bwMode="auto">
                        <a:xfrm>
                          <a:off x="0" y="0"/>
                          <a:ext cx="6210935" cy="0"/>
                        </a:xfrm>
                        <a:prstGeom prst="straightConnector1">
                          <a:avLst/>
                        </a:prstGeom>
                        <a:noFill/>
                        <a:ln w="9525">
                          <a:solidFill>
                            <a:srgbClr val="000000"/>
                          </a:solidFill>
                          <a:round/>
                        </a:ln>
                      </wps:spPr>
                      <wps:bodyPr/>
                    </wps:wsp>
                  </a:graphicData>
                </a:graphic>
              </wp:anchor>
            </w:drawing>
          </mc:Choice>
          <mc:Fallback>
            <w:pict>
              <v:shape id="AutoShape 18" o:spid="_x0000_s1026" o:spt="32" type="#_x0000_t32" style="position:absolute;left:0pt;margin-left:-12.7pt;margin-top:115.25pt;height:0pt;width:489.05pt;z-index:251671552;mso-width-relative:page;mso-height-relative:page;" filled="f" stroked="t" coordsize="21600,21600" o:gfxdata="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ria0j2AAAAAsBAAAPAAAAAAAAAAEA&#10;IAAAACIAAABkcnMvZG93bnJldi54bWxQSwECFAAUAAAACACHTuJAJRH9WtYBAACzAwAADgAAAAAA&#10;AAABACAAAAAnAQAAZHJzL2Uyb0RvYy54bWxQSwUGAAAAAAYABgBZAQAAbwUAAAAA&#10;">
                <v:fill on="f" focussize="0,0"/>
                <v:stroke color="#000000" joinstyle="round"/>
                <v:imagedata o:title=""/>
                <o:lock v:ext="edit" aspectratio="f"/>
              </v:shape>
            </w:pict>
          </mc:Fallback>
        </mc:AlternateContent>
      </w:r>
      <w:r>
        <w:rPr>
          <w:szCs w:val="36"/>
        </w:rPr>
        <mc:AlternateContent>
          <mc:Choice Requires="wps">
            <w:drawing>
              <wp:anchor distT="0" distB="0" distL="114300" distR="114300" simplePos="0" relativeHeight="251670528" behindDoc="0" locked="0" layoutInCell="1" allowOverlap="1">
                <wp:simplePos x="0" y="0"/>
                <wp:positionH relativeFrom="column">
                  <wp:posOffset>2540</wp:posOffset>
                </wp:positionH>
                <wp:positionV relativeFrom="paragraph">
                  <wp:posOffset>8162290</wp:posOffset>
                </wp:positionV>
                <wp:extent cx="6121400" cy="0"/>
                <wp:effectExtent l="7620" t="10160" r="14605" b="8890"/>
                <wp:wrapNone/>
                <wp:docPr id="5" name="Line 16"/>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w:pict>
              <v:line id="Line 16" o:spid="_x0000_s1026" o:spt="20" style="position:absolute;left:0pt;margin-left:0.2pt;margin-top:642.7pt;height:0pt;width:482pt;z-index:251670528;mso-width-relative:page;mso-height-relative:page;" filled="f" stroked="t" coordsize="21600,21600" o:gfxdata="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hcwWc1QAAAAoBAAAPAAAAAAAAAAEAIAAAACIAAABkcnMvZG93bnJl&#10;di54bWxQSwECFAAUAAAACACHTuJAx2e9q8cBAAChAwAADgAAAAAAAAABACAAAAAkAQAAZHJzL2Uy&#10;b0RvYy54bWxQSwUGAAAAAAYABgBZAQAAXQUAAAAA&#10;">
                <v:fill on="f" focussize="0,0"/>
                <v:stroke weight="1pt" color="#FFFFFF" joinstyle="round"/>
                <v:imagedata o:title=""/>
                <o:lock v:ext="edit" aspectratio="f"/>
              </v:line>
            </w:pict>
          </mc:Fallback>
        </mc:AlternateContent>
      </w:r>
      <w:r>
        <w:rPr>
          <w:szCs w:val="36"/>
        </w:rPr>
        <mc:AlternateContent>
          <mc:Choice Requires="wps">
            <w:drawing>
              <wp:anchor distT="0" distB="0" distL="114300" distR="114300" simplePos="0" relativeHeight="251669504" behindDoc="0" locked="0" layoutInCell="1" allowOverlap="1">
                <wp:simplePos x="0" y="0"/>
                <wp:positionH relativeFrom="column">
                  <wp:posOffset>-92075</wp:posOffset>
                </wp:positionH>
                <wp:positionV relativeFrom="paragraph">
                  <wp:posOffset>1405890</wp:posOffset>
                </wp:positionV>
                <wp:extent cx="6121400" cy="0"/>
                <wp:effectExtent l="8255" t="6985" r="13970" b="12065"/>
                <wp:wrapNone/>
                <wp:docPr id="4" name="Line 15"/>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w:pict>
              <v:line id="Line 15" o:spid="_x0000_s1026" o:spt="20" style="position:absolute;left:0pt;margin-left:-7.25pt;margin-top:110.7pt;height:0pt;width:482pt;z-index:251669504;mso-width-relative:page;mso-height-relative:page;" filled="f" stroked="t" coordsize="21600,21600" o:gfxdata="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8w1TeNgAAAALAQAADwAAAAAAAAABACAAAAAiAAAAZHJzL2Rv&#10;d25yZXYueG1sUEsBAhQAFAAAAAgAh07iQOzj2S/IAQAAoQMAAA4AAAAAAAAAAQAgAAAAJwEAAGRy&#10;cy9lMm9Eb2MueG1sUEsFBgAAAAAGAAYAWQEAAGEFAAAAAA==&#10;">
                <v:fill on="f" focussize="0,0"/>
                <v:stroke weight="1pt" color="#FFFFFF" joinstyle="round"/>
                <v:imagedata o:title=""/>
                <o:lock v:ext="edit" aspectratio="f"/>
              </v:line>
            </w:pict>
          </mc:Fallback>
        </mc:AlternateContent>
      </w:r>
      <w:r>
        <w:rPr>
          <w:szCs w:val="36"/>
        </w:rPr>
        <mc:AlternateContent>
          <mc:Choice Requires="wps">
            <w:drawing>
              <wp:anchor distT="0" distB="0" distL="114300" distR="114300" simplePos="0" relativeHeight="251667456" behindDoc="0" locked="0" layoutInCell="1" allowOverlap="1">
                <wp:simplePos x="0" y="0"/>
                <wp:positionH relativeFrom="column">
                  <wp:posOffset>-75565</wp:posOffset>
                </wp:positionH>
                <wp:positionV relativeFrom="paragraph">
                  <wp:posOffset>1447165</wp:posOffset>
                </wp:positionV>
                <wp:extent cx="6121400" cy="0"/>
                <wp:effectExtent l="15240" t="10160" r="6985" b="8890"/>
                <wp:wrapNone/>
                <wp:docPr id="3" name="Line 12"/>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w:pict>
              <v:line id="Line 12" o:spid="_x0000_s1026" o:spt="20" style="position:absolute;left:0pt;margin-left:-5.95pt;margin-top:113.95pt;height:0pt;width:482pt;z-index:251667456;mso-width-relative:page;mso-height-relative:page;" filled="f" stroked="t" coordsize="21600,21600" o:gfxdata="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M34KNgAAAALAQAADwAAAAAAAAABACAAAAAiAAAAZHJzL2Rv&#10;d25yZXYueG1sUEsBAhQAFAAAAAgAh07iQMvurjLIAQAAoQMAAA4AAAAAAAAAAQAgAAAAJwEAAGRy&#10;cy9lMm9Eb2MueG1sUEsFBgAAAAAGAAYAWQEAAGEFAAAAAA==&#10;">
                <v:fill on="f" focussize="0,0"/>
                <v:stroke weight="1pt" color="#FFFFFF" joinstyle="round"/>
                <v:imagedata o:title=""/>
                <o:lock v:ext="edit" aspectratio="f"/>
              </v:line>
            </w:pict>
          </mc:Fallback>
        </mc:AlternateContent>
      </w:r>
      <w:r>
        <w:rPr>
          <w:szCs w:val="36"/>
        </w:rPr>
        <mc:AlternateContent>
          <mc:Choice Requires="wps">
            <w:drawing>
              <wp:anchor distT="0" distB="0" distL="114300" distR="114300" simplePos="0" relativeHeight="251668480" behindDoc="0" locked="0" layoutInCell="1" allowOverlap="1">
                <wp:simplePos x="0" y="0"/>
                <wp:positionH relativeFrom="column">
                  <wp:posOffset>-13970</wp:posOffset>
                </wp:positionH>
                <wp:positionV relativeFrom="paragraph">
                  <wp:posOffset>8162290</wp:posOffset>
                </wp:positionV>
                <wp:extent cx="6121400" cy="0"/>
                <wp:effectExtent l="10160" t="10160" r="12065" b="8890"/>
                <wp:wrapNone/>
                <wp:docPr id="2" name="Line 13"/>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w:pict>
              <v:line id="Line 13" o:spid="_x0000_s1026" o:spt="20" style="position:absolute;left:0pt;margin-left:-1.1pt;margin-top:642.7pt;height:0pt;width:482pt;z-index:251668480;mso-width-relative:page;mso-height-relative:page;" filled="f" stroked="t" coordsize="21600,21600" o:gfxdata="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krInM1wAAAAwBAAAPAAAAAAAAAAEAIAAAACIAAABkcnMvZG93&#10;bnJldi54bWxQSwECFAAUAAAACACHTuJAqlrSNsgBAAChAwAADgAAAAAAAAABACAAAAAmAQAAZHJz&#10;L2Uyb0RvYy54bWxQSwUGAAAAAAYABgBZAQAAYAUAAAAA&#10;">
                <v:fill on="f" focussize="0,0"/>
                <v:stroke weight="1pt" color="#FFFFFF" joinstyle="round"/>
                <v:imagedata o:title=""/>
                <o:lock v:ext="edit" aspectratio="f"/>
              </v:line>
            </w:pict>
          </mc:Fallback>
        </mc:AlternateContent>
      </w:r>
      <w:r>
        <w:rPr>
          <w:szCs w:val="36"/>
        </w:rPr>
        <mc:AlternateContent>
          <mc:Choice Requires="wps">
            <w:drawing>
              <wp:anchor distT="0" distB="0" distL="114300" distR="114300" simplePos="0" relativeHeight="251665408" behindDoc="0" locked="0" layoutInCell="1" allowOverlap="1">
                <wp:simplePos x="0" y="0"/>
                <wp:positionH relativeFrom="column">
                  <wp:posOffset>-59055</wp:posOffset>
                </wp:positionH>
                <wp:positionV relativeFrom="paragraph">
                  <wp:posOffset>1414145</wp:posOffset>
                </wp:positionV>
                <wp:extent cx="6121400" cy="0"/>
                <wp:effectExtent l="12700" t="15240" r="9525" b="13335"/>
                <wp:wrapNone/>
                <wp:docPr id="1" name="Line 9"/>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w:pict>
              <v:line id="Line 9" o:spid="_x0000_s1026" o:spt="20" style="position:absolute;left:0pt;margin-left:-4.65pt;margin-top:111.35pt;height:0pt;width:482pt;z-index:251665408;mso-width-relative:page;mso-height-relative:page;" filled="f" stroked="t" coordsize="21600,21600" o:gfxdata="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7wc082AAAAAoBAAAPAAAAAAAAAAEAIAAAACIAAABkcnMvZG93&#10;bnJldi54bWxQSwECFAAUAAAACACHTuJAz9D+gccBAACgAwAADgAAAAAAAAABACAAAAAnAQAAZHJz&#10;L2Uyb0RvYy54bWxQSwUGAAAAAAYABgBZAQAAYAUAAAAA&#10;">
                <v:fill on="f" focussize="0,0"/>
                <v:stroke weight="1pt" color="#FFFFFF" joinstyle="round"/>
                <v:imagedata o:title=""/>
                <o:lock v:ext="edit" aspectratio="f"/>
              </v:line>
            </w:pict>
          </mc:Fallback>
        </mc:AlternateContent>
      </w:r>
      <w:r>
        <w:rPr>
          <w:szCs w:val="36"/>
        </w:rPr>
        <w:br w:type="page"/>
      </w:r>
    </w:p>
    <w:p w14:paraId="06B7F53D">
      <w:pPr>
        <w:jc w:val="center"/>
        <w:rPr>
          <w:rFonts w:eastAsia="黑体"/>
          <w:sz w:val="32"/>
          <w:szCs w:val="32"/>
        </w:rPr>
      </w:pPr>
      <w:r>
        <w:rPr>
          <w:rFonts w:eastAsia="黑体"/>
          <w:sz w:val="32"/>
          <w:szCs w:val="32"/>
        </w:rPr>
        <w:t>前    言</w:t>
      </w:r>
    </w:p>
    <w:p w14:paraId="5A47DA5C">
      <w:pPr>
        <w:ind w:firstLine="420" w:firstLineChars="200"/>
        <w:rPr>
          <w:rFonts w:hint="eastAsia" w:ascii="宋体" w:hAnsi="宋体"/>
          <w:szCs w:val="21"/>
        </w:rPr>
      </w:pPr>
      <w:r>
        <w:rPr>
          <w:rFonts w:hint="eastAsia" w:ascii="宋体" w:hAnsi="宋体"/>
          <w:szCs w:val="21"/>
        </w:rPr>
        <w:t>本文件按照GB/T 1.1-2020《标准化工作导则 第1部分：标准化文件的结构和起草规则》的规定起草。</w:t>
      </w:r>
    </w:p>
    <w:p w14:paraId="7C1E7F56">
      <w:pPr>
        <w:ind w:firstLine="420" w:firstLineChars="200"/>
        <w:rPr>
          <w:rFonts w:hint="eastAsia" w:ascii="宋体" w:hAnsi="宋体"/>
          <w:szCs w:val="21"/>
          <w:lang w:val="de-DE"/>
        </w:rPr>
      </w:pPr>
      <w:r>
        <w:rPr>
          <w:rFonts w:hint="eastAsia" w:ascii="宋体" w:hAnsi="宋体"/>
          <w:szCs w:val="21"/>
          <w:lang w:val="de-DE"/>
        </w:rPr>
        <w:t>本文件是</w:t>
      </w:r>
      <w:r>
        <w:rPr>
          <w:rFonts w:ascii="宋体" w:hAnsi="宋体"/>
          <w:szCs w:val="21"/>
          <w:lang w:val="de-DE"/>
        </w:rPr>
        <w:t>YS/T 1179</w:t>
      </w:r>
      <w:r>
        <w:rPr>
          <w:rFonts w:hint="eastAsia" w:ascii="宋体" w:hAnsi="宋体"/>
          <w:szCs w:val="21"/>
        </w:rPr>
        <w:t>《</w:t>
      </w:r>
      <w:r>
        <w:rPr>
          <w:rFonts w:hint="eastAsia" w:ascii="宋体" w:hAnsi="宋体" w:cs="宋体"/>
          <w:szCs w:val="21"/>
        </w:rPr>
        <w:t>铝灰渣化学分析方法</w:t>
      </w:r>
      <w:r>
        <w:rPr>
          <w:rFonts w:hint="eastAsia" w:ascii="宋体" w:hAnsi="宋体"/>
          <w:szCs w:val="21"/>
        </w:rPr>
        <w:t>》的第</w:t>
      </w:r>
      <w:r>
        <w:rPr>
          <w:rFonts w:hint="eastAsia" w:ascii="宋体" w:hAnsi="宋体"/>
          <w:szCs w:val="21"/>
          <w:lang w:val="en-US" w:eastAsia="zh-CN"/>
        </w:rPr>
        <w:t>5</w:t>
      </w:r>
      <w:r>
        <w:rPr>
          <w:rFonts w:hint="eastAsia" w:ascii="宋体" w:hAnsi="宋体"/>
          <w:szCs w:val="21"/>
        </w:rPr>
        <w:t>部分。</w:t>
      </w:r>
      <w:r>
        <w:rPr>
          <w:rFonts w:ascii="宋体" w:hAnsi="宋体"/>
          <w:szCs w:val="21"/>
          <w:lang w:val="de-DE"/>
        </w:rPr>
        <w:t>YS/T 1179</w:t>
      </w:r>
      <w:r>
        <w:rPr>
          <w:rFonts w:hint="eastAsia" w:ascii="宋体" w:hAnsi="宋体"/>
          <w:szCs w:val="21"/>
        </w:rPr>
        <w:t>《</w:t>
      </w:r>
      <w:r>
        <w:rPr>
          <w:rFonts w:hint="eastAsia" w:ascii="宋体" w:hAnsi="宋体" w:cs="宋体"/>
          <w:szCs w:val="21"/>
        </w:rPr>
        <w:t>铝灰渣化学分析方法</w:t>
      </w:r>
      <w:r>
        <w:rPr>
          <w:rFonts w:hint="eastAsia" w:ascii="宋体" w:hAnsi="宋体"/>
          <w:szCs w:val="21"/>
        </w:rPr>
        <w:t>》</w:t>
      </w:r>
      <w:r>
        <w:rPr>
          <w:rFonts w:hint="eastAsia" w:ascii="宋体" w:hAnsi="宋体"/>
          <w:szCs w:val="21"/>
          <w:lang w:val="de-DE"/>
        </w:rPr>
        <w:t>已经发布了以下部分：</w:t>
      </w:r>
    </w:p>
    <w:p w14:paraId="39080373">
      <w:pPr>
        <w:ind w:firstLine="210" w:firstLineChars="100"/>
        <w:rPr>
          <w:rFonts w:hint="eastAsia" w:ascii="宋体" w:hAnsi="宋体" w:cs="宋体"/>
          <w:szCs w:val="21"/>
          <w:lang w:val="de-DE"/>
        </w:rPr>
      </w:pPr>
      <w:r>
        <w:rPr>
          <w:rFonts w:hint="eastAsia" w:ascii="宋体" w:hAnsi="宋体"/>
          <w:szCs w:val="21"/>
          <w:lang w:val="de-DE"/>
        </w:rPr>
        <w:t>——</w:t>
      </w:r>
      <w:r>
        <w:rPr>
          <w:rFonts w:hint="eastAsia" w:ascii="宋体" w:hAnsi="宋体" w:cs="宋体"/>
          <w:szCs w:val="21"/>
        </w:rPr>
        <w:t>第</w:t>
      </w:r>
      <w:r>
        <w:rPr>
          <w:rFonts w:hint="eastAsia" w:ascii="宋体" w:hAnsi="宋体" w:cs="宋体"/>
          <w:szCs w:val="21"/>
          <w:lang w:val="de-DE"/>
        </w:rPr>
        <w:t>1</w:t>
      </w:r>
      <w:r>
        <w:rPr>
          <w:rFonts w:hint="eastAsia" w:ascii="宋体" w:hAnsi="宋体" w:cs="宋体"/>
          <w:szCs w:val="21"/>
        </w:rPr>
        <w:t>部分</w:t>
      </w:r>
      <w:r>
        <w:rPr>
          <w:rFonts w:hint="eastAsia" w:ascii="宋体" w:hAnsi="宋体" w:cs="宋体"/>
          <w:szCs w:val="21"/>
          <w:lang w:val="de-DE"/>
        </w:rPr>
        <w:t>：氟</w:t>
      </w:r>
      <w:r>
        <w:rPr>
          <w:rFonts w:ascii="宋体" w:hAnsi="宋体" w:cs="宋体"/>
          <w:szCs w:val="21"/>
          <w:lang w:val="de-DE"/>
        </w:rPr>
        <w:t>含量的测定</w:t>
      </w:r>
      <w:r>
        <w:rPr>
          <w:rFonts w:hint="eastAsia" w:ascii="宋体" w:hAnsi="宋体" w:cs="宋体"/>
          <w:szCs w:val="21"/>
          <w:lang w:val="de-DE"/>
        </w:rPr>
        <w:t xml:space="preserve">； </w:t>
      </w:r>
    </w:p>
    <w:p w14:paraId="03791A56">
      <w:pPr>
        <w:ind w:firstLine="210" w:firstLineChars="100"/>
        <w:rPr>
          <w:rFonts w:hint="eastAsia" w:ascii="宋体" w:hAnsi="宋体" w:cs="宋体"/>
          <w:szCs w:val="21"/>
          <w:lang w:val="de-DE"/>
        </w:rPr>
      </w:pPr>
      <w:r>
        <w:rPr>
          <w:rFonts w:hint="eastAsia" w:ascii="宋体" w:hAnsi="宋体" w:cs="宋体"/>
          <w:szCs w:val="21"/>
          <w:lang w:val="de-DE"/>
        </w:rPr>
        <w:t>——</w:t>
      </w:r>
      <w:r>
        <w:rPr>
          <w:rFonts w:hint="eastAsia" w:ascii="宋体" w:hAnsi="宋体" w:cs="宋体"/>
          <w:szCs w:val="21"/>
        </w:rPr>
        <w:t>第</w:t>
      </w:r>
      <w:r>
        <w:rPr>
          <w:rFonts w:hint="eastAsia" w:ascii="宋体" w:hAnsi="宋体" w:cs="宋体"/>
          <w:szCs w:val="21"/>
          <w:lang w:val="de-DE"/>
        </w:rPr>
        <w:t>2</w:t>
      </w:r>
      <w:r>
        <w:rPr>
          <w:rFonts w:hint="eastAsia" w:ascii="宋体" w:hAnsi="宋体" w:cs="宋体"/>
          <w:szCs w:val="21"/>
        </w:rPr>
        <w:t>部分</w:t>
      </w:r>
      <w:r>
        <w:rPr>
          <w:rFonts w:hint="eastAsia" w:ascii="宋体" w:hAnsi="宋体" w:cs="宋体"/>
          <w:szCs w:val="21"/>
          <w:lang w:val="de-DE"/>
        </w:rPr>
        <w:t>：金属铝</w:t>
      </w:r>
      <w:r>
        <w:rPr>
          <w:rFonts w:ascii="宋体" w:hAnsi="宋体" w:cs="宋体"/>
          <w:szCs w:val="21"/>
          <w:lang w:val="de-DE"/>
        </w:rPr>
        <w:t>含量的测定</w:t>
      </w:r>
      <w:r>
        <w:rPr>
          <w:rFonts w:hint="eastAsia" w:ascii="宋体" w:hAnsi="宋体" w:cs="宋体"/>
          <w:szCs w:val="21"/>
          <w:lang w:val="de-DE"/>
        </w:rPr>
        <w:t xml:space="preserve"> 气体容量法 ；</w:t>
      </w:r>
    </w:p>
    <w:p w14:paraId="57F41AA0">
      <w:pPr>
        <w:ind w:firstLine="210" w:firstLineChars="100"/>
        <w:rPr>
          <w:rFonts w:hint="eastAsia" w:ascii="宋体" w:hAnsi="宋体" w:cs="宋体"/>
          <w:szCs w:val="21"/>
          <w:lang w:val="de-DE"/>
        </w:rPr>
      </w:pPr>
      <w:r>
        <w:rPr>
          <w:rFonts w:hint="eastAsia" w:ascii="宋体" w:hAnsi="宋体"/>
          <w:szCs w:val="21"/>
          <w:lang w:val="de-DE"/>
        </w:rPr>
        <w:t>——</w:t>
      </w:r>
      <w:r>
        <w:rPr>
          <w:rFonts w:hint="eastAsia" w:ascii="宋体" w:hAnsi="宋体" w:cs="宋体"/>
          <w:szCs w:val="21"/>
        </w:rPr>
        <w:t>第</w:t>
      </w:r>
      <w:r>
        <w:rPr>
          <w:rFonts w:hint="eastAsia" w:ascii="宋体" w:hAnsi="宋体" w:cs="宋体"/>
          <w:szCs w:val="21"/>
          <w:lang w:val="de-DE"/>
        </w:rPr>
        <w:t>3</w:t>
      </w:r>
      <w:r>
        <w:rPr>
          <w:rFonts w:hint="eastAsia" w:ascii="宋体" w:hAnsi="宋体" w:cs="宋体"/>
          <w:szCs w:val="21"/>
        </w:rPr>
        <w:t>部分</w:t>
      </w:r>
      <w:r>
        <w:rPr>
          <w:rFonts w:hint="eastAsia" w:ascii="宋体" w:hAnsi="宋体" w:cs="宋体"/>
          <w:szCs w:val="21"/>
          <w:lang w:val="de-DE"/>
        </w:rPr>
        <w:t>：碳、氮</w:t>
      </w:r>
      <w:r>
        <w:rPr>
          <w:rFonts w:ascii="宋体" w:hAnsi="宋体" w:cs="宋体"/>
          <w:szCs w:val="21"/>
          <w:lang w:val="de-DE"/>
        </w:rPr>
        <w:t>含量的测定</w:t>
      </w:r>
      <w:r>
        <w:rPr>
          <w:rFonts w:hint="eastAsia" w:ascii="宋体" w:hAnsi="宋体" w:cs="宋体"/>
          <w:szCs w:val="21"/>
          <w:lang w:val="de-DE"/>
        </w:rPr>
        <w:t>；</w:t>
      </w:r>
    </w:p>
    <w:p w14:paraId="15B40233">
      <w:pPr>
        <w:ind w:firstLine="210" w:firstLineChars="100"/>
        <w:rPr>
          <w:rFonts w:hint="eastAsia" w:ascii="宋体" w:hAnsi="宋体" w:cs="宋体"/>
          <w:szCs w:val="21"/>
          <w:lang w:val="de-DE"/>
        </w:rPr>
      </w:pPr>
      <w:r>
        <w:rPr>
          <w:rFonts w:hint="eastAsia" w:ascii="宋体" w:hAnsi="宋体" w:cs="宋体"/>
          <w:szCs w:val="21"/>
          <w:lang w:val="de-DE"/>
        </w:rPr>
        <w:t>——</w:t>
      </w:r>
      <w:r>
        <w:rPr>
          <w:rFonts w:hint="eastAsia" w:ascii="宋体" w:hAnsi="宋体" w:cs="宋体"/>
          <w:szCs w:val="21"/>
        </w:rPr>
        <w:t>第</w:t>
      </w:r>
      <w:r>
        <w:rPr>
          <w:rFonts w:hint="eastAsia" w:ascii="宋体" w:hAnsi="宋体" w:cs="宋体"/>
          <w:szCs w:val="21"/>
          <w:lang w:val="de-DE"/>
        </w:rPr>
        <w:t>4</w:t>
      </w:r>
      <w:r>
        <w:rPr>
          <w:rFonts w:hint="eastAsia" w:ascii="宋体" w:hAnsi="宋体" w:cs="宋体"/>
          <w:szCs w:val="21"/>
        </w:rPr>
        <w:t>部分</w:t>
      </w:r>
      <w:r>
        <w:rPr>
          <w:rFonts w:hint="eastAsia" w:ascii="宋体" w:hAnsi="宋体" w:cs="宋体"/>
          <w:szCs w:val="21"/>
          <w:lang w:val="de-DE"/>
        </w:rPr>
        <w:t>：硅、镁、钙</w:t>
      </w:r>
      <w:r>
        <w:rPr>
          <w:rFonts w:ascii="宋体" w:hAnsi="宋体" w:cs="宋体"/>
          <w:szCs w:val="21"/>
          <w:lang w:val="de-DE"/>
        </w:rPr>
        <w:t>含量的测定</w:t>
      </w:r>
      <w:r>
        <w:rPr>
          <w:rFonts w:hint="eastAsia" w:ascii="宋体" w:hAnsi="宋体" w:cs="宋体"/>
          <w:szCs w:val="21"/>
          <w:lang w:val="de-DE"/>
        </w:rPr>
        <w:t xml:space="preserve"> 电感耦合等离子体发射光谱法。</w:t>
      </w:r>
    </w:p>
    <w:p w14:paraId="01E5DCA6">
      <w:pPr>
        <w:ind w:firstLine="420" w:firstLineChars="200"/>
        <w:rPr>
          <w:rStyle w:val="57"/>
          <w:rFonts w:asciiTheme="minorEastAsia" w:hAnsiTheme="minorEastAsia" w:cstheme="minorEastAsia"/>
          <w:szCs w:val="21"/>
        </w:rPr>
      </w:pPr>
      <w:r>
        <w:rPr>
          <w:rFonts w:hint="eastAsia" w:asciiTheme="minorEastAsia" w:hAnsiTheme="minorEastAsia" w:cstheme="minorEastAsia"/>
          <w:szCs w:val="21"/>
        </w:rPr>
        <w:t>请注意本文件的某些内容可能涉及专利。本文件的发布机构不承担识别专利的责任。</w:t>
      </w:r>
    </w:p>
    <w:p w14:paraId="6A4E7178">
      <w:pPr>
        <w:ind w:firstLine="420" w:firstLineChars="200"/>
        <w:rPr>
          <w:rFonts w:asciiTheme="minorEastAsia" w:hAnsiTheme="minorEastAsia" w:cstheme="minorEastAsia"/>
          <w:szCs w:val="20"/>
        </w:rPr>
      </w:pPr>
      <w:r>
        <w:rPr>
          <w:rFonts w:hint="eastAsia" w:asciiTheme="minorEastAsia" w:hAnsiTheme="minorEastAsia" w:cstheme="minorEastAsia"/>
          <w:szCs w:val="20"/>
        </w:rPr>
        <w:t>本文件由全国有色金属标准化技术委员会（SAC/TC 243）提出并归口。</w:t>
      </w:r>
    </w:p>
    <w:p w14:paraId="5E63E608">
      <w:pPr>
        <w:widowControl/>
        <w:autoSpaceDE w:val="0"/>
        <w:autoSpaceDN w:val="0"/>
        <w:spacing w:line="340" w:lineRule="exact"/>
        <w:ind w:firstLine="420" w:firstLineChars="200"/>
        <w:rPr>
          <w:rFonts w:asciiTheme="minorEastAsia" w:hAnsiTheme="minorEastAsia" w:cstheme="minorEastAsia"/>
          <w:kern w:val="0"/>
          <w:szCs w:val="20"/>
        </w:rPr>
      </w:pPr>
      <w:r>
        <w:rPr>
          <w:rFonts w:hint="eastAsia" w:asciiTheme="minorEastAsia" w:hAnsiTheme="minorEastAsia" w:cstheme="minorEastAsia"/>
          <w:kern w:val="0"/>
          <w:szCs w:val="21"/>
        </w:rPr>
        <w:t>本文件起草单位</w:t>
      </w:r>
      <w:r>
        <w:rPr>
          <w:rFonts w:hint="eastAsia" w:asciiTheme="minorEastAsia" w:hAnsiTheme="minorEastAsia" w:cstheme="minorEastAsia"/>
          <w:szCs w:val="20"/>
        </w:rPr>
        <w:t>：云南文山铝业有限公司、</w:t>
      </w:r>
      <w:r>
        <w:rPr>
          <w:rFonts w:hint="eastAsia" w:ascii="宋体" w:hAnsi="宋体" w:cs="宋体"/>
          <w:sz w:val="21"/>
          <w:szCs w:val="21"/>
        </w:rPr>
        <w:t>有色金属技术经济研究院有限责任公司</w:t>
      </w:r>
      <w:r>
        <w:rPr>
          <w:rFonts w:hint="eastAsia" w:asciiTheme="minorEastAsia" w:hAnsiTheme="minorEastAsia" w:cstheme="minorEastAsia"/>
          <w:szCs w:val="20"/>
        </w:rPr>
        <w:t>、</w:t>
      </w:r>
      <w:r>
        <w:rPr>
          <w:rFonts w:hint="eastAsia" w:ascii="宋体" w:hAnsi="宋体" w:cs="宋体"/>
          <w:sz w:val="21"/>
          <w:szCs w:val="21"/>
        </w:rPr>
        <w:t>广东省科学院工业分析检测中心</w:t>
      </w:r>
      <w:r>
        <w:rPr>
          <w:rFonts w:hint="eastAsia" w:ascii="宋体" w:hAnsi="宋体" w:cs="宋体"/>
          <w:sz w:val="21"/>
          <w:szCs w:val="21"/>
          <w:lang w:eastAsia="zh-CN"/>
        </w:rPr>
        <w:t>、</w:t>
      </w:r>
      <w:r>
        <w:rPr>
          <w:rFonts w:hint="eastAsia" w:ascii="宋体" w:hAnsi="宋体" w:cs="宋体"/>
          <w:sz w:val="21"/>
          <w:szCs w:val="21"/>
        </w:rPr>
        <w:t>重庆国创轻合金研究院有限公司</w:t>
      </w:r>
      <w:r>
        <w:rPr>
          <w:rFonts w:hint="eastAsia" w:ascii="宋体" w:hAnsi="宋体" w:cs="宋体"/>
          <w:sz w:val="21"/>
          <w:szCs w:val="21"/>
          <w:lang w:eastAsia="zh-CN"/>
        </w:rPr>
        <w:t>、</w:t>
      </w:r>
      <w:r>
        <w:rPr>
          <w:rFonts w:hint="eastAsia" w:ascii="宋体" w:hAnsi="宋体" w:cs="宋体"/>
          <w:sz w:val="21"/>
          <w:szCs w:val="21"/>
        </w:rPr>
        <w:t>昆明冶金研究院有限公司</w:t>
      </w:r>
      <w:r>
        <w:rPr>
          <w:rFonts w:hint="eastAsia" w:ascii="宋体" w:hAnsi="宋体" w:cs="宋体"/>
          <w:sz w:val="21"/>
          <w:szCs w:val="21"/>
          <w:lang w:eastAsia="zh-CN"/>
        </w:rPr>
        <w:t>、</w:t>
      </w:r>
      <w:r>
        <w:rPr>
          <w:rFonts w:hint="eastAsia" w:ascii="宋体" w:hAnsi="宋体" w:cs="宋体"/>
          <w:sz w:val="21"/>
          <w:szCs w:val="21"/>
        </w:rPr>
        <w:t>中铝材料应用研究院有限公司</w:t>
      </w:r>
      <w:r>
        <w:rPr>
          <w:rFonts w:hint="eastAsia" w:ascii="宋体" w:hAnsi="宋体" w:cs="宋体"/>
          <w:sz w:val="21"/>
          <w:szCs w:val="21"/>
          <w:lang w:eastAsia="zh-CN"/>
        </w:rPr>
        <w:t>、</w:t>
      </w:r>
      <w:r>
        <w:rPr>
          <w:rFonts w:hint="eastAsia" w:ascii="宋体" w:hAnsi="宋体" w:cs="宋体"/>
          <w:sz w:val="21"/>
          <w:szCs w:val="21"/>
        </w:rPr>
        <w:t>文山壮族苗族自治州检验检测认证院</w:t>
      </w:r>
      <w:r>
        <w:rPr>
          <w:rFonts w:hint="eastAsia" w:ascii="宋体" w:hAnsi="宋体" w:cs="宋体"/>
          <w:sz w:val="21"/>
          <w:szCs w:val="21"/>
          <w:lang w:eastAsia="zh-CN"/>
        </w:rPr>
        <w:t>、</w:t>
      </w:r>
      <w:r>
        <w:rPr>
          <w:rFonts w:hint="eastAsia" w:ascii="宋体" w:hAnsi="宋体" w:cs="宋体"/>
          <w:sz w:val="21"/>
          <w:szCs w:val="21"/>
        </w:rPr>
        <w:t>河北新立中有色金属集团有限公司</w:t>
      </w:r>
      <w:r>
        <w:rPr>
          <w:rFonts w:hint="eastAsia" w:ascii="宋体" w:hAnsi="宋体" w:cs="宋体"/>
          <w:sz w:val="21"/>
          <w:szCs w:val="21"/>
          <w:lang w:eastAsia="zh-CN"/>
        </w:rPr>
        <w:t>、</w:t>
      </w:r>
      <w:r>
        <w:rPr>
          <w:rFonts w:hint="eastAsia" w:ascii="宋体" w:hAnsi="宋体" w:cs="宋体"/>
          <w:color w:val="auto"/>
          <w:sz w:val="21"/>
          <w:szCs w:val="21"/>
        </w:rPr>
        <w:t>河北三益再生资源利用有限公司</w:t>
      </w:r>
      <w:r>
        <w:rPr>
          <w:rFonts w:hint="eastAsia" w:ascii="宋体" w:hAnsi="宋体" w:cs="宋体"/>
          <w:color w:val="auto"/>
          <w:sz w:val="21"/>
          <w:szCs w:val="21"/>
          <w:lang w:eastAsia="zh-CN"/>
        </w:rPr>
        <w:t>、</w:t>
      </w:r>
      <w:r>
        <w:rPr>
          <w:rFonts w:hint="eastAsia" w:ascii="宋体" w:hAnsi="宋体" w:cs="宋体"/>
          <w:color w:val="auto"/>
          <w:sz w:val="21"/>
          <w:szCs w:val="21"/>
        </w:rPr>
        <w:t>韶关质量计量监督检测所</w:t>
      </w:r>
      <w:r>
        <w:rPr>
          <w:rFonts w:hint="eastAsia" w:ascii="宋体" w:hAnsi="宋体" w:cs="宋体"/>
          <w:color w:val="auto"/>
          <w:sz w:val="21"/>
          <w:szCs w:val="21"/>
          <w:lang w:eastAsia="zh-CN"/>
        </w:rPr>
        <w:t>、</w:t>
      </w:r>
      <w:r>
        <w:rPr>
          <w:rFonts w:hint="eastAsia" w:ascii="宋体" w:hAnsi="宋体" w:cs="宋体"/>
          <w:color w:val="auto"/>
          <w:sz w:val="21"/>
          <w:szCs w:val="21"/>
        </w:rPr>
        <w:t>深圳市中金岭南有色金属股份有限公司</w:t>
      </w:r>
      <w:r>
        <w:rPr>
          <w:rFonts w:hint="eastAsia" w:ascii="宋体" w:hAnsi="宋体" w:cs="宋体"/>
          <w:color w:val="auto"/>
          <w:sz w:val="21"/>
          <w:szCs w:val="21"/>
          <w:lang w:eastAsia="zh-CN"/>
        </w:rPr>
        <w:t>、</w:t>
      </w:r>
      <w:r>
        <w:rPr>
          <w:rFonts w:hint="eastAsia" w:ascii="宋体" w:hAnsi="宋体" w:cs="宋体"/>
          <w:sz w:val="21"/>
          <w:szCs w:val="21"/>
        </w:rPr>
        <w:t>内蒙古霍煤鸿骏铝电有限责任公司</w:t>
      </w:r>
      <w:r>
        <w:rPr>
          <w:rFonts w:hint="eastAsia" w:ascii="宋体" w:hAnsi="宋体" w:cs="宋体"/>
          <w:sz w:val="21"/>
          <w:szCs w:val="21"/>
          <w:lang w:eastAsia="zh-CN"/>
        </w:rPr>
        <w:t>、</w:t>
      </w:r>
      <w:r>
        <w:rPr>
          <w:rFonts w:hint="eastAsia" w:ascii="宋体" w:hAnsi="宋体" w:cs="宋体"/>
          <w:sz w:val="21"/>
          <w:szCs w:val="21"/>
        </w:rPr>
        <w:t>山东创新金属科技有限公司</w:t>
      </w:r>
      <w:r>
        <w:rPr>
          <w:rFonts w:hint="eastAsia" w:ascii="宋体" w:hAnsi="宋体" w:cs="宋体"/>
          <w:sz w:val="21"/>
          <w:szCs w:val="21"/>
          <w:lang w:eastAsia="zh-CN"/>
        </w:rPr>
        <w:t>、</w:t>
      </w:r>
      <w:r>
        <w:rPr>
          <w:rFonts w:hint="eastAsia" w:ascii="宋体" w:hAnsi="宋体" w:cs="宋体"/>
          <w:sz w:val="21"/>
          <w:szCs w:val="21"/>
        </w:rPr>
        <w:t>内蒙古锦联铝材有限公司</w:t>
      </w:r>
      <w:r>
        <w:rPr>
          <w:rFonts w:hint="eastAsia" w:asciiTheme="minorEastAsia" w:hAnsiTheme="minorEastAsia" w:cstheme="minorEastAsia"/>
          <w:szCs w:val="20"/>
        </w:rPr>
        <w:t>。</w:t>
      </w:r>
    </w:p>
    <w:p w14:paraId="397C9ECB">
      <w:pPr>
        <w:widowControl/>
        <w:autoSpaceDE w:val="0"/>
        <w:autoSpaceDN w:val="0"/>
        <w:spacing w:line="340" w:lineRule="exact"/>
        <w:ind w:firstLine="420" w:firstLineChars="200"/>
        <w:rPr>
          <w:rFonts w:hint="default" w:asciiTheme="minorEastAsia" w:hAnsiTheme="minorEastAsia" w:eastAsiaTheme="minorEastAsia" w:cstheme="minorEastAsia"/>
          <w:kern w:val="0"/>
          <w:szCs w:val="21"/>
          <w:lang w:val="en-US" w:eastAsia="zh-CN"/>
        </w:rPr>
      </w:pPr>
      <w:r>
        <w:rPr>
          <w:rFonts w:hint="eastAsia" w:asciiTheme="minorEastAsia" w:hAnsiTheme="minorEastAsia" w:cstheme="minorEastAsia"/>
          <w:kern w:val="0"/>
          <w:szCs w:val="21"/>
        </w:rPr>
        <w:t>本文件起草人：</w:t>
      </w:r>
      <w:r>
        <w:rPr>
          <w:rFonts w:hint="eastAsia" w:ascii="宋体" w:hAnsi="宋体" w:cs="宋体"/>
          <w:sz w:val="21"/>
          <w:szCs w:val="21"/>
        </w:rPr>
        <w:t>段昌祥</w:t>
      </w:r>
      <w:r>
        <w:rPr>
          <w:rFonts w:hint="eastAsia" w:ascii="宋体" w:hAnsi="宋体" w:cs="宋体"/>
          <w:sz w:val="21"/>
          <w:szCs w:val="21"/>
          <w:lang w:val="en-US" w:eastAsia="zh-CN"/>
        </w:rPr>
        <w:t>、</w:t>
      </w:r>
      <w:r>
        <w:rPr>
          <w:rFonts w:hint="eastAsia" w:ascii="宋体" w:hAnsi="宋体" w:cs="宋体"/>
          <w:sz w:val="21"/>
          <w:szCs w:val="21"/>
        </w:rPr>
        <w:t>朱杨昆</w:t>
      </w:r>
      <w:r>
        <w:rPr>
          <w:rFonts w:hint="eastAsia" w:ascii="宋体" w:hAnsi="宋体" w:cs="宋体"/>
          <w:sz w:val="21"/>
          <w:szCs w:val="21"/>
          <w:lang w:eastAsia="zh-CN"/>
        </w:rPr>
        <w:t>、</w:t>
      </w:r>
      <w:r>
        <w:rPr>
          <w:rFonts w:hint="eastAsia" w:ascii="宋体" w:hAnsi="宋体" w:cs="宋体"/>
          <w:sz w:val="21"/>
          <w:szCs w:val="21"/>
        </w:rPr>
        <w:t>李志刚</w:t>
      </w:r>
      <w:r>
        <w:rPr>
          <w:rFonts w:hint="eastAsia" w:asciiTheme="minorEastAsia" w:hAnsiTheme="minorEastAsia" w:cstheme="minorEastAsia"/>
        </w:rPr>
        <w:t>、</w:t>
      </w:r>
      <w:r>
        <w:rPr>
          <w:rFonts w:hint="eastAsia" w:ascii="宋体" w:hAnsi="宋体" w:cs="宋体"/>
          <w:sz w:val="21"/>
          <w:szCs w:val="21"/>
        </w:rPr>
        <w:t>黄葡英</w:t>
      </w:r>
      <w:r>
        <w:rPr>
          <w:rFonts w:hint="eastAsia" w:ascii="宋体" w:hAnsi="宋体" w:cs="宋体"/>
          <w:sz w:val="21"/>
          <w:szCs w:val="21"/>
          <w:lang w:eastAsia="zh-CN"/>
        </w:rPr>
        <w:t>、</w:t>
      </w:r>
      <w:r>
        <w:rPr>
          <w:rFonts w:hint="eastAsia" w:ascii="宋体" w:hAnsi="宋体" w:cs="宋体"/>
          <w:sz w:val="21"/>
          <w:szCs w:val="21"/>
        </w:rPr>
        <w:t>高珺</w:t>
      </w:r>
      <w:r>
        <w:rPr>
          <w:rFonts w:hint="eastAsia" w:ascii="宋体" w:hAnsi="宋体" w:cs="宋体"/>
          <w:sz w:val="21"/>
          <w:szCs w:val="21"/>
          <w:lang w:eastAsia="zh-CN"/>
        </w:rPr>
        <w:t>、</w:t>
      </w:r>
      <w:r>
        <w:rPr>
          <w:rFonts w:hint="eastAsia" w:ascii="宋体" w:hAnsi="宋体" w:cs="宋体"/>
          <w:sz w:val="21"/>
          <w:szCs w:val="21"/>
        </w:rPr>
        <w:t>赵晖</w:t>
      </w:r>
      <w:r>
        <w:rPr>
          <w:rFonts w:hint="eastAsia" w:ascii="宋体" w:hAnsi="宋体" w:cs="宋体"/>
          <w:sz w:val="21"/>
          <w:szCs w:val="21"/>
          <w:lang w:eastAsia="zh-CN"/>
        </w:rPr>
        <w:t>、</w:t>
      </w:r>
      <w:r>
        <w:rPr>
          <w:rFonts w:hint="eastAsia" w:ascii="宋体" w:hAnsi="宋体" w:cs="宋体"/>
          <w:sz w:val="21"/>
          <w:szCs w:val="21"/>
        </w:rPr>
        <w:t>张惠琳</w:t>
      </w:r>
      <w:r>
        <w:rPr>
          <w:rFonts w:hint="eastAsia" w:ascii="宋体" w:hAnsi="宋体" w:cs="宋体"/>
          <w:sz w:val="21"/>
          <w:szCs w:val="21"/>
          <w:lang w:eastAsia="zh-CN"/>
        </w:rPr>
        <w:t>、</w:t>
      </w:r>
      <w:r>
        <w:rPr>
          <w:rFonts w:hint="eastAsia" w:ascii="宋体" w:hAnsi="宋体" w:cs="宋体"/>
          <w:sz w:val="21"/>
          <w:szCs w:val="21"/>
        </w:rPr>
        <w:t>高铁燕</w:t>
      </w:r>
      <w:r>
        <w:rPr>
          <w:rFonts w:hint="eastAsia" w:ascii="宋体" w:hAnsi="宋体" w:cs="宋体"/>
          <w:sz w:val="21"/>
          <w:szCs w:val="21"/>
          <w:lang w:eastAsia="zh-CN"/>
        </w:rPr>
        <w:t>、</w:t>
      </w:r>
      <w:r>
        <w:rPr>
          <w:rFonts w:hint="eastAsia" w:ascii="宋体" w:hAnsi="宋体" w:cs="宋体"/>
          <w:sz w:val="21"/>
          <w:szCs w:val="21"/>
        </w:rPr>
        <w:t>臧永奕</w:t>
      </w:r>
      <w:r>
        <w:rPr>
          <w:rFonts w:hint="eastAsia" w:ascii="宋体" w:hAnsi="宋体" w:cs="宋体"/>
          <w:sz w:val="21"/>
          <w:szCs w:val="21"/>
          <w:lang w:eastAsia="zh-CN"/>
        </w:rPr>
        <w:t>、</w:t>
      </w:r>
      <w:r>
        <w:rPr>
          <w:rFonts w:hint="eastAsia" w:ascii="宋体" w:hAnsi="宋体" w:cs="宋体"/>
          <w:sz w:val="21"/>
          <w:szCs w:val="21"/>
        </w:rPr>
        <w:t>潘正伟</w:t>
      </w:r>
      <w:r>
        <w:rPr>
          <w:rFonts w:hint="eastAsia" w:ascii="宋体" w:hAnsi="宋体" w:cs="宋体"/>
          <w:sz w:val="21"/>
          <w:szCs w:val="21"/>
          <w:lang w:eastAsia="zh-CN"/>
        </w:rPr>
        <w:t>、</w:t>
      </w:r>
      <w:r>
        <w:rPr>
          <w:rFonts w:hint="eastAsia" w:ascii="宋体" w:hAnsi="宋体" w:cs="宋体"/>
          <w:sz w:val="21"/>
          <w:szCs w:val="21"/>
        </w:rPr>
        <w:t>孔令丽</w:t>
      </w:r>
      <w:r>
        <w:rPr>
          <w:rFonts w:hint="eastAsia" w:ascii="宋体" w:hAnsi="宋体" w:cs="宋体"/>
          <w:sz w:val="21"/>
          <w:szCs w:val="21"/>
          <w:lang w:eastAsia="zh-CN"/>
        </w:rPr>
        <w:t>、</w:t>
      </w:r>
      <w:r>
        <w:rPr>
          <w:rFonts w:hint="eastAsia" w:ascii="宋体" w:hAnsi="宋体" w:cs="宋体"/>
          <w:color w:val="auto"/>
          <w:sz w:val="21"/>
          <w:szCs w:val="21"/>
        </w:rPr>
        <w:t>葛素静</w:t>
      </w:r>
      <w:r>
        <w:rPr>
          <w:rFonts w:hint="eastAsia" w:ascii="宋体" w:hAnsi="宋体" w:cs="宋体"/>
          <w:color w:val="auto"/>
          <w:sz w:val="21"/>
          <w:szCs w:val="21"/>
          <w:lang w:eastAsia="zh-CN"/>
        </w:rPr>
        <w:t>、</w:t>
      </w:r>
      <w:r>
        <w:rPr>
          <w:rFonts w:hint="eastAsia" w:ascii="宋体" w:hAnsi="宋体" w:cs="宋体"/>
          <w:color w:val="auto"/>
          <w:sz w:val="21"/>
          <w:szCs w:val="21"/>
        </w:rPr>
        <w:t>袁齐</w:t>
      </w:r>
      <w:r>
        <w:rPr>
          <w:rFonts w:hint="eastAsia" w:ascii="宋体" w:hAnsi="宋体" w:cs="宋体"/>
          <w:color w:val="auto"/>
          <w:sz w:val="21"/>
          <w:szCs w:val="21"/>
          <w:lang w:eastAsia="zh-CN"/>
        </w:rPr>
        <w:t>、</w:t>
      </w:r>
      <w:r>
        <w:rPr>
          <w:rFonts w:hint="eastAsia" w:ascii="宋体" w:hAnsi="宋体" w:cs="宋体"/>
          <w:color w:val="auto"/>
          <w:sz w:val="21"/>
          <w:szCs w:val="21"/>
        </w:rPr>
        <w:t>左鸿毅</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XXX、XXX、XXX。</w:t>
      </w:r>
    </w:p>
    <w:p w14:paraId="7CE49C12">
      <w:pPr>
        <w:rPr>
          <w:rFonts w:asciiTheme="minorEastAsia" w:hAnsiTheme="minorEastAsia" w:cstheme="minorEastAsia"/>
          <w:kern w:val="0"/>
          <w:szCs w:val="21"/>
        </w:rPr>
      </w:pPr>
      <w:r>
        <w:rPr>
          <w:rFonts w:hint="eastAsia" w:asciiTheme="minorEastAsia" w:hAnsiTheme="minorEastAsia" w:cstheme="minorEastAsia"/>
          <w:kern w:val="0"/>
          <w:szCs w:val="21"/>
        </w:rPr>
        <w:br w:type="page"/>
      </w:r>
    </w:p>
    <w:p w14:paraId="694465EF">
      <w:pPr>
        <w:jc w:val="center"/>
        <w:rPr>
          <w:rFonts w:eastAsia="黑体"/>
          <w:sz w:val="32"/>
        </w:rPr>
      </w:pPr>
      <w:r>
        <w:rPr>
          <w:rFonts w:hint="eastAsia" w:eastAsia="黑体"/>
          <w:sz w:val="32"/>
        </w:rPr>
        <w:t>引</w:t>
      </w:r>
      <w:r>
        <w:rPr>
          <w:rFonts w:eastAsia="黑体"/>
          <w:sz w:val="32"/>
        </w:rPr>
        <w:t xml:space="preserve">   </w:t>
      </w:r>
      <w:bookmarkStart w:id="1" w:name="_GoBack"/>
      <w:bookmarkEnd w:id="1"/>
      <w:r>
        <w:rPr>
          <w:rFonts w:eastAsia="黑体"/>
          <w:sz w:val="32"/>
        </w:rPr>
        <w:t xml:space="preserve"> </w:t>
      </w:r>
      <w:r>
        <w:rPr>
          <w:rFonts w:hint="eastAsia" w:eastAsia="黑体"/>
          <w:sz w:val="32"/>
        </w:rPr>
        <w:t>言</w:t>
      </w:r>
    </w:p>
    <w:p w14:paraId="6752ACB9">
      <w:pPr>
        <w:pStyle w:val="37"/>
        <w:ind w:firstLine="420"/>
        <w:rPr>
          <w:rFonts w:hint="eastAsia" w:ascii="Times New Roman"/>
        </w:rPr>
      </w:pPr>
      <w:r>
        <w:rPr>
          <w:rFonts w:hint="eastAsia" w:ascii="Times New Roman"/>
        </w:rPr>
        <w:t>铝灰渣是铝电解和铝加工过程中产生的产物，铝灰渣化学成分测定方法标准保证对铝灰渣进行有效鉴别和分类处置，从而指导铝电解、铝加工企</w:t>
      </w:r>
      <w:r>
        <w:rPr>
          <w:rFonts w:hint="eastAsia" w:ascii="Times New Roman"/>
          <w:color w:val="auto"/>
        </w:rPr>
        <w:t>业和铝再生企业对铝灰渣进行安全高效合</w:t>
      </w:r>
      <w:r>
        <w:rPr>
          <w:rFonts w:hint="eastAsia" w:ascii="Times New Roman"/>
        </w:rPr>
        <w:t>理的资源回收利用，促进铝工业持续发展。YS/T 1179 《铝灰渣化学分析方法》目的在于描述铝灰渣中可溶氟、总氟、金属铝、碳、氮、硅、镁、钙、氯等不同化学元素成分的测定方法。本系列方法在满足行业对铝灰渣生产过程中的工艺指导和对铝灰渣的资源回收利用的要求，在增加检测结果的可靠性和实用性等方面具有重要意义。</w:t>
      </w:r>
    </w:p>
    <w:p w14:paraId="10B8DC05">
      <w:pPr>
        <w:pStyle w:val="37"/>
        <w:ind w:firstLine="420"/>
        <w:rPr>
          <w:rFonts w:ascii="Times New Roman"/>
        </w:rPr>
      </w:pPr>
      <w:r>
        <w:rPr>
          <w:rFonts w:hint="eastAsia" w:ascii="Times New Roman"/>
        </w:rPr>
        <w:t>YS/T 1179《铝灰渣化学分析方法》由</w:t>
      </w:r>
      <w:r>
        <w:rPr>
          <w:rFonts w:hint="eastAsia" w:ascii="Times New Roman"/>
          <w:lang w:val="en-US" w:eastAsia="zh-CN"/>
        </w:rPr>
        <w:t>5</w:t>
      </w:r>
      <w:r>
        <w:rPr>
          <w:rFonts w:hint="eastAsia" w:ascii="Times New Roman"/>
        </w:rPr>
        <w:t>部分构成。</w:t>
      </w:r>
    </w:p>
    <w:p w14:paraId="385B734B">
      <w:pPr>
        <w:ind w:firstLine="420" w:firstLineChars="200"/>
        <w:rPr>
          <w:rFonts w:hint="eastAsia" w:ascii="宋体" w:hAnsi="宋体" w:cs="宋体"/>
          <w:szCs w:val="21"/>
          <w:lang w:val="de-DE"/>
        </w:rPr>
      </w:pPr>
      <w:r>
        <w:rPr>
          <w:rFonts w:hint="eastAsia" w:ascii="宋体" w:hAnsi="宋体"/>
          <w:szCs w:val="21"/>
          <w:lang w:val="de-DE"/>
        </w:rPr>
        <w:t>——</w:t>
      </w:r>
      <w:r>
        <w:rPr>
          <w:rFonts w:hint="eastAsia" w:ascii="宋体" w:hAnsi="宋体" w:cs="宋体"/>
          <w:szCs w:val="21"/>
        </w:rPr>
        <w:t>第</w:t>
      </w:r>
      <w:r>
        <w:rPr>
          <w:rFonts w:hint="eastAsia" w:ascii="宋体" w:hAnsi="宋体" w:cs="宋体"/>
          <w:szCs w:val="21"/>
          <w:lang w:val="de-DE"/>
        </w:rPr>
        <w:t>1</w:t>
      </w:r>
      <w:r>
        <w:rPr>
          <w:rFonts w:hint="eastAsia" w:ascii="宋体" w:hAnsi="宋体" w:cs="宋体"/>
          <w:szCs w:val="21"/>
        </w:rPr>
        <w:t>部分</w:t>
      </w:r>
      <w:r>
        <w:rPr>
          <w:rFonts w:hint="eastAsia" w:ascii="宋体" w:hAnsi="宋体" w:cs="宋体"/>
          <w:szCs w:val="21"/>
          <w:lang w:val="de-DE"/>
        </w:rPr>
        <w:t>：氟</w:t>
      </w:r>
      <w:r>
        <w:rPr>
          <w:rFonts w:ascii="宋体" w:hAnsi="宋体" w:cs="宋体"/>
          <w:szCs w:val="21"/>
          <w:lang w:val="de-DE"/>
        </w:rPr>
        <w:t>含量的测定</w:t>
      </w:r>
      <w:r>
        <w:rPr>
          <w:rFonts w:hint="eastAsia" w:ascii="宋体" w:hAnsi="宋体" w:cs="宋体"/>
          <w:szCs w:val="21"/>
          <w:lang w:val="de-DE"/>
        </w:rPr>
        <w:t xml:space="preserve">； </w:t>
      </w:r>
    </w:p>
    <w:p w14:paraId="4FEB1261">
      <w:pPr>
        <w:ind w:firstLine="420" w:firstLineChars="200"/>
        <w:rPr>
          <w:rFonts w:hint="eastAsia" w:ascii="宋体" w:hAnsi="宋体" w:cs="宋体"/>
          <w:szCs w:val="21"/>
          <w:lang w:val="de-DE"/>
        </w:rPr>
      </w:pPr>
      <w:r>
        <w:rPr>
          <w:rFonts w:hint="eastAsia" w:ascii="宋体" w:hAnsi="宋体" w:cs="宋体"/>
          <w:szCs w:val="21"/>
          <w:lang w:val="de-DE"/>
        </w:rPr>
        <w:t>——</w:t>
      </w:r>
      <w:r>
        <w:rPr>
          <w:rFonts w:hint="eastAsia" w:ascii="宋体" w:hAnsi="宋体" w:cs="宋体"/>
          <w:szCs w:val="21"/>
        </w:rPr>
        <w:t>第</w:t>
      </w:r>
      <w:r>
        <w:rPr>
          <w:rFonts w:hint="eastAsia" w:ascii="宋体" w:hAnsi="宋体" w:cs="宋体"/>
          <w:szCs w:val="21"/>
          <w:lang w:val="de-DE"/>
        </w:rPr>
        <w:t>2</w:t>
      </w:r>
      <w:r>
        <w:rPr>
          <w:rFonts w:hint="eastAsia" w:ascii="宋体" w:hAnsi="宋体" w:cs="宋体"/>
          <w:szCs w:val="21"/>
        </w:rPr>
        <w:t>部分</w:t>
      </w:r>
      <w:r>
        <w:rPr>
          <w:rFonts w:hint="eastAsia" w:ascii="宋体" w:hAnsi="宋体" w:cs="宋体"/>
          <w:szCs w:val="21"/>
          <w:lang w:val="de-DE"/>
        </w:rPr>
        <w:t>：金属铝</w:t>
      </w:r>
      <w:r>
        <w:rPr>
          <w:rFonts w:ascii="宋体" w:hAnsi="宋体" w:cs="宋体"/>
          <w:szCs w:val="21"/>
          <w:lang w:val="de-DE"/>
        </w:rPr>
        <w:t>含量的测定</w:t>
      </w:r>
      <w:r>
        <w:rPr>
          <w:rFonts w:hint="eastAsia" w:ascii="宋体" w:hAnsi="宋体" w:cs="宋体"/>
          <w:szCs w:val="21"/>
          <w:lang w:val="de-DE"/>
        </w:rPr>
        <w:t xml:space="preserve"> 气体容量法 ；</w:t>
      </w:r>
    </w:p>
    <w:p w14:paraId="476C539D">
      <w:pPr>
        <w:ind w:firstLine="420" w:firstLineChars="200"/>
        <w:rPr>
          <w:rFonts w:hint="eastAsia" w:ascii="宋体" w:hAnsi="宋体" w:cs="宋体"/>
          <w:szCs w:val="21"/>
          <w:lang w:val="de-DE"/>
        </w:rPr>
      </w:pPr>
      <w:r>
        <w:rPr>
          <w:rFonts w:hint="eastAsia" w:ascii="宋体" w:hAnsi="宋体"/>
          <w:szCs w:val="21"/>
          <w:lang w:val="de-DE"/>
        </w:rPr>
        <w:t>——</w:t>
      </w:r>
      <w:r>
        <w:rPr>
          <w:rFonts w:hint="eastAsia" w:ascii="宋体" w:hAnsi="宋体" w:cs="宋体"/>
          <w:szCs w:val="21"/>
        </w:rPr>
        <w:t>第</w:t>
      </w:r>
      <w:r>
        <w:rPr>
          <w:rFonts w:hint="eastAsia" w:ascii="宋体" w:hAnsi="宋体" w:cs="宋体"/>
          <w:szCs w:val="21"/>
          <w:lang w:val="de-DE"/>
        </w:rPr>
        <w:t>3</w:t>
      </w:r>
      <w:r>
        <w:rPr>
          <w:rFonts w:hint="eastAsia" w:ascii="宋体" w:hAnsi="宋体" w:cs="宋体"/>
          <w:szCs w:val="21"/>
        </w:rPr>
        <w:t>部分</w:t>
      </w:r>
      <w:r>
        <w:rPr>
          <w:rFonts w:hint="eastAsia" w:ascii="宋体" w:hAnsi="宋体" w:cs="宋体"/>
          <w:szCs w:val="21"/>
          <w:lang w:val="de-DE"/>
        </w:rPr>
        <w:t>：碳、氮</w:t>
      </w:r>
      <w:r>
        <w:rPr>
          <w:rFonts w:ascii="宋体" w:hAnsi="宋体" w:cs="宋体"/>
          <w:szCs w:val="21"/>
          <w:lang w:val="de-DE"/>
        </w:rPr>
        <w:t>含量的测定</w:t>
      </w:r>
      <w:r>
        <w:rPr>
          <w:rFonts w:hint="eastAsia" w:ascii="宋体" w:hAnsi="宋体" w:cs="宋体"/>
          <w:szCs w:val="21"/>
          <w:lang w:val="de-DE"/>
        </w:rPr>
        <w:t>；</w:t>
      </w:r>
    </w:p>
    <w:p w14:paraId="59EAA41E">
      <w:pPr>
        <w:ind w:firstLine="420" w:firstLineChars="200"/>
        <w:rPr>
          <w:rFonts w:hint="eastAsia" w:ascii="宋体" w:hAnsi="宋体" w:cs="宋体" w:eastAsiaTheme="minorEastAsia"/>
          <w:szCs w:val="21"/>
          <w:lang w:val="de-DE" w:eastAsia="zh-CN"/>
        </w:rPr>
      </w:pPr>
      <w:r>
        <w:rPr>
          <w:rFonts w:hint="eastAsia" w:ascii="宋体" w:hAnsi="宋体" w:cs="宋体"/>
          <w:szCs w:val="21"/>
          <w:lang w:val="de-DE"/>
        </w:rPr>
        <w:t>——</w:t>
      </w:r>
      <w:r>
        <w:rPr>
          <w:rFonts w:hint="eastAsia" w:ascii="宋体" w:hAnsi="宋体" w:cs="宋体"/>
          <w:szCs w:val="21"/>
        </w:rPr>
        <w:t>第</w:t>
      </w:r>
      <w:r>
        <w:rPr>
          <w:rFonts w:hint="eastAsia" w:ascii="宋体" w:hAnsi="宋体" w:cs="宋体"/>
          <w:szCs w:val="21"/>
          <w:lang w:val="de-DE"/>
        </w:rPr>
        <w:t>4</w:t>
      </w:r>
      <w:r>
        <w:rPr>
          <w:rFonts w:hint="eastAsia" w:ascii="宋体" w:hAnsi="宋体" w:cs="宋体"/>
          <w:szCs w:val="21"/>
        </w:rPr>
        <w:t>部分</w:t>
      </w:r>
      <w:r>
        <w:rPr>
          <w:rFonts w:hint="eastAsia" w:ascii="宋体" w:hAnsi="宋体" w:cs="宋体"/>
          <w:szCs w:val="21"/>
          <w:lang w:val="de-DE"/>
        </w:rPr>
        <w:t>：硅、镁、钙</w:t>
      </w:r>
      <w:r>
        <w:rPr>
          <w:rFonts w:ascii="宋体" w:hAnsi="宋体" w:cs="宋体"/>
          <w:szCs w:val="21"/>
          <w:lang w:val="de-DE"/>
        </w:rPr>
        <w:t>含量的测定</w:t>
      </w:r>
      <w:r>
        <w:rPr>
          <w:rFonts w:hint="eastAsia" w:ascii="宋体" w:hAnsi="宋体" w:cs="宋体"/>
          <w:szCs w:val="21"/>
          <w:lang w:val="de-DE"/>
        </w:rPr>
        <w:t xml:space="preserve"> 电感耦合等离子体发射光谱法</w:t>
      </w:r>
      <w:r>
        <w:rPr>
          <w:rFonts w:hint="eastAsia" w:ascii="宋体" w:hAnsi="宋体" w:cs="宋体"/>
          <w:szCs w:val="21"/>
          <w:lang w:val="de-DE" w:eastAsia="zh-CN"/>
        </w:rPr>
        <w:t>；</w:t>
      </w:r>
    </w:p>
    <w:p w14:paraId="18CC446F">
      <w:pPr>
        <w:ind w:firstLine="420" w:firstLineChars="200"/>
        <w:rPr>
          <w:rFonts w:hint="eastAsia" w:ascii="宋体" w:hAnsi="宋体" w:cs="宋体"/>
          <w:szCs w:val="21"/>
          <w:lang w:val="de-DE"/>
        </w:rPr>
      </w:pPr>
      <w:r>
        <w:rPr>
          <w:rFonts w:hint="eastAsia" w:ascii="宋体" w:hAnsi="宋体" w:cs="宋体"/>
          <w:szCs w:val="21"/>
          <w:lang w:val="de-DE"/>
        </w:rPr>
        <w:t>——</w:t>
      </w:r>
      <w:r>
        <w:rPr>
          <w:rFonts w:hint="eastAsia" w:ascii="宋体" w:hAnsi="宋体" w:cs="宋体"/>
          <w:szCs w:val="21"/>
        </w:rPr>
        <w:t>第</w:t>
      </w:r>
      <w:r>
        <w:rPr>
          <w:rFonts w:hint="eastAsia" w:ascii="宋体" w:hAnsi="宋体" w:cs="宋体"/>
          <w:szCs w:val="21"/>
          <w:lang w:val="en-US" w:eastAsia="zh-CN"/>
        </w:rPr>
        <w:t>5</w:t>
      </w:r>
      <w:r>
        <w:rPr>
          <w:rFonts w:hint="eastAsia" w:ascii="宋体" w:hAnsi="宋体" w:cs="宋体"/>
          <w:szCs w:val="21"/>
        </w:rPr>
        <w:t>部分</w:t>
      </w:r>
      <w:r>
        <w:rPr>
          <w:rFonts w:hint="eastAsia" w:ascii="宋体" w:hAnsi="宋体" w:cs="宋体"/>
          <w:szCs w:val="21"/>
          <w:lang w:val="de-DE"/>
        </w:rPr>
        <w:t>：</w:t>
      </w:r>
      <w:r>
        <w:rPr>
          <w:rFonts w:hint="eastAsia" w:ascii="宋体" w:hAnsi="宋体" w:cs="宋体"/>
          <w:szCs w:val="21"/>
          <w:lang w:val="de-DE" w:eastAsia="zh-CN"/>
        </w:rPr>
        <w:t>氯</w:t>
      </w:r>
      <w:r>
        <w:rPr>
          <w:rFonts w:ascii="宋体" w:hAnsi="宋体" w:cs="宋体"/>
          <w:szCs w:val="21"/>
          <w:lang w:val="de-DE"/>
        </w:rPr>
        <w:t>含量的测定</w:t>
      </w:r>
      <w:r>
        <w:rPr>
          <w:rFonts w:hint="eastAsia" w:ascii="宋体" w:hAnsi="宋体" w:cs="宋体"/>
          <w:szCs w:val="21"/>
          <w:lang w:val="de-DE"/>
        </w:rPr>
        <w:t>。</w:t>
      </w:r>
    </w:p>
    <w:p w14:paraId="2C12E49E">
      <w:pPr>
        <w:ind w:firstLine="420" w:firstLineChars="200"/>
        <w:rPr>
          <w:rFonts w:hint="eastAsia" w:asciiTheme="minorEastAsia" w:hAnsiTheme="minorEastAsia" w:cstheme="minorEastAsia"/>
          <w:szCs w:val="21"/>
        </w:rPr>
      </w:pPr>
      <w:r>
        <w:rPr>
          <w:rFonts w:hint="eastAsia" w:ascii="Times New Roman"/>
        </w:rPr>
        <w:t>本部分描述了采用</w:t>
      </w:r>
      <w:r>
        <w:rPr>
          <w:rFonts w:hint="eastAsia" w:ascii="Times New Roman"/>
          <w:lang w:eastAsia="zh-CN"/>
        </w:rPr>
        <w:t>滴定法</w:t>
      </w:r>
      <w:r>
        <w:rPr>
          <w:rFonts w:hint="eastAsia" w:ascii="Times New Roman"/>
        </w:rPr>
        <w:t>测定铝灰渣中</w:t>
      </w:r>
      <w:r>
        <w:rPr>
          <w:rFonts w:hint="eastAsia" w:ascii="Times New Roman"/>
          <w:lang w:eastAsia="zh-CN"/>
        </w:rPr>
        <w:t>氯</w:t>
      </w:r>
      <w:r>
        <w:rPr>
          <w:rFonts w:hint="eastAsia" w:ascii="Times New Roman"/>
        </w:rPr>
        <w:t>的方法。</w:t>
      </w:r>
      <w:r>
        <w:rPr>
          <w:rFonts w:hint="eastAsia" w:asciiTheme="minorEastAsia" w:hAnsiTheme="minorEastAsia" w:cstheme="minorEastAsia"/>
          <w:szCs w:val="21"/>
          <w:lang w:eastAsia="zh-CN"/>
        </w:rPr>
        <w:t>氯</w:t>
      </w:r>
      <w:r>
        <w:rPr>
          <w:rFonts w:hint="eastAsia" w:asciiTheme="minorEastAsia" w:hAnsiTheme="minorEastAsia" w:cstheme="minorEastAsia"/>
          <w:szCs w:val="21"/>
        </w:rPr>
        <w:t>是铝灰渣中的重要元素，</w:t>
      </w:r>
      <w:r>
        <w:rPr>
          <w:rFonts w:hint="eastAsia" w:ascii="宋体" w:hAnsi="宋体"/>
          <w:bCs/>
          <w:kern w:val="2"/>
          <w:sz w:val="21"/>
          <w:szCs w:val="21"/>
        </w:rPr>
        <w:t>在</w:t>
      </w:r>
      <w:r>
        <w:rPr>
          <w:rFonts w:hint="eastAsia" w:ascii="宋体" w:hAnsi="宋体"/>
          <w:bCs/>
          <w:kern w:val="2"/>
          <w:sz w:val="21"/>
          <w:szCs w:val="21"/>
          <w:lang w:eastAsia="zh-CN"/>
        </w:rPr>
        <w:t>铝灰渣</w:t>
      </w:r>
      <w:r>
        <w:rPr>
          <w:rFonts w:hint="eastAsia" w:ascii="宋体" w:hAnsi="宋体"/>
          <w:bCs/>
          <w:kern w:val="2"/>
          <w:sz w:val="21"/>
          <w:szCs w:val="21"/>
        </w:rPr>
        <w:t>处理过程中，氯离子</w:t>
      </w:r>
      <w:r>
        <w:rPr>
          <w:rFonts w:hint="eastAsia" w:ascii="宋体" w:hAnsi="宋体"/>
          <w:bCs/>
          <w:kern w:val="2"/>
          <w:sz w:val="21"/>
          <w:szCs w:val="21"/>
          <w:lang w:eastAsia="zh-CN"/>
        </w:rPr>
        <w:t>既</w:t>
      </w:r>
      <w:r>
        <w:rPr>
          <w:rFonts w:hint="eastAsia" w:ascii="宋体" w:hAnsi="宋体"/>
          <w:bCs/>
          <w:kern w:val="2"/>
          <w:sz w:val="21"/>
          <w:szCs w:val="21"/>
        </w:rPr>
        <w:t>是一种可回收的资源，也是铝灰渣回收</w:t>
      </w:r>
      <w:r>
        <w:rPr>
          <w:rFonts w:hint="eastAsia" w:ascii="宋体" w:hAnsi="宋体"/>
          <w:bCs/>
          <w:kern w:val="2"/>
          <w:sz w:val="21"/>
          <w:szCs w:val="21"/>
          <w:lang w:eastAsia="zh-CN"/>
        </w:rPr>
        <w:t>利</w:t>
      </w:r>
      <w:r>
        <w:rPr>
          <w:rFonts w:hint="eastAsia" w:ascii="宋体" w:hAnsi="宋体"/>
          <w:bCs/>
          <w:kern w:val="2"/>
          <w:sz w:val="21"/>
          <w:szCs w:val="21"/>
        </w:rPr>
        <w:t>用生产工艺、设备及环保</w:t>
      </w:r>
      <w:r>
        <w:rPr>
          <w:rFonts w:hint="eastAsia" w:ascii="宋体" w:hAnsi="宋体"/>
          <w:bCs/>
          <w:kern w:val="2"/>
          <w:sz w:val="21"/>
          <w:szCs w:val="21"/>
          <w:lang w:eastAsia="zh-CN"/>
        </w:rPr>
        <w:t>要求的重要</w:t>
      </w:r>
      <w:r>
        <w:rPr>
          <w:rFonts w:hint="eastAsia" w:ascii="宋体" w:hAnsi="宋体"/>
          <w:bCs/>
          <w:kern w:val="2"/>
          <w:sz w:val="21"/>
          <w:szCs w:val="21"/>
        </w:rPr>
        <w:t>管控指标</w:t>
      </w:r>
      <w:r>
        <w:rPr>
          <w:rFonts w:hint="eastAsia" w:ascii="宋体" w:hAnsi="宋体"/>
          <w:bCs/>
          <w:kern w:val="2"/>
          <w:sz w:val="21"/>
          <w:szCs w:val="21"/>
          <w:lang w:eastAsia="zh-CN"/>
        </w:rPr>
        <w:t>。</w:t>
      </w:r>
      <w:r>
        <w:rPr>
          <w:rFonts w:hint="eastAsia" w:asciiTheme="minorEastAsia" w:hAnsiTheme="minorEastAsia" w:cstheme="minorEastAsia"/>
          <w:szCs w:val="21"/>
          <w:lang w:eastAsia="zh-CN"/>
        </w:rPr>
        <w:t>氯</w:t>
      </w:r>
      <w:r>
        <w:rPr>
          <w:rFonts w:hint="eastAsia" w:asciiTheme="minorEastAsia" w:hAnsiTheme="minorEastAsia" w:cstheme="minorEastAsia"/>
          <w:szCs w:val="21"/>
        </w:rPr>
        <w:t>含量的测定，对指导铝灰渣的鉴定、分类、处置与资源化利用具有重要意义。</w:t>
      </w:r>
    </w:p>
    <w:p w14:paraId="7FAE7325">
      <w:pPr>
        <w:sectPr>
          <w:headerReference r:id="rId4" w:type="first"/>
          <w:headerReference r:id="rId3" w:type="default"/>
          <w:pgSz w:w="11907" w:h="16840"/>
          <w:pgMar w:top="1418" w:right="1418" w:bottom="1418" w:left="1418" w:header="851" w:footer="992" w:gutter="0"/>
          <w:cols w:space="425" w:num="1"/>
          <w:titlePg/>
          <w:docGrid w:type="linesAndChars" w:linePitch="312" w:charSpace="0"/>
        </w:sectPr>
      </w:pPr>
    </w:p>
    <w:p w14:paraId="36A1CB6E">
      <w:pPr>
        <w:jc w:val="center"/>
        <w:rPr>
          <w:rFonts w:ascii="黑体" w:hAnsi="黑体" w:eastAsia="黑体"/>
          <w:sz w:val="28"/>
          <w:szCs w:val="28"/>
        </w:rPr>
      </w:pPr>
      <w:r>
        <w:rPr>
          <w:rFonts w:hint="eastAsia" w:ascii="黑体" w:hAnsi="黑体" w:eastAsia="黑体"/>
          <w:sz w:val="28"/>
          <w:szCs w:val="28"/>
        </w:rPr>
        <w:t>铝灰渣化学分析方法</w:t>
      </w:r>
    </w:p>
    <w:p w14:paraId="780602AA">
      <w:pPr>
        <w:snapToGrid w:val="0"/>
        <w:jc w:val="center"/>
        <w:rPr>
          <w:rFonts w:ascii="黑体" w:hAnsi="黑体" w:eastAsia="黑体"/>
          <w:sz w:val="28"/>
          <w:szCs w:val="28"/>
        </w:rPr>
      </w:pPr>
      <w:r>
        <w:rPr>
          <w:rFonts w:hint="eastAsia" w:ascii="黑体" w:hAnsi="黑体" w:eastAsia="黑体"/>
          <w:sz w:val="28"/>
          <w:szCs w:val="28"/>
        </w:rPr>
        <w:t>第</w:t>
      </w:r>
      <w:r>
        <w:rPr>
          <w:rFonts w:hint="eastAsia" w:ascii="黑体" w:hAnsi="黑体" w:eastAsia="黑体"/>
          <w:sz w:val="28"/>
          <w:szCs w:val="28"/>
          <w:lang w:val="en-US" w:eastAsia="zh-CN"/>
        </w:rPr>
        <w:t>5</w:t>
      </w:r>
      <w:r>
        <w:rPr>
          <w:rFonts w:hint="eastAsia" w:ascii="黑体" w:hAnsi="黑体" w:eastAsia="黑体"/>
          <w:sz w:val="28"/>
          <w:szCs w:val="28"/>
        </w:rPr>
        <w:t>部分：氯含量的测定</w:t>
      </w:r>
    </w:p>
    <w:p w14:paraId="19A13B15">
      <w:pPr>
        <w:snapToGrid w:val="0"/>
        <w:spacing w:line="360" w:lineRule="auto"/>
        <w:jc w:val="center"/>
        <w:rPr>
          <w:rFonts w:ascii="黑体" w:hAnsi="黑体" w:eastAsia="黑体"/>
          <w:sz w:val="28"/>
          <w:szCs w:val="28"/>
        </w:rPr>
      </w:pPr>
    </w:p>
    <w:p w14:paraId="596449E7">
      <w:pPr>
        <w:numPr>
          <w:ilvl w:val="0"/>
          <w:numId w:val="3"/>
        </w:numPr>
        <w:spacing w:before="156" w:beforeLines="50" w:after="156" w:afterLines="50" w:line="360" w:lineRule="auto"/>
        <w:ind w:left="363" w:hanging="363"/>
        <w:jc w:val="left"/>
        <w:rPr>
          <w:rFonts w:eastAsia="黑体"/>
          <w:szCs w:val="21"/>
        </w:rPr>
      </w:pPr>
      <w:r>
        <w:rPr>
          <w:rFonts w:ascii="黑体" w:eastAsia="黑体"/>
          <w:szCs w:val="21"/>
        </w:rPr>
        <w:t>范围</w:t>
      </w:r>
    </w:p>
    <w:p w14:paraId="77740260">
      <w:pPr>
        <w:ind w:firstLine="420" w:firstLineChars="200"/>
        <w:rPr>
          <w:rFonts w:ascii="宋体" w:hAnsi="宋体" w:eastAsia="宋体" w:cs="Times New Roman"/>
          <w:szCs w:val="21"/>
        </w:rPr>
      </w:pPr>
      <w:r>
        <w:rPr>
          <w:rFonts w:ascii="宋体" w:hAnsi="宋体" w:eastAsia="宋体" w:cs="Times New Roman"/>
          <w:szCs w:val="21"/>
        </w:rPr>
        <w:t>本</w:t>
      </w:r>
      <w:r>
        <w:rPr>
          <w:rFonts w:hint="eastAsia" w:ascii="宋体" w:hAnsi="宋体" w:eastAsia="宋体" w:cs="Times New Roman"/>
          <w:szCs w:val="21"/>
        </w:rPr>
        <w:t>文件描述</w:t>
      </w:r>
      <w:r>
        <w:rPr>
          <w:rFonts w:ascii="宋体" w:hAnsi="宋体" w:eastAsia="宋体" w:cs="Times New Roman"/>
          <w:szCs w:val="21"/>
        </w:rPr>
        <w:t>了铝</w:t>
      </w:r>
      <w:r>
        <w:rPr>
          <w:rFonts w:hint="eastAsia" w:ascii="宋体" w:hAnsi="宋体" w:eastAsia="宋体" w:cs="Times New Roman"/>
          <w:szCs w:val="21"/>
        </w:rPr>
        <w:t>灰渣</w:t>
      </w:r>
      <w:r>
        <w:rPr>
          <w:rFonts w:ascii="宋体" w:hAnsi="宋体" w:eastAsia="宋体" w:cs="Times New Roman"/>
          <w:szCs w:val="21"/>
        </w:rPr>
        <w:t>中</w:t>
      </w:r>
      <w:r>
        <w:rPr>
          <w:rFonts w:hint="eastAsia" w:ascii="宋体" w:hAnsi="宋体" w:eastAsia="宋体" w:cs="Times New Roman"/>
          <w:szCs w:val="21"/>
        </w:rPr>
        <w:t>氯</w:t>
      </w:r>
      <w:r>
        <w:rPr>
          <w:rFonts w:ascii="宋体" w:hAnsi="宋体" w:eastAsia="宋体" w:cs="Times New Roman"/>
          <w:szCs w:val="21"/>
        </w:rPr>
        <w:t>含量的测定方法。</w:t>
      </w:r>
    </w:p>
    <w:p w14:paraId="388C0673">
      <w:pPr>
        <w:ind w:firstLine="420" w:firstLineChars="200"/>
        <w:rPr>
          <w:rFonts w:ascii="宋体" w:hAnsi="宋体" w:eastAsia="宋体" w:cs="Times New Roman"/>
          <w:szCs w:val="21"/>
        </w:rPr>
      </w:pPr>
      <w:r>
        <w:rPr>
          <w:szCs w:val="21"/>
        </w:rPr>
        <w:t>本</w:t>
      </w:r>
      <w:r>
        <w:rPr>
          <w:rFonts w:hint="eastAsia"/>
          <w:szCs w:val="21"/>
        </w:rPr>
        <w:t>文件</w:t>
      </w:r>
      <w:r>
        <w:rPr>
          <w:szCs w:val="21"/>
        </w:rPr>
        <w:t>适用于</w:t>
      </w:r>
      <w:r>
        <w:rPr>
          <w:rFonts w:hint="eastAsia"/>
          <w:szCs w:val="21"/>
        </w:rPr>
        <w:t>铝灰渣中氯</w:t>
      </w:r>
      <w:r>
        <w:rPr>
          <w:szCs w:val="21"/>
        </w:rPr>
        <w:t>含量</w:t>
      </w:r>
      <w:r>
        <w:rPr>
          <w:rFonts w:hint="eastAsia"/>
          <w:szCs w:val="21"/>
        </w:rPr>
        <w:t>的分析</w:t>
      </w:r>
      <w:r>
        <w:rPr>
          <w:rFonts w:ascii="宋体" w:hAnsi="宋体" w:eastAsia="宋体" w:cs="Times New Roman"/>
          <w:szCs w:val="21"/>
        </w:rPr>
        <w:t>。测定范围</w:t>
      </w:r>
      <w:r>
        <w:rPr>
          <w:rFonts w:hint="eastAsia" w:ascii="宋体" w:hAnsi="宋体" w:eastAsia="宋体" w:cs="Times New Roman"/>
          <w:szCs w:val="21"/>
        </w:rPr>
        <w:t>：0.</w:t>
      </w:r>
      <w:r>
        <w:rPr>
          <w:rFonts w:hint="eastAsia" w:ascii="宋体" w:hAnsi="宋体" w:eastAsia="宋体" w:cs="Times New Roman"/>
          <w:szCs w:val="21"/>
          <w:lang w:val="en-US" w:eastAsia="zh-CN"/>
        </w:rPr>
        <w:t>5</w:t>
      </w:r>
      <w:r>
        <w:rPr>
          <w:rFonts w:hint="eastAsia" w:ascii="宋体" w:hAnsi="宋体" w:eastAsia="宋体" w:cs="Times New Roman"/>
          <w:szCs w:val="21"/>
        </w:rPr>
        <w:t>0</w:t>
      </w:r>
      <w:r>
        <w:rPr>
          <w:rFonts w:ascii="宋体" w:hAnsi="宋体" w:eastAsia="宋体" w:cs="Times New Roman"/>
          <w:szCs w:val="21"/>
        </w:rPr>
        <w:t>%～</w:t>
      </w:r>
      <w:r>
        <w:rPr>
          <w:rFonts w:hint="eastAsia" w:ascii="宋体" w:hAnsi="宋体" w:eastAsia="宋体" w:cs="Times New Roman"/>
          <w:szCs w:val="21"/>
        </w:rPr>
        <w:t>26.00</w:t>
      </w:r>
      <w:r>
        <w:rPr>
          <w:rFonts w:ascii="宋体" w:hAnsi="宋体" w:eastAsia="宋体" w:cs="Times New Roman"/>
          <w:szCs w:val="21"/>
        </w:rPr>
        <w:t>%。</w:t>
      </w:r>
    </w:p>
    <w:p w14:paraId="6EE04111">
      <w:pPr>
        <w:numPr>
          <w:ilvl w:val="0"/>
          <w:numId w:val="3"/>
        </w:numPr>
        <w:spacing w:before="156" w:beforeLines="50" w:after="156" w:afterLines="50" w:line="360" w:lineRule="auto"/>
        <w:ind w:left="357" w:hanging="357"/>
        <w:jc w:val="left"/>
        <w:rPr>
          <w:rFonts w:ascii="黑体" w:eastAsia="黑体"/>
          <w:szCs w:val="21"/>
        </w:rPr>
      </w:pPr>
      <w:r>
        <w:rPr>
          <w:rFonts w:hint="eastAsia" w:ascii="黑体" w:eastAsia="黑体"/>
          <w:szCs w:val="21"/>
        </w:rPr>
        <w:t>规范性引用文件</w:t>
      </w:r>
    </w:p>
    <w:p w14:paraId="2C2D1A78">
      <w:pPr>
        <w:snapToGrid w:val="0"/>
        <w:ind w:firstLine="420"/>
        <w:rPr>
          <w:rFonts w:asciiTheme="minorEastAsia" w:hAnsiTheme="minorEastAsia" w:cstheme="minorEastAsia"/>
        </w:rPr>
      </w:pPr>
      <w:r>
        <w:rPr>
          <w:rFonts w:hint="eastAsia" w:asciiTheme="minorEastAsia" w:hAnsiTheme="minorEastAsia" w:cstheme="minor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95D39A5">
      <w:pPr>
        <w:pStyle w:val="37"/>
        <w:ind w:firstLine="420"/>
        <w:rPr>
          <w:rFonts w:asciiTheme="minorEastAsia" w:hAnsiTheme="minorEastAsia" w:eastAsiaTheme="minorEastAsia" w:cstheme="minorEastAsia"/>
          <w:bCs/>
        </w:rPr>
      </w:pPr>
      <w:r>
        <w:rPr>
          <w:rFonts w:hint="eastAsia" w:asciiTheme="minorEastAsia" w:hAnsiTheme="minorEastAsia" w:eastAsiaTheme="minorEastAsia" w:cstheme="minorEastAsia"/>
          <w:bCs/>
        </w:rPr>
        <w:t>GB/T 6682</w:t>
      </w:r>
      <w:r>
        <w:rPr>
          <w:rFonts w:asciiTheme="minorEastAsia" w:hAnsiTheme="minorEastAsia" w:eastAsiaTheme="minorEastAsia" w:cstheme="minorEastAsia"/>
          <w:bCs/>
        </w:rPr>
        <w:t xml:space="preserve">  </w:t>
      </w:r>
      <w:r>
        <w:rPr>
          <w:rFonts w:hint="eastAsia" w:asciiTheme="minorEastAsia" w:hAnsiTheme="minorEastAsia" w:eastAsiaTheme="minorEastAsia" w:cstheme="minorEastAsia"/>
          <w:bCs/>
        </w:rPr>
        <w:t>分析实验室用水规格和试验方法</w:t>
      </w:r>
    </w:p>
    <w:p w14:paraId="687956CA">
      <w:pPr>
        <w:pStyle w:val="37"/>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xml:space="preserve">GB/T 8005.4 </w:t>
      </w:r>
      <w:r>
        <w:rPr>
          <w:rFonts w:asciiTheme="minorEastAsia" w:hAnsiTheme="minorEastAsia" w:eastAsiaTheme="minorEastAsia" w:cstheme="minorEastAsia"/>
        </w:rPr>
        <w:t xml:space="preserve"> </w:t>
      </w:r>
      <w:r>
        <w:rPr>
          <w:rFonts w:hint="eastAsia" w:asciiTheme="minorEastAsia" w:hAnsiTheme="minorEastAsia" w:eastAsiaTheme="minorEastAsia" w:cstheme="minorEastAsia"/>
        </w:rPr>
        <w:t>铝及铝合金术语第4部分：回收铝</w:t>
      </w:r>
    </w:p>
    <w:p w14:paraId="12037A26">
      <w:pPr>
        <w:pStyle w:val="37"/>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GB/T 8170</w:t>
      </w:r>
      <w:r>
        <w:rPr>
          <w:rFonts w:asciiTheme="minorEastAsia" w:hAnsiTheme="minorEastAsia" w:eastAsiaTheme="minorEastAsia" w:cstheme="minorEastAsia"/>
        </w:rPr>
        <w:t xml:space="preserve">  </w:t>
      </w:r>
      <w:r>
        <w:rPr>
          <w:rFonts w:hint="eastAsia" w:asciiTheme="minorEastAsia" w:hAnsiTheme="minorEastAsia" w:eastAsiaTheme="minorEastAsia" w:cstheme="minorEastAsia"/>
        </w:rPr>
        <w:t>数值修约规则与极限数值的表示和判定</w:t>
      </w:r>
    </w:p>
    <w:p w14:paraId="2A71B376">
      <w:pPr>
        <w:pStyle w:val="37"/>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xml:space="preserve">T/CNIA 0226 </w:t>
      </w:r>
      <w:r>
        <w:rPr>
          <w:rFonts w:asciiTheme="minorEastAsia" w:hAnsiTheme="minorEastAsia" w:eastAsiaTheme="minorEastAsia" w:cstheme="minorEastAsia"/>
        </w:rPr>
        <w:t xml:space="preserve"> </w:t>
      </w:r>
      <w:r>
        <w:rPr>
          <w:rFonts w:hint="eastAsia" w:asciiTheme="minorEastAsia" w:hAnsiTheme="minorEastAsia" w:eastAsiaTheme="minorEastAsia" w:cstheme="minorEastAsia"/>
        </w:rPr>
        <w:t>铝及铝合金熔铸废水、废气、废渣控制规范</w:t>
      </w:r>
    </w:p>
    <w:p w14:paraId="66FE7D6C">
      <w:pPr>
        <w:numPr>
          <w:ilvl w:val="0"/>
          <w:numId w:val="3"/>
        </w:numPr>
        <w:spacing w:before="156" w:beforeLines="50" w:after="156" w:afterLines="50" w:line="360" w:lineRule="auto"/>
        <w:ind w:left="357" w:hanging="357"/>
        <w:jc w:val="left"/>
        <w:rPr>
          <w:rFonts w:ascii="黑体" w:eastAsia="黑体"/>
          <w:szCs w:val="21"/>
        </w:rPr>
      </w:pPr>
      <w:r>
        <w:rPr>
          <w:rFonts w:hint="eastAsia" w:ascii="黑体" w:eastAsia="黑体"/>
          <w:szCs w:val="21"/>
        </w:rPr>
        <w:t>术语和定义</w:t>
      </w:r>
    </w:p>
    <w:p w14:paraId="4C1E83FB">
      <w:pPr>
        <w:pStyle w:val="37"/>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GB/T 8005.4和T/CNIA 0226界定的术语和定义适用于本文件。</w:t>
      </w:r>
    </w:p>
    <w:p w14:paraId="49BA15AA">
      <w:pPr>
        <w:numPr>
          <w:ilvl w:val="0"/>
          <w:numId w:val="3"/>
        </w:numPr>
        <w:spacing w:before="156" w:beforeLines="50" w:after="156" w:afterLines="50" w:line="360" w:lineRule="auto"/>
        <w:ind w:left="363" w:hanging="363"/>
        <w:jc w:val="left"/>
        <w:rPr>
          <w:rFonts w:ascii="黑体" w:hAnsi="黑体" w:eastAsia="黑体"/>
          <w:szCs w:val="21"/>
        </w:rPr>
      </w:pPr>
      <w:r>
        <w:rPr>
          <w:rFonts w:hint="eastAsia" w:ascii="黑体" w:eastAsia="黑体"/>
          <w:szCs w:val="21"/>
        </w:rPr>
        <w:t>方法</w:t>
      </w:r>
      <w:r>
        <w:rPr>
          <w:rFonts w:hint="eastAsia" w:ascii="黑体" w:hAnsi="黑体" w:eastAsia="黑体"/>
          <w:szCs w:val="21"/>
        </w:rPr>
        <w:t>概述</w:t>
      </w:r>
    </w:p>
    <w:p w14:paraId="02DE00AA">
      <w:pPr>
        <w:ind w:firstLine="420" w:firstLineChars="200"/>
        <w:rPr>
          <w:rFonts w:ascii="宋体" w:hAnsi="宋体" w:eastAsia="宋体" w:cs="Times New Roman"/>
          <w:szCs w:val="21"/>
        </w:rPr>
      </w:pPr>
      <w:r>
        <w:rPr>
          <w:rFonts w:hint="eastAsia" w:ascii="宋体" w:hAnsi="宋体" w:eastAsia="宋体" w:cs="Times New Roman"/>
          <w:szCs w:val="21"/>
        </w:rPr>
        <w:t>将试样过筛、研磨，得到铝豆与筛下试样，将筛下试样用碱分解，热水浸取，以硝酸银标准溶液滴定，计算筛下试样的氯离子含量，以此推算出试样氯离子含量。</w:t>
      </w:r>
    </w:p>
    <w:p w14:paraId="19CC2E6F">
      <w:pPr>
        <w:numPr>
          <w:ilvl w:val="0"/>
          <w:numId w:val="3"/>
        </w:numPr>
        <w:spacing w:before="156" w:beforeLines="50" w:after="156" w:afterLines="50" w:line="360" w:lineRule="auto"/>
        <w:ind w:left="363" w:hanging="363"/>
        <w:jc w:val="left"/>
        <w:rPr>
          <w:rFonts w:ascii="黑体" w:hAnsi="黑体" w:eastAsia="黑体"/>
          <w:szCs w:val="21"/>
        </w:rPr>
      </w:pPr>
      <w:r>
        <w:rPr>
          <w:rFonts w:hint="eastAsia" w:ascii="黑体" w:hAnsi="黑体" w:eastAsia="黑体"/>
          <w:szCs w:val="21"/>
        </w:rPr>
        <w:t>试剂或材料</w:t>
      </w:r>
    </w:p>
    <w:p w14:paraId="491E2667">
      <w:pPr>
        <w:snapToGrid w:val="0"/>
        <w:ind w:firstLine="420"/>
        <w:rPr>
          <w:rFonts w:asciiTheme="minorEastAsia" w:hAnsiTheme="minorEastAsia" w:cstheme="minorEastAsia"/>
        </w:rPr>
      </w:pPr>
      <w:r>
        <w:rPr>
          <w:rFonts w:hint="eastAsia" w:asciiTheme="minorEastAsia" w:hAnsiTheme="minorEastAsia" w:cstheme="minorEastAsia"/>
        </w:rPr>
        <w:t>除非另有说明，在分析中仅使用确认为分析纯的试剂和符合GB/T6682规定的二级水。</w:t>
      </w:r>
    </w:p>
    <w:p w14:paraId="24B4123D">
      <w:pPr>
        <w:snapToGrid w:val="0"/>
        <w:rPr>
          <w:rFonts w:ascii="Times New Roman" w:hAnsi="Times New Roman" w:cs="Times New Roman"/>
        </w:rPr>
      </w:pPr>
      <w:r>
        <w:rPr>
          <w:rFonts w:hint="eastAsia" w:ascii="黑体" w:hAnsi="黑体" w:eastAsia="黑体" w:cs="Times New Roman"/>
        </w:rPr>
        <w:t>5</w:t>
      </w:r>
      <w:r>
        <w:rPr>
          <w:rFonts w:ascii="黑体" w:hAnsi="黑体" w:eastAsia="黑体" w:cs="Times New Roman"/>
        </w:rPr>
        <w:t xml:space="preserve">.1  </w:t>
      </w:r>
      <w:r>
        <w:rPr>
          <w:rFonts w:ascii="Times New Roman" w:hAnsi="Times New Roman" w:cs="Times New Roman"/>
        </w:rPr>
        <w:t>氢氧化钠。</w:t>
      </w:r>
    </w:p>
    <w:p w14:paraId="2B2C7951">
      <w:pPr>
        <w:snapToGrid w:val="0"/>
        <w:rPr>
          <w:rFonts w:ascii="Times New Roman" w:hAnsi="Times New Roman" w:cs="Times New Roman"/>
        </w:rPr>
      </w:pPr>
      <w:r>
        <w:rPr>
          <w:rFonts w:hint="eastAsia" w:ascii="黑体" w:hAnsi="黑体" w:eastAsia="黑体" w:cs="Times New Roman"/>
        </w:rPr>
        <w:t>5</w:t>
      </w:r>
      <w:r>
        <w:rPr>
          <w:rFonts w:ascii="黑体" w:hAnsi="黑体" w:eastAsia="黑体" w:cs="Times New Roman"/>
        </w:rPr>
        <w:t>.2</w:t>
      </w:r>
      <w:r>
        <w:rPr>
          <w:rFonts w:ascii="Times New Roman" w:hAnsi="Times New Roman" w:cs="Times New Roman"/>
        </w:rPr>
        <w:t xml:space="preserve">  </w:t>
      </w:r>
      <w:r>
        <w:rPr>
          <w:rFonts w:hint="eastAsia" w:asciiTheme="minorEastAsia" w:hAnsiTheme="minorEastAsia" w:cstheme="minorEastAsia"/>
        </w:rPr>
        <w:t>硝酸溶液（1+9）。</w:t>
      </w:r>
    </w:p>
    <w:p w14:paraId="6436D305">
      <w:pPr>
        <w:snapToGrid w:val="0"/>
        <w:rPr>
          <w:rFonts w:ascii="Times New Roman" w:hAnsi="Times New Roman" w:cs="Times New Roman"/>
        </w:rPr>
      </w:pPr>
      <w:r>
        <w:rPr>
          <w:rFonts w:hint="eastAsia" w:ascii="黑体" w:hAnsi="黑体" w:eastAsia="黑体" w:cs="Times New Roman"/>
        </w:rPr>
        <w:t>5</w:t>
      </w:r>
      <w:r>
        <w:rPr>
          <w:rFonts w:ascii="黑体" w:hAnsi="黑体" w:eastAsia="黑体" w:cs="Times New Roman"/>
        </w:rPr>
        <w:t>.3</w:t>
      </w:r>
      <w:r>
        <w:rPr>
          <w:rFonts w:ascii="Times New Roman" w:hAnsi="Times New Roman" w:cs="Times New Roman"/>
        </w:rPr>
        <w:t xml:space="preserve">  </w:t>
      </w:r>
      <w:r>
        <w:rPr>
          <w:rFonts w:hint="eastAsia" w:asciiTheme="minorEastAsia" w:hAnsiTheme="minorEastAsia" w:cstheme="minorEastAsia"/>
        </w:rPr>
        <w:t>硝酸溶液（1+99）。</w:t>
      </w:r>
    </w:p>
    <w:p w14:paraId="264A424E">
      <w:pPr>
        <w:snapToGrid w:val="0"/>
        <w:rPr>
          <w:rFonts w:ascii="Times New Roman" w:hAnsi="Times New Roman" w:cs="Times New Roman"/>
        </w:rPr>
      </w:pPr>
      <w:r>
        <w:rPr>
          <w:rFonts w:hint="eastAsia" w:ascii="黑体" w:hAnsi="黑体" w:eastAsia="黑体" w:cs="Times New Roman"/>
        </w:rPr>
        <w:t>5</w:t>
      </w:r>
      <w:r>
        <w:rPr>
          <w:rFonts w:ascii="黑体" w:hAnsi="黑体" w:eastAsia="黑体" w:cs="Times New Roman"/>
        </w:rPr>
        <w:t>.4</w:t>
      </w:r>
      <w:r>
        <w:rPr>
          <w:rFonts w:ascii="Times New Roman" w:hAnsi="Times New Roman" w:cs="Times New Roman"/>
        </w:rPr>
        <w:t xml:space="preserve">  </w:t>
      </w:r>
      <w:r>
        <w:rPr>
          <w:rFonts w:hint="eastAsia" w:asciiTheme="minorEastAsia" w:hAnsiTheme="minorEastAsia" w:cstheme="minorEastAsia"/>
        </w:rPr>
        <w:t>氢氧化钠溶液（2g/l）。</w:t>
      </w:r>
    </w:p>
    <w:p w14:paraId="09DE7BDD">
      <w:pPr>
        <w:snapToGrid w:val="0"/>
        <w:rPr>
          <w:rFonts w:asciiTheme="minorEastAsia" w:hAnsiTheme="minorEastAsia" w:cstheme="minorEastAsia"/>
        </w:rPr>
      </w:pPr>
      <w:r>
        <w:rPr>
          <w:rFonts w:hint="eastAsia" w:ascii="黑体" w:hAnsi="黑体" w:eastAsia="黑体" w:cs="Times New Roman"/>
        </w:rPr>
        <w:t>5</w:t>
      </w:r>
      <w:r>
        <w:rPr>
          <w:rFonts w:ascii="黑体" w:hAnsi="黑体" w:eastAsia="黑体" w:cs="Times New Roman"/>
        </w:rPr>
        <w:t>.5</w:t>
      </w:r>
      <w:r>
        <w:rPr>
          <w:rFonts w:ascii="Times New Roman" w:hAnsi="Times New Roman" w:cs="Times New Roman"/>
        </w:rPr>
        <w:t xml:space="preserve">  </w:t>
      </w:r>
      <w:r>
        <w:rPr>
          <w:rFonts w:hint="eastAsia" w:asciiTheme="minorEastAsia" w:hAnsiTheme="minorEastAsia" w:cstheme="minorEastAsia"/>
        </w:rPr>
        <w:t>氯化钠标准溶液（C</w:t>
      </w:r>
      <w:r>
        <w:rPr>
          <w:rFonts w:hint="eastAsia" w:asciiTheme="minorEastAsia" w:hAnsiTheme="minorEastAsia" w:cstheme="minorEastAsia"/>
          <w:vertAlign w:val="subscript"/>
        </w:rPr>
        <w:t>NaCl</w:t>
      </w:r>
      <w:r>
        <w:rPr>
          <w:rFonts w:hint="eastAsia" w:asciiTheme="minorEastAsia" w:hAnsiTheme="minorEastAsia" w:cstheme="minorEastAsia"/>
        </w:rPr>
        <w:t>=0.02000mol/L）：称取在500℃</w:t>
      </w:r>
      <w:r>
        <w:rPr>
          <w:rFonts w:hint="eastAsia" w:ascii="Times New Roman" w:hAnsi="Times New Roman" w:cs="Times New Roman"/>
        </w:rPr>
        <w:t>~</w:t>
      </w:r>
      <w:r>
        <w:rPr>
          <w:rFonts w:hint="eastAsia" w:asciiTheme="minorEastAsia" w:hAnsiTheme="minorEastAsia" w:cstheme="minorEastAsia"/>
        </w:rPr>
        <w:t>600℃下灼烧40min</w:t>
      </w:r>
      <w:r>
        <w:rPr>
          <w:rFonts w:hint="eastAsia" w:ascii="Times New Roman" w:hAnsi="Times New Roman" w:cs="Times New Roman"/>
        </w:rPr>
        <w:t>~</w:t>
      </w:r>
      <w:r>
        <w:rPr>
          <w:rFonts w:hint="eastAsia" w:asciiTheme="minorEastAsia" w:hAnsiTheme="minorEastAsia" w:cstheme="minorEastAsia"/>
        </w:rPr>
        <w:t>50min的氯化钠（优级纯）1.1690g，溶于水中，在容量瓶中稀释至1000mL。</w:t>
      </w:r>
    </w:p>
    <w:p w14:paraId="37427260">
      <w:pPr>
        <w:snapToGrid w:val="0"/>
        <w:rPr>
          <w:rFonts w:ascii="Times New Roman" w:hAnsi="Times New Roman" w:cs="Times New Roman"/>
        </w:rPr>
      </w:pPr>
      <w:r>
        <w:rPr>
          <w:rFonts w:hint="eastAsia" w:ascii="黑体" w:hAnsi="黑体" w:eastAsia="黑体" w:cs="Times New Roman"/>
        </w:rPr>
        <w:t>5</w:t>
      </w:r>
      <w:r>
        <w:rPr>
          <w:rFonts w:ascii="黑体" w:hAnsi="黑体" w:eastAsia="黑体" w:cs="Times New Roman"/>
        </w:rPr>
        <w:t>.6</w:t>
      </w:r>
      <w:r>
        <w:rPr>
          <w:rFonts w:ascii="Times New Roman" w:hAnsi="Times New Roman" w:cs="Times New Roman"/>
        </w:rPr>
        <w:t xml:space="preserve">  硝酸银标准滴定溶液</w:t>
      </w:r>
      <w:r>
        <w:rPr>
          <w:rFonts w:hint="eastAsia" w:ascii="Times New Roman" w:hAnsi="Times New Roman" w:cs="Times New Roman"/>
        </w:rPr>
        <w:t>的</w:t>
      </w:r>
      <w:r>
        <w:rPr>
          <w:rFonts w:ascii="Times New Roman" w:hAnsi="Times New Roman" w:cs="Times New Roman"/>
        </w:rPr>
        <w:t>配制和标定：</w:t>
      </w:r>
    </w:p>
    <w:p w14:paraId="0B2AA359">
      <w:pPr>
        <w:snapToGrid w:val="0"/>
        <w:ind w:left="840" w:leftChars="200" w:hanging="420" w:hangingChars="200"/>
        <w:rPr>
          <w:rFonts w:asciiTheme="minorEastAsia" w:hAnsiTheme="minorEastAsia" w:cstheme="minorEastAsia"/>
        </w:rPr>
      </w:pPr>
      <w:r>
        <w:rPr>
          <w:rFonts w:hint="eastAsia" w:ascii="Times New Roman" w:hAnsi="Times New Roman" w:cs="Times New Roman"/>
        </w:rPr>
        <w:t>——</w:t>
      </w:r>
      <w:r>
        <w:rPr>
          <w:rFonts w:ascii="Times New Roman" w:hAnsi="Times New Roman" w:cs="Times New Roman"/>
        </w:rPr>
        <w:t>配制：</w:t>
      </w:r>
      <w:r>
        <w:rPr>
          <w:rFonts w:hint="eastAsia" w:asciiTheme="minorEastAsia" w:hAnsiTheme="minorEastAsia" w:cstheme="minorEastAsia"/>
        </w:rPr>
        <w:t>称取3.</w:t>
      </w:r>
      <w:r>
        <w:rPr>
          <w:rFonts w:asciiTheme="minorEastAsia" w:hAnsiTheme="minorEastAsia" w:cstheme="minorEastAsia"/>
        </w:rPr>
        <w:t>4</w:t>
      </w:r>
      <w:r>
        <w:rPr>
          <w:rFonts w:hint="eastAsia" w:asciiTheme="minorEastAsia" w:hAnsiTheme="minorEastAsia" w:cstheme="minorEastAsia"/>
        </w:rPr>
        <w:t>g于105℃</w:t>
      </w:r>
      <w:r>
        <w:rPr>
          <w:rFonts w:hint="eastAsia" w:ascii="Times New Roman" w:hAnsi="Times New Roman" w:cs="Times New Roman"/>
        </w:rPr>
        <w:t>~</w:t>
      </w:r>
      <w:r>
        <w:rPr>
          <w:rFonts w:hint="eastAsia" w:asciiTheme="minorEastAsia" w:hAnsiTheme="minorEastAsia" w:cstheme="minorEastAsia"/>
        </w:rPr>
        <w:t>110℃烘干半小时的硝酸银（精确到0</w:t>
      </w:r>
      <w:r>
        <w:rPr>
          <w:rFonts w:asciiTheme="minorEastAsia" w:hAnsiTheme="minorEastAsia" w:cstheme="minorEastAsia"/>
        </w:rPr>
        <w:t>.0001</w:t>
      </w:r>
      <w:r>
        <w:rPr>
          <w:rFonts w:hint="eastAsia" w:asciiTheme="minorEastAsia" w:hAnsiTheme="minorEastAsia" w:cstheme="minorEastAsia"/>
        </w:rPr>
        <w:t>g），溶于水中，在容量瓶中稀释至1000mL，贮于棕色瓶中。</w:t>
      </w:r>
    </w:p>
    <w:p w14:paraId="7DC931F8">
      <w:pPr>
        <w:snapToGrid w:val="0"/>
        <w:ind w:left="840" w:leftChars="200" w:hanging="420" w:hangingChars="200"/>
        <w:rPr>
          <w:rFonts w:asciiTheme="minorEastAsia" w:hAnsiTheme="minorEastAsia" w:cstheme="minorEastAsia"/>
        </w:rPr>
      </w:pPr>
      <w:r>
        <w:rPr>
          <w:rFonts w:hint="eastAsia" w:ascii="Times New Roman" w:hAnsi="Times New Roman" w:cs="Times New Roman"/>
        </w:rPr>
        <w:t>——</w:t>
      </w:r>
      <w:r>
        <w:rPr>
          <w:rFonts w:ascii="Times New Roman" w:hAnsi="Times New Roman" w:cs="Times New Roman"/>
        </w:rPr>
        <w:t>标定：</w:t>
      </w:r>
      <w:r>
        <w:rPr>
          <w:rFonts w:hint="eastAsia" w:asciiTheme="minorEastAsia" w:hAnsiTheme="minorEastAsia" w:cstheme="minorEastAsia"/>
        </w:rPr>
        <w:t>用移液管移取25.00mL氯化钠标准溶液（5.5）于250mL锥形瓶中，加水25mL,加三滴酚酞指示剂，用稀硝酸溶液（5.3）及氢氧化钠溶液（5.4）调至红色消失。各加入1mL铬酸钾指示剂（5.7），在不断的摇动下用硝酸银标准滴定溶液滴定至亮黄色消失为终点。随同做空白试验。</w:t>
      </w:r>
    </w:p>
    <w:p w14:paraId="2A8EF07B">
      <w:pPr>
        <w:ind w:left="840" w:leftChars="200" w:hanging="420" w:hangingChars="200"/>
        <w:rPr>
          <w:rFonts w:ascii="黑体" w:hAnsi="黑体"/>
        </w:rPr>
      </w:pPr>
      <w:r>
        <w:rPr>
          <w:rFonts w:hint="eastAsia" w:ascii="Times New Roman" w:hAnsi="Times New Roman" w:cs="Times New Roman"/>
        </w:rPr>
        <w:t>——</w:t>
      </w:r>
      <w:r>
        <w:rPr>
          <w:rFonts w:hint="eastAsia" w:asciiTheme="minorEastAsia" w:hAnsiTheme="minorEastAsia" w:cstheme="minorEastAsia"/>
          <w:szCs w:val="21"/>
        </w:rPr>
        <w:t>计算：硝酸银标准滴定溶液浓度</w:t>
      </w:r>
      <w:r>
        <w:rPr>
          <w:rFonts w:hint="eastAsia" w:asciiTheme="minorEastAsia" w:hAnsiTheme="minorEastAsia" w:cstheme="minorEastAsia"/>
          <w:i/>
          <w:iCs/>
          <w:szCs w:val="21"/>
        </w:rPr>
        <w:t>C</w:t>
      </w:r>
      <w:r>
        <w:rPr>
          <w:rFonts w:hint="eastAsia" w:asciiTheme="minorEastAsia" w:hAnsiTheme="minorEastAsia" w:cstheme="minorEastAsia"/>
          <w:i/>
          <w:iCs/>
          <w:szCs w:val="21"/>
          <w:vertAlign w:val="subscript"/>
        </w:rPr>
        <w:t>1</w:t>
      </w:r>
      <w:r>
        <w:rPr>
          <w:rFonts w:hint="eastAsia" w:asciiTheme="minorEastAsia" w:hAnsiTheme="minorEastAsia" w:cstheme="minorEastAsia"/>
          <w:szCs w:val="21"/>
        </w:rPr>
        <w:t>按公式（1）计算，数值以摩尔每升（mol/L）表示。计算结果表示至小数点后四位，数值修约按GB/T 8170的规定进行。</w:t>
      </w:r>
    </w:p>
    <w:p w14:paraId="48AC5C0D">
      <w:pPr>
        <w:spacing w:line="360" w:lineRule="auto"/>
        <w:ind w:left="1890"/>
        <w:jc w:val="right"/>
        <w:rPr>
          <w:rFonts w:ascii="宋体" w:hAnsi="宋体"/>
        </w:rPr>
      </w:pPr>
      <w:r>
        <w:rPr>
          <w:position w:val="-30"/>
        </w:rPr>
        <w:object>
          <v:shape id="_x0000_i1025" o:spt="75" type="#_x0000_t75" style="height:34.15pt;width:67.9pt;" o:ole="t" filled="f" o:preferrelative="t" stroked="f" coordsize="21600,21600">
            <v:path/>
            <v:fill on="f" focussize="0,0"/>
            <v:stroke on="f" joinstyle="miter"/>
            <v:imagedata r:id="rId8" o:title=""/>
            <o:lock v:ext="edit" aspectratio="t"/>
            <w10:wrap type="none"/>
            <w10:anchorlock/>
          </v:shape>
          <o:OLEObject Type="Embed" ProgID="Equation.KSEE3" ShapeID="_x0000_i1025" DrawAspect="Content" ObjectID="_1468075725" r:id="rId7">
            <o:LockedField>false</o:LockedField>
          </o:OLEObject>
        </w:object>
      </w:r>
      <w:r>
        <w:rPr>
          <w:rFonts w:hint="eastAsia"/>
        </w:rPr>
        <w:t xml:space="preserve">   </w:t>
      </w:r>
      <w:r>
        <w:t>..................................................</w:t>
      </w:r>
      <w:r>
        <w:rPr>
          <w:rFonts w:hint="eastAsia"/>
        </w:rPr>
        <w:t>（1）</w:t>
      </w:r>
    </w:p>
    <w:p w14:paraId="17542F80">
      <w:pPr>
        <w:snapToGrid w:val="0"/>
        <w:ind w:firstLine="420" w:firstLineChars="200"/>
        <w:rPr>
          <w:rFonts w:ascii="Times New Roman" w:hAnsi="Times New Roman" w:cs="Times New Roman"/>
        </w:rPr>
      </w:pPr>
      <w:r>
        <w:rPr>
          <w:rFonts w:ascii="Times New Roman" w:hAnsi="Times New Roman" w:cs="Times New Roman"/>
        </w:rPr>
        <w:t>式中：</w:t>
      </w:r>
    </w:p>
    <w:p w14:paraId="13AEEDA3">
      <w:pPr>
        <w:snapToGrid w:val="0"/>
        <w:ind w:firstLine="420" w:firstLineChars="200"/>
        <w:rPr>
          <w:rFonts w:asciiTheme="minorEastAsia" w:hAnsiTheme="minorEastAsia" w:cstheme="minorEastAsia"/>
          <w:i/>
          <w:iCs/>
        </w:rPr>
      </w:pPr>
      <w:r>
        <w:rPr>
          <w:rFonts w:hint="eastAsia" w:asciiTheme="minorEastAsia" w:hAnsiTheme="minorEastAsia" w:cstheme="minorEastAsia"/>
          <w:i/>
          <w:iCs/>
        </w:rPr>
        <w:t>C</w:t>
      </w:r>
      <w:r>
        <w:rPr>
          <w:rFonts w:hint="eastAsia" w:asciiTheme="minorEastAsia" w:hAnsiTheme="minorEastAsia" w:cstheme="minorEastAsia"/>
          <w:i/>
          <w:iCs/>
          <w:vertAlign w:val="subscript"/>
        </w:rPr>
        <w:t>2</w:t>
      </w:r>
      <w:r>
        <w:rPr>
          <w:rFonts w:hint="eastAsia" w:asciiTheme="minorEastAsia" w:hAnsiTheme="minorEastAsia" w:cstheme="minorEastAsia"/>
        </w:rPr>
        <w:t xml:space="preserve"> —氯化钠标准溶液浓度，单位为摩尔每升（mol/L）；</w:t>
      </w:r>
    </w:p>
    <w:p w14:paraId="38DF392B">
      <w:pPr>
        <w:snapToGrid w:val="0"/>
        <w:ind w:firstLine="420" w:firstLineChars="200"/>
        <w:rPr>
          <w:rFonts w:asciiTheme="minorEastAsia" w:hAnsiTheme="minorEastAsia" w:cstheme="minorEastAsia"/>
        </w:rPr>
      </w:pPr>
      <w:r>
        <w:rPr>
          <w:rFonts w:hint="eastAsia" w:asciiTheme="minorEastAsia" w:hAnsiTheme="minorEastAsia" w:cstheme="minorEastAsia"/>
          <w:i/>
          <w:iCs/>
        </w:rPr>
        <w:t>V</w:t>
      </w:r>
      <w:r>
        <w:rPr>
          <w:rFonts w:hint="eastAsia" w:asciiTheme="minorEastAsia" w:hAnsiTheme="minorEastAsia" w:cstheme="minorEastAsia"/>
          <w:i/>
          <w:iCs/>
          <w:vertAlign w:val="subscript"/>
        </w:rPr>
        <w:t>2</w:t>
      </w:r>
      <w:r>
        <w:rPr>
          <w:rFonts w:hint="eastAsia" w:asciiTheme="minorEastAsia" w:hAnsiTheme="minorEastAsia" w:cstheme="minorEastAsia"/>
        </w:rPr>
        <w:t xml:space="preserve"> —分取氯化钠标准溶液的体积，单位为毫升（mL）；</w:t>
      </w:r>
    </w:p>
    <w:p w14:paraId="66A0EDE0">
      <w:pPr>
        <w:snapToGrid w:val="0"/>
        <w:ind w:firstLine="420" w:firstLineChars="200"/>
        <w:rPr>
          <w:rFonts w:asciiTheme="minorEastAsia" w:hAnsiTheme="minorEastAsia" w:cstheme="minorEastAsia"/>
          <w:i/>
          <w:iCs/>
        </w:rPr>
      </w:pPr>
      <w:r>
        <w:rPr>
          <w:rFonts w:hint="eastAsia" w:asciiTheme="minorEastAsia" w:hAnsiTheme="minorEastAsia" w:cstheme="minorEastAsia"/>
          <w:i/>
          <w:iCs/>
        </w:rPr>
        <w:t>V</w:t>
      </w:r>
      <w:r>
        <w:rPr>
          <w:rFonts w:hint="eastAsia" w:asciiTheme="minorEastAsia" w:hAnsiTheme="minorEastAsia" w:cstheme="minorEastAsia"/>
          <w:i/>
          <w:iCs/>
          <w:vertAlign w:val="subscript"/>
        </w:rPr>
        <w:t>1</w:t>
      </w:r>
      <w:r>
        <w:rPr>
          <w:rFonts w:hint="eastAsia" w:asciiTheme="minorEastAsia" w:hAnsiTheme="minorEastAsia" w:cstheme="minorEastAsia"/>
        </w:rPr>
        <w:t xml:space="preserve"> —试液消耗硝酸银标准滴定溶液的体积，单位为毫升（mL）；</w:t>
      </w:r>
    </w:p>
    <w:p w14:paraId="46D2A09D">
      <w:pPr>
        <w:snapToGrid w:val="0"/>
        <w:ind w:firstLine="420" w:firstLineChars="200"/>
        <w:rPr>
          <w:rFonts w:ascii="Times New Roman" w:hAnsi="Times New Roman" w:cs="Times New Roman"/>
        </w:rPr>
      </w:pPr>
      <w:r>
        <w:rPr>
          <w:rFonts w:hint="eastAsia" w:asciiTheme="minorEastAsia" w:hAnsiTheme="minorEastAsia" w:cstheme="minorEastAsia"/>
          <w:i/>
          <w:iCs/>
        </w:rPr>
        <w:t>V</w:t>
      </w:r>
      <w:r>
        <w:rPr>
          <w:rFonts w:hint="eastAsia" w:asciiTheme="minorEastAsia" w:hAnsiTheme="minorEastAsia" w:cstheme="minorEastAsia"/>
          <w:i/>
          <w:iCs/>
          <w:vertAlign w:val="subscript"/>
        </w:rPr>
        <w:t xml:space="preserve">0 </w:t>
      </w:r>
      <w:r>
        <w:rPr>
          <w:rFonts w:hint="eastAsia" w:asciiTheme="minorEastAsia" w:hAnsiTheme="minorEastAsia" w:cstheme="minorEastAsia"/>
        </w:rPr>
        <w:t>—空白消耗硝酸银标准滴定溶液的体积，单位为毫升（mL）。</w:t>
      </w:r>
    </w:p>
    <w:p w14:paraId="196872A4">
      <w:pPr>
        <w:snapToGrid w:val="0"/>
        <w:rPr>
          <w:rFonts w:asciiTheme="minorEastAsia" w:hAnsiTheme="minorEastAsia" w:cstheme="minorEastAsia"/>
        </w:rPr>
      </w:pPr>
      <w:r>
        <w:rPr>
          <w:rFonts w:hint="eastAsia" w:ascii="黑体" w:hAnsi="黑体" w:eastAsia="黑体" w:cs="Times New Roman"/>
        </w:rPr>
        <w:t>5</w:t>
      </w:r>
      <w:r>
        <w:rPr>
          <w:rFonts w:ascii="黑体" w:hAnsi="黑体" w:eastAsia="黑体" w:cs="Times New Roman"/>
        </w:rPr>
        <w:t xml:space="preserve">.7  </w:t>
      </w:r>
      <w:r>
        <w:rPr>
          <w:rFonts w:hint="eastAsia" w:asciiTheme="minorEastAsia" w:hAnsiTheme="minorEastAsia" w:cstheme="minorEastAsia"/>
        </w:rPr>
        <w:t>铬酸钾指示剂（100g/L）：称取10g铬酸钾溶于少量水中，滴加硝酸银溶液至有红色沉淀生成。摇匀，静置12h，然后过滤并用水将滤液稀释至100mL。</w:t>
      </w:r>
    </w:p>
    <w:p w14:paraId="5702BB9E">
      <w:pPr>
        <w:snapToGrid w:val="0"/>
        <w:rPr>
          <w:rFonts w:asciiTheme="minorEastAsia" w:hAnsiTheme="minorEastAsia" w:cstheme="minorEastAsia"/>
        </w:rPr>
      </w:pPr>
      <w:r>
        <w:rPr>
          <w:rFonts w:hint="eastAsia" w:ascii="黑体" w:hAnsi="黑体" w:eastAsia="黑体" w:cs="Times New Roman"/>
        </w:rPr>
        <w:t>5</w:t>
      </w:r>
      <w:r>
        <w:rPr>
          <w:rFonts w:ascii="黑体" w:hAnsi="黑体" w:eastAsia="黑体" w:cs="Times New Roman"/>
        </w:rPr>
        <w:t>.8</w:t>
      </w:r>
      <w:r>
        <w:rPr>
          <w:rFonts w:ascii="Times New Roman" w:hAnsi="Times New Roman" w:cs="Times New Roman"/>
        </w:rPr>
        <w:t xml:space="preserve">  </w:t>
      </w:r>
      <w:r>
        <w:rPr>
          <w:rFonts w:hint="eastAsia" w:asciiTheme="minorEastAsia" w:hAnsiTheme="minorEastAsia" w:cstheme="minorEastAsia"/>
        </w:rPr>
        <w:t>酚酞指示剂：称取0.1g酚酞溶于50mL无水乙醇，再加水稀释到100mL。</w:t>
      </w:r>
    </w:p>
    <w:p w14:paraId="1EE48586">
      <w:pPr>
        <w:numPr>
          <w:ilvl w:val="0"/>
          <w:numId w:val="3"/>
        </w:numPr>
        <w:spacing w:before="156" w:beforeLines="50" w:after="156" w:afterLines="50" w:line="360" w:lineRule="auto"/>
        <w:ind w:left="363" w:hanging="363"/>
        <w:jc w:val="left"/>
        <w:rPr>
          <w:rFonts w:ascii="黑体" w:hAnsi="黑体" w:eastAsia="黑体"/>
          <w:szCs w:val="21"/>
        </w:rPr>
      </w:pPr>
      <w:r>
        <w:rPr>
          <w:rFonts w:hint="eastAsia" w:ascii="黑体" w:hAnsi="黑体" w:eastAsia="黑体"/>
          <w:szCs w:val="21"/>
        </w:rPr>
        <w:t>仪器与设备</w:t>
      </w:r>
    </w:p>
    <w:p w14:paraId="3FE33973">
      <w:pPr>
        <w:tabs>
          <w:tab w:val="left" w:pos="900"/>
        </w:tabs>
        <w:rPr>
          <w:rFonts w:ascii="Times New Roman" w:hAnsi="Times New Roman" w:eastAsia="宋体" w:cs="Times New Roman"/>
          <w:szCs w:val="21"/>
        </w:rPr>
      </w:pPr>
      <w:r>
        <w:rPr>
          <w:rFonts w:hint="eastAsia" w:ascii="黑体" w:hAnsi="黑体" w:eastAsia="黑体" w:cs="Times New Roman"/>
        </w:rPr>
        <w:t>6.1</w:t>
      </w:r>
      <w:r>
        <w:rPr>
          <w:rFonts w:hint="eastAsia" w:ascii="Times New Roman" w:hAnsi="Times New Roman" w:eastAsia="宋体" w:cs="Times New Roman"/>
          <w:szCs w:val="21"/>
        </w:rPr>
        <w:t xml:space="preserve"> </w:t>
      </w:r>
      <w:r>
        <w:rPr>
          <w:rFonts w:ascii="Times New Roman" w:hAnsi="Times New Roman" w:cs="Times New Roman"/>
          <w:szCs w:val="21"/>
        </w:rPr>
        <w:t>滴定管，棕色，量程按所消耗的标准滴定溶液选取，滴定溶液的体积应</w:t>
      </w:r>
      <w:r>
        <w:rPr>
          <w:rFonts w:hint="eastAsia" w:ascii="Times New Roman" w:hAnsi="Times New Roman" w:cs="Times New Roman"/>
          <w:szCs w:val="21"/>
        </w:rPr>
        <w:t>在</w:t>
      </w:r>
      <w:r>
        <w:rPr>
          <w:rFonts w:ascii="Times New Roman" w:hAnsi="Times New Roman" w:cs="Times New Roman"/>
          <w:szCs w:val="21"/>
        </w:rPr>
        <w:t>滴定管量程的10%~80%范围内</w:t>
      </w:r>
      <w:r>
        <w:rPr>
          <w:rFonts w:hint="eastAsia" w:asciiTheme="minorEastAsia" w:hAnsiTheme="minorEastAsia" w:cstheme="minorEastAsia"/>
          <w:szCs w:val="21"/>
        </w:rPr>
        <w:t>。</w:t>
      </w:r>
    </w:p>
    <w:p w14:paraId="0B1FCD78">
      <w:pPr>
        <w:tabs>
          <w:tab w:val="left" w:pos="900"/>
        </w:tabs>
        <w:rPr>
          <w:rFonts w:ascii="Times New Roman" w:hAnsi="Times New Roman" w:eastAsia="宋体" w:cs="Times New Roman"/>
          <w:szCs w:val="21"/>
        </w:rPr>
      </w:pPr>
      <w:r>
        <w:rPr>
          <w:rFonts w:hint="eastAsia" w:ascii="黑体" w:hAnsi="黑体" w:eastAsia="黑体" w:cs="Times New Roman"/>
        </w:rPr>
        <w:t xml:space="preserve">6.2 </w:t>
      </w:r>
      <w:r>
        <w:rPr>
          <w:rFonts w:hint="eastAsia" w:asciiTheme="minorEastAsia" w:hAnsiTheme="minorEastAsia" w:cstheme="minorEastAsia"/>
          <w:szCs w:val="21"/>
        </w:rPr>
        <w:t>分析天平：感量为0.0001g。</w:t>
      </w:r>
    </w:p>
    <w:p w14:paraId="5E1A1C28">
      <w:pPr>
        <w:tabs>
          <w:tab w:val="left" w:pos="900"/>
        </w:tabs>
        <w:rPr>
          <w:rFonts w:ascii="Times New Roman" w:hAnsi="Times New Roman" w:eastAsia="宋体" w:cs="Times New Roman"/>
          <w:szCs w:val="21"/>
        </w:rPr>
      </w:pPr>
      <w:r>
        <w:rPr>
          <w:rFonts w:hint="eastAsia" w:ascii="黑体" w:hAnsi="黑体" w:eastAsia="黑体" w:cs="Times New Roman"/>
        </w:rPr>
        <w:t xml:space="preserve">6.3 </w:t>
      </w:r>
      <w:r>
        <w:rPr>
          <w:rFonts w:hint="eastAsia" w:ascii="Times New Roman" w:hAnsi="Times New Roman" w:eastAsia="宋体" w:cs="Times New Roman"/>
          <w:szCs w:val="21"/>
        </w:rPr>
        <w:t>马弗炉，工作温度4</w:t>
      </w:r>
      <w:r>
        <w:rPr>
          <w:rFonts w:ascii="Times New Roman" w:hAnsi="Times New Roman" w:eastAsia="宋体" w:cs="Times New Roman"/>
          <w:szCs w:val="21"/>
        </w:rPr>
        <w:t>00</w:t>
      </w:r>
      <w:r>
        <w:rPr>
          <w:rFonts w:hint="eastAsia" w:ascii="Times New Roman" w:hAnsi="Times New Roman" w:eastAsia="宋体" w:cs="Times New Roman"/>
          <w:szCs w:val="21"/>
        </w:rPr>
        <w:t>℃±1</w:t>
      </w:r>
      <w:r>
        <w:rPr>
          <w:rFonts w:ascii="Times New Roman" w:hAnsi="Times New Roman" w:eastAsia="宋体" w:cs="Times New Roman"/>
          <w:szCs w:val="21"/>
        </w:rPr>
        <w:t>0</w:t>
      </w:r>
      <w:r>
        <w:rPr>
          <w:rFonts w:hint="eastAsia" w:ascii="Times New Roman" w:hAnsi="Times New Roman" w:eastAsia="宋体" w:cs="Times New Roman"/>
          <w:szCs w:val="21"/>
        </w:rPr>
        <w:t>℃。</w:t>
      </w:r>
    </w:p>
    <w:p w14:paraId="2AB700C6">
      <w:pPr>
        <w:tabs>
          <w:tab w:val="left" w:pos="900"/>
        </w:tabs>
        <w:rPr>
          <w:rFonts w:ascii="Times New Roman" w:hAnsi="Times New Roman" w:eastAsia="宋体" w:cs="Times New Roman"/>
          <w:szCs w:val="21"/>
        </w:rPr>
      </w:pPr>
      <w:r>
        <w:rPr>
          <w:rFonts w:hint="eastAsia" w:ascii="黑体" w:hAnsi="黑体" w:eastAsia="黑体" w:cs="Times New Roman"/>
        </w:rPr>
        <w:t xml:space="preserve">6.4 </w:t>
      </w:r>
      <w:r>
        <w:rPr>
          <w:rFonts w:hint="eastAsia" w:asciiTheme="minorEastAsia" w:hAnsiTheme="minorEastAsia" w:cstheme="minorEastAsia"/>
          <w:szCs w:val="21"/>
        </w:rPr>
        <w:t>镍坩埚，30mL。</w:t>
      </w:r>
    </w:p>
    <w:p w14:paraId="49A58864">
      <w:pPr>
        <w:numPr>
          <w:ilvl w:val="0"/>
          <w:numId w:val="3"/>
        </w:numPr>
        <w:spacing w:before="156" w:beforeLines="50" w:after="156" w:afterLines="50" w:line="360" w:lineRule="auto"/>
        <w:ind w:left="363" w:hanging="363"/>
        <w:jc w:val="left"/>
        <w:rPr>
          <w:rFonts w:ascii="黑体" w:hAnsi="黑体" w:eastAsia="黑体" w:cs="Times New Roman"/>
          <w:szCs w:val="24"/>
        </w:rPr>
      </w:pPr>
      <w:r>
        <w:rPr>
          <w:rFonts w:hint="eastAsia" w:ascii="黑体" w:eastAsia="黑体"/>
          <w:szCs w:val="21"/>
        </w:rPr>
        <w:t>试样</w:t>
      </w:r>
    </w:p>
    <w:p w14:paraId="6E6E43B6">
      <w:pPr>
        <w:tabs>
          <w:tab w:val="left" w:pos="900"/>
        </w:tabs>
        <w:ind w:firstLine="420" w:firstLineChars="200"/>
        <w:rPr>
          <w:rFonts w:asciiTheme="minorEastAsia" w:hAnsiTheme="minorEastAsia" w:cstheme="minorEastAsia"/>
          <w:szCs w:val="21"/>
        </w:rPr>
      </w:pPr>
      <w:r>
        <w:rPr>
          <w:rFonts w:hint="eastAsia" w:asciiTheme="minorEastAsia" w:hAnsiTheme="minorEastAsia" w:cstheme="minorEastAsia"/>
          <w:szCs w:val="21"/>
        </w:rPr>
        <w:t>按附录A制样，得到铝豆和筛下试样。</w:t>
      </w:r>
    </w:p>
    <w:p w14:paraId="17287FBA">
      <w:pPr>
        <w:numPr>
          <w:ilvl w:val="0"/>
          <w:numId w:val="3"/>
        </w:numPr>
        <w:spacing w:before="156" w:beforeLines="50" w:after="156" w:afterLines="50" w:line="360" w:lineRule="auto"/>
        <w:ind w:left="363" w:hanging="363"/>
        <w:jc w:val="left"/>
        <w:rPr>
          <w:rFonts w:ascii="黑体" w:hAnsi="黑体" w:eastAsia="黑体"/>
          <w:szCs w:val="21"/>
        </w:rPr>
      </w:pPr>
      <w:r>
        <w:rPr>
          <w:rFonts w:hint="eastAsia" w:ascii="黑体" w:hAnsi="黑体" w:eastAsia="黑体"/>
          <w:szCs w:val="21"/>
        </w:rPr>
        <w:t>试验步骤</w:t>
      </w:r>
    </w:p>
    <w:p w14:paraId="07B8B78C">
      <w:pPr>
        <w:spacing w:line="360" w:lineRule="auto"/>
        <w:jc w:val="left"/>
        <w:rPr>
          <w:rFonts w:ascii="黑体" w:hAnsi="黑体" w:eastAsia="黑体"/>
          <w:szCs w:val="21"/>
        </w:rPr>
      </w:pPr>
      <w:r>
        <w:rPr>
          <w:rFonts w:hint="eastAsia" w:ascii="黑体" w:hAnsi="黑体" w:eastAsia="黑体"/>
          <w:szCs w:val="21"/>
        </w:rPr>
        <w:t>8.1 试料</w:t>
      </w:r>
    </w:p>
    <w:p w14:paraId="54663972">
      <w:pPr>
        <w:tabs>
          <w:tab w:val="left" w:pos="900"/>
        </w:tabs>
        <w:ind w:firstLine="420" w:firstLineChars="200"/>
        <w:rPr>
          <w:rFonts w:asciiTheme="minorEastAsia" w:hAnsiTheme="minorEastAsia" w:cstheme="minorEastAsia"/>
          <w:szCs w:val="21"/>
        </w:rPr>
      </w:pPr>
      <w:r>
        <w:rPr>
          <w:rFonts w:hint="eastAsia" w:asciiTheme="minorEastAsia" w:hAnsiTheme="minorEastAsia" w:cstheme="minorEastAsia"/>
          <w:szCs w:val="21"/>
        </w:rPr>
        <w:t>称取0.5</w:t>
      </w:r>
      <w:r>
        <w:rPr>
          <w:rFonts w:asciiTheme="minorEastAsia" w:hAnsiTheme="minorEastAsia" w:cstheme="minorEastAsia"/>
          <w:szCs w:val="21"/>
        </w:rPr>
        <w:t>0</w:t>
      </w:r>
      <w:r>
        <w:rPr>
          <w:rFonts w:hint="eastAsia" w:asciiTheme="minorEastAsia" w:hAnsiTheme="minorEastAsia" w:cstheme="minorEastAsia"/>
          <w:szCs w:val="21"/>
        </w:rPr>
        <w:t xml:space="preserve"> g筛下试样，精确至0.0001 g。</w:t>
      </w:r>
    </w:p>
    <w:p w14:paraId="70B69E1B">
      <w:pPr>
        <w:spacing w:line="360" w:lineRule="auto"/>
        <w:jc w:val="left"/>
        <w:rPr>
          <w:rFonts w:ascii="黑体" w:hAnsi="黑体" w:eastAsia="黑体"/>
          <w:szCs w:val="21"/>
        </w:rPr>
      </w:pPr>
      <w:r>
        <w:rPr>
          <w:rFonts w:hint="eastAsia" w:ascii="黑体" w:hAnsi="黑体" w:eastAsia="黑体"/>
          <w:szCs w:val="21"/>
        </w:rPr>
        <w:t>8.2 测定次数</w:t>
      </w:r>
    </w:p>
    <w:p w14:paraId="28DC6DE4">
      <w:pPr>
        <w:tabs>
          <w:tab w:val="left" w:pos="900"/>
        </w:tabs>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独立地进行两次测定，取其平均值。</w:t>
      </w:r>
    </w:p>
    <w:p w14:paraId="2B7095E0">
      <w:pPr>
        <w:spacing w:line="360" w:lineRule="auto"/>
        <w:jc w:val="left"/>
        <w:rPr>
          <w:rFonts w:ascii="黑体" w:hAnsi="黑体" w:eastAsia="黑体"/>
          <w:szCs w:val="21"/>
        </w:rPr>
      </w:pPr>
      <w:r>
        <w:rPr>
          <w:rFonts w:hint="eastAsia" w:ascii="黑体" w:hAnsi="黑体" w:eastAsia="黑体"/>
          <w:szCs w:val="21"/>
        </w:rPr>
        <w:t xml:space="preserve">8.3 </w:t>
      </w:r>
      <w:r>
        <w:rPr>
          <w:rFonts w:eastAsia="黑体"/>
          <w:szCs w:val="21"/>
        </w:rPr>
        <w:t>空白试验</w:t>
      </w:r>
    </w:p>
    <w:p w14:paraId="1932883F">
      <w:pPr>
        <w:tabs>
          <w:tab w:val="left" w:pos="900"/>
        </w:tabs>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随同试料做空白试验。</w:t>
      </w:r>
    </w:p>
    <w:p w14:paraId="42A19282">
      <w:pPr>
        <w:spacing w:line="360" w:lineRule="auto"/>
        <w:jc w:val="left"/>
        <w:rPr>
          <w:rFonts w:ascii="黑体" w:hAnsi="黑体" w:eastAsia="黑体"/>
          <w:szCs w:val="21"/>
        </w:rPr>
      </w:pPr>
      <w:r>
        <w:rPr>
          <w:rFonts w:hint="eastAsia" w:ascii="黑体" w:hAnsi="黑体" w:eastAsia="黑体"/>
          <w:szCs w:val="21"/>
        </w:rPr>
        <w:t xml:space="preserve">8.4 </w:t>
      </w:r>
      <w:r>
        <w:rPr>
          <w:rFonts w:hint="eastAsia" w:eastAsia="黑体"/>
          <w:szCs w:val="21"/>
        </w:rPr>
        <w:t>测定</w:t>
      </w:r>
    </w:p>
    <w:p w14:paraId="4B7E52DA">
      <w:pPr>
        <w:tabs>
          <w:tab w:val="left" w:pos="900"/>
        </w:tabs>
        <w:rPr>
          <w:rFonts w:ascii="Times New Roman" w:hAnsi="Times New Roman" w:eastAsia="宋体" w:cs="Times New Roman"/>
          <w:szCs w:val="21"/>
        </w:rPr>
      </w:pPr>
      <w:r>
        <w:rPr>
          <w:rFonts w:hint="eastAsia" w:ascii="黑体" w:hAnsi="黑体" w:eastAsia="黑体" w:cs="Times New Roman"/>
        </w:rPr>
        <w:t>8.</w:t>
      </w:r>
      <w:r>
        <w:rPr>
          <w:rFonts w:ascii="黑体" w:hAnsi="黑体" w:eastAsia="黑体" w:cs="Times New Roman"/>
        </w:rPr>
        <w:t>4.1</w:t>
      </w:r>
      <w:r>
        <w:rPr>
          <w:rFonts w:ascii="Times New Roman" w:hAnsi="Times New Roman" w:eastAsia="宋体" w:cs="Times New Roman"/>
          <w:szCs w:val="21"/>
        </w:rPr>
        <w:t xml:space="preserve">  </w:t>
      </w:r>
      <w:r>
        <w:rPr>
          <w:rFonts w:hint="eastAsia" w:asciiTheme="minorEastAsia" w:hAnsiTheme="minorEastAsia" w:cstheme="minorEastAsia"/>
          <w:szCs w:val="21"/>
        </w:rPr>
        <w:t>1.0g氢氧化钠（5</w:t>
      </w:r>
      <w:r>
        <w:rPr>
          <w:rFonts w:asciiTheme="minorEastAsia" w:hAnsiTheme="minorEastAsia" w:cstheme="minorEastAsia"/>
          <w:szCs w:val="21"/>
        </w:rPr>
        <w:t>.1</w:t>
      </w:r>
      <w:r>
        <w:rPr>
          <w:rFonts w:hint="eastAsia" w:asciiTheme="minorEastAsia" w:hAnsiTheme="minorEastAsia" w:cstheme="minorEastAsia"/>
          <w:szCs w:val="21"/>
        </w:rPr>
        <w:t>）放入镍坩埚中，铺平，放入试料，覆盖3.0g氢氧化钠（5</w:t>
      </w:r>
      <w:r>
        <w:rPr>
          <w:rFonts w:asciiTheme="minorEastAsia" w:hAnsiTheme="minorEastAsia" w:cstheme="minorEastAsia"/>
          <w:szCs w:val="21"/>
        </w:rPr>
        <w:t>.1</w:t>
      </w:r>
      <w:r>
        <w:rPr>
          <w:rFonts w:hint="eastAsia" w:asciiTheme="minorEastAsia" w:hAnsiTheme="minorEastAsia" w:cstheme="minorEastAsia"/>
          <w:szCs w:val="21"/>
        </w:rPr>
        <w:t>），将镍坩埚置于马弗炉中，从常温缓慢升温至200℃，恒温10min后，升温至400℃±10℃，保持30min</w:t>
      </w:r>
      <w:r>
        <w:rPr>
          <w:rFonts w:hint="eastAsia" w:ascii="Times New Roman" w:hAnsi="Times New Roman" w:cs="Times New Roman"/>
        </w:rPr>
        <w:t>~</w:t>
      </w:r>
      <w:r>
        <w:rPr>
          <w:rFonts w:hint="eastAsia" w:asciiTheme="minorEastAsia" w:hAnsiTheme="minorEastAsia" w:cstheme="minorEastAsia"/>
          <w:szCs w:val="21"/>
        </w:rPr>
        <w:t>40min熔融试料，取出，将熔融物均匀摇动，稍冷。</w:t>
      </w:r>
    </w:p>
    <w:p w14:paraId="7416520A">
      <w:pPr>
        <w:tabs>
          <w:tab w:val="left" w:pos="900"/>
        </w:tabs>
        <w:rPr>
          <w:rFonts w:asciiTheme="minorEastAsia" w:hAnsiTheme="minorEastAsia" w:cstheme="minorEastAsia"/>
          <w:szCs w:val="21"/>
        </w:rPr>
      </w:pPr>
      <w:r>
        <w:rPr>
          <w:rFonts w:hint="eastAsia" w:ascii="黑体" w:hAnsi="黑体" w:eastAsia="黑体" w:cs="Times New Roman"/>
        </w:rPr>
        <w:t>8.4</w:t>
      </w:r>
      <w:r>
        <w:rPr>
          <w:rFonts w:ascii="黑体" w:hAnsi="黑体" w:eastAsia="黑体" w:cs="Times New Roman"/>
        </w:rPr>
        <w:t>.2</w:t>
      </w:r>
      <w:r>
        <w:rPr>
          <w:rFonts w:ascii="Times New Roman" w:hAnsi="Times New Roman" w:eastAsia="宋体" w:cs="Times New Roman"/>
          <w:szCs w:val="21"/>
        </w:rPr>
        <w:t xml:space="preserve">  </w:t>
      </w:r>
      <w:r>
        <w:rPr>
          <w:rFonts w:hint="eastAsia" w:asciiTheme="minorEastAsia" w:hAnsiTheme="minorEastAsia" w:cstheme="minorEastAsia"/>
          <w:szCs w:val="21"/>
        </w:rPr>
        <w:t>用水将镍坩埚外底部冲洗干净后，将镍坩埚放入250 mL聚四氟乙烯烧杯中，在烧杯中加入150mL水，在电热板上加热浸取熔融物，待浸取完全后取出坩埚，用水冲洗坩埚，将浸出液及洗液全部转移到250mL塑料容量瓶中，冷却，用水稀释至刻度，混匀。</w:t>
      </w:r>
    </w:p>
    <w:p w14:paraId="64F6A181">
      <w:pPr>
        <w:tabs>
          <w:tab w:val="left" w:pos="900"/>
        </w:tabs>
        <w:rPr>
          <w:rFonts w:asciiTheme="minorEastAsia" w:hAnsiTheme="minorEastAsia" w:cstheme="minorEastAsia"/>
          <w:sz w:val="18"/>
          <w:szCs w:val="18"/>
        </w:rPr>
      </w:pPr>
      <w:r>
        <w:rPr>
          <w:rFonts w:hint="eastAsia" w:ascii="黑体" w:hAnsi="黑体" w:eastAsia="黑体" w:cs="Times New Roman"/>
        </w:rPr>
        <w:t>8.4</w:t>
      </w:r>
      <w:r>
        <w:rPr>
          <w:rFonts w:ascii="黑体" w:hAnsi="黑体" w:eastAsia="黑体" w:cs="Times New Roman"/>
        </w:rPr>
        <w:t>.3</w:t>
      </w:r>
      <w:r>
        <w:rPr>
          <w:rFonts w:ascii="Times New Roman" w:hAnsi="Times New Roman" w:eastAsia="宋体" w:cs="Times New Roman"/>
          <w:szCs w:val="21"/>
        </w:rPr>
        <w:t xml:space="preserve">  </w:t>
      </w:r>
      <w:r>
        <w:rPr>
          <w:rFonts w:hint="eastAsia" w:ascii="Times New Roman" w:hAnsi="Times New Roman" w:eastAsia="宋体" w:cs="Times New Roman"/>
          <w:szCs w:val="21"/>
        </w:rPr>
        <w:t>将</w:t>
      </w:r>
      <w:r>
        <w:rPr>
          <w:rFonts w:hint="eastAsia" w:asciiTheme="minorEastAsia" w:hAnsiTheme="minorEastAsia" w:cstheme="minorEastAsia"/>
          <w:szCs w:val="21"/>
        </w:rPr>
        <w:t>容量瓶中的</w:t>
      </w:r>
      <w:r>
        <w:rPr>
          <w:rFonts w:hint="eastAsia" w:ascii="Times New Roman" w:hAnsi="Times New Roman" w:eastAsia="宋体" w:cs="Times New Roman"/>
          <w:szCs w:val="21"/>
        </w:rPr>
        <w:t>试液干过滤，</w:t>
      </w:r>
      <w:r>
        <w:rPr>
          <w:rFonts w:hint="eastAsia" w:asciiTheme="minorEastAsia" w:hAnsiTheme="minorEastAsia" w:cstheme="minorEastAsia"/>
          <w:szCs w:val="21"/>
        </w:rPr>
        <w:t>移取50mL滤液于500 mL锥形瓶中，加入2滴</w:t>
      </w:r>
      <w:r>
        <w:rPr>
          <w:rFonts w:ascii="Times New Roman" w:hAnsi="Times New Roman" w:cs="Times New Roman"/>
          <w:szCs w:val="21"/>
        </w:rPr>
        <w:t>~</w:t>
      </w:r>
      <w:r>
        <w:rPr>
          <w:rFonts w:hint="eastAsia" w:asciiTheme="minorEastAsia" w:hAnsiTheme="minorEastAsia" w:cstheme="minorEastAsia"/>
          <w:szCs w:val="21"/>
        </w:rPr>
        <w:t>3滴酚酞指示剂，用硝酸溶液（5.2）调至红色消失，用氢氧化钠溶液（5.4）调至溶液微红，再用硝酸溶液（5.3）调至红色消失。加入1mL铬酸钾指示剂，用硝酸银标准溶液（5.6）滴定至亮黄色消失为终点。</w:t>
      </w:r>
    </w:p>
    <w:p w14:paraId="649EB9DD">
      <w:pPr>
        <w:numPr>
          <w:ilvl w:val="0"/>
          <w:numId w:val="3"/>
        </w:numPr>
        <w:spacing w:before="156" w:beforeLines="50" w:after="156" w:afterLines="50" w:line="360" w:lineRule="auto"/>
        <w:ind w:left="363" w:hanging="363"/>
        <w:jc w:val="left"/>
        <w:rPr>
          <w:rFonts w:ascii="黑体" w:hAnsi="黑体" w:eastAsia="黑体"/>
          <w:szCs w:val="21"/>
        </w:rPr>
      </w:pPr>
      <w:r>
        <w:rPr>
          <w:rFonts w:hint="eastAsia" w:ascii="黑体" w:eastAsia="黑体"/>
          <w:szCs w:val="21"/>
        </w:rPr>
        <w:t>试验数据</w:t>
      </w:r>
      <w:r>
        <w:rPr>
          <w:rFonts w:hint="eastAsia" w:ascii="黑体" w:hAnsi="黑体" w:eastAsia="黑体"/>
        </w:rPr>
        <w:t>处理</w:t>
      </w:r>
    </w:p>
    <w:p w14:paraId="384D319F">
      <w:pPr>
        <w:tabs>
          <w:tab w:val="left" w:pos="900"/>
        </w:tabs>
        <w:rPr>
          <w:rFonts w:asciiTheme="minorEastAsia" w:hAnsiTheme="minorEastAsia" w:cstheme="minorEastAsia"/>
          <w:szCs w:val="21"/>
        </w:rPr>
      </w:pPr>
      <w:r>
        <w:rPr>
          <w:rFonts w:hint="eastAsia" w:ascii="黑体" w:hAnsi="黑体" w:eastAsia="黑体" w:cs="Times New Roman"/>
        </w:rPr>
        <w:t>9.1</w:t>
      </w:r>
      <w:r>
        <w:rPr>
          <w:rFonts w:ascii="Times New Roman" w:hAnsi="Times New Roman" w:eastAsia="宋体" w:cs="Times New Roman"/>
          <w:szCs w:val="21"/>
        </w:rPr>
        <w:t xml:space="preserve">  </w:t>
      </w:r>
      <w:r>
        <w:rPr>
          <w:rFonts w:hint="eastAsia"/>
          <w:szCs w:val="21"/>
        </w:rPr>
        <w:t>筛下试样</w:t>
      </w:r>
      <w:r>
        <w:rPr>
          <w:rFonts w:hint="eastAsia" w:ascii="Times New Roman" w:hAnsi="Times New Roman" w:eastAsia="宋体" w:cs="Times New Roman"/>
          <w:szCs w:val="21"/>
        </w:rPr>
        <w:t>的氯含量以氯的质量分数</w:t>
      </w:r>
      <w:r>
        <w:rPr>
          <w:rFonts w:hint="eastAsia" w:ascii="Times New Roman" w:hAnsi="Times New Roman" w:eastAsia="宋体" w:cs="Times New Roman"/>
          <w:i/>
          <w:iCs/>
          <w:szCs w:val="21"/>
        </w:rPr>
        <w:t>w</w:t>
      </w:r>
      <w:r>
        <w:rPr>
          <w:rFonts w:hint="eastAsia" w:ascii="Times New Roman" w:hAnsi="Times New Roman" w:eastAsia="宋体" w:cs="Times New Roman"/>
          <w:szCs w:val="21"/>
          <w:vertAlign w:val="subscript"/>
        </w:rPr>
        <w:t xml:space="preserve">1 </w:t>
      </w:r>
      <w:r>
        <w:rPr>
          <w:rFonts w:hint="eastAsia" w:ascii="Times New Roman" w:hAnsi="Times New Roman" w:eastAsia="宋体" w:cs="Times New Roman"/>
          <w:szCs w:val="21"/>
        </w:rPr>
        <w:t>计，</w:t>
      </w:r>
      <w:r>
        <w:rPr>
          <w:rFonts w:hint="eastAsia" w:asciiTheme="minorEastAsia" w:hAnsiTheme="minorEastAsia" w:cstheme="minorEastAsia"/>
          <w:szCs w:val="21"/>
        </w:rPr>
        <w:t>数值以%表示，按公式（2）计算：</w:t>
      </w:r>
    </w:p>
    <w:p w14:paraId="04756E8B">
      <w:pPr>
        <w:spacing w:line="360" w:lineRule="auto"/>
        <w:ind w:firstLine="420" w:firstLineChars="200"/>
        <w:jc w:val="right"/>
      </w:pPr>
      <w:r>
        <w:rPr>
          <w:position w:val="-30"/>
        </w:rPr>
        <w:object>
          <v:shape id="_x0000_i1026" o:spt="75" type="#_x0000_t75" style="height:34.15pt;width:163.9pt;" o:ole="t" filled="f" o:preferrelative="t" stroked="f" coordsize="21600,21600">
            <v:path/>
            <v:fill on="f" focussize="0,0"/>
            <v:stroke on="f" joinstyle="miter"/>
            <v:imagedata r:id="rId10" o:title=""/>
            <o:lock v:ext="edit" aspectratio="t"/>
            <w10:wrap type="none"/>
            <w10:anchorlock/>
          </v:shape>
          <o:OLEObject Type="Embed" ProgID="Equation.KSEE3" ShapeID="_x0000_i1026" DrawAspect="Content" ObjectID="_1468075726" r:id="rId9">
            <o:LockedField>false</o:LockedField>
          </o:OLEObject>
        </w:object>
      </w:r>
      <w:r>
        <w:rPr>
          <w:rFonts w:hint="eastAsia"/>
        </w:rPr>
        <w:t xml:space="preserve">  </w:t>
      </w:r>
      <w:r>
        <w:t>...............................................</w:t>
      </w:r>
      <w:r>
        <w:rPr>
          <w:rFonts w:hint="eastAsia"/>
        </w:rPr>
        <w:t>（2）</w:t>
      </w:r>
    </w:p>
    <w:p w14:paraId="281E6C71">
      <w:pPr>
        <w:tabs>
          <w:tab w:val="left" w:pos="900"/>
        </w:tabs>
        <w:ind w:firstLine="420" w:firstLineChars="200"/>
        <w:rPr>
          <w:rFonts w:ascii="Times New Roman" w:hAnsi="Times New Roman" w:eastAsia="宋体" w:cs="Times New Roman"/>
          <w:color w:val="FF0000"/>
          <w:szCs w:val="21"/>
        </w:rPr>
      </w:pPr>
      <w:r>
        <w:rPr>
          <w:rFonts w:hint="eastAsia" w:ascii="Times New Roman" w:hAnsi="Times New Roman" w:eastAsia="宋体" w:cs="Times New Roman"/>
          <w:szCs w:val="21"/>
        </w:rPr>
        <w:t>式中：</w:t>
      </w:r>
    </w:p>
    <w:p w14:paraId="3232E964">
      <w:pPr>
        <w:tabs>
          <w:tab w:val="left" w:pos="900"/>
        </w:tabs>
        <w:ind w:firstLine="420" w:firstLineChars="200"/>
        <w:rPr>
          <w:rFonts w:asciiTheme="minorEastAsia" w:hAnsiTheme="minorEastAsia" w:cstheme="minorEastAsia"/>
          <w:i/>
          <w:iCs/>
          <w:szCs w:val="21"/>
        </w:rPr>
      </w:pPr>
      <w:r>
        <w:rPr>
          <w:rFonts w:hint="eastAsia" w:asciiTheme="minorEastAsia" w:hAnsiTheme="minorEastAsia" w:cstheme="minorEastAsia"/>
          <w:i/>
          <w:iCs/>
          <w:szCs w:val="21"/>
        </w:rPr>
        <w:t>C</w:t>
      </w:r>
      <w:r>
        <w:rPr>
          <w:rFonts w:hint="eastAsia" w:asciiTheme="minorEastAsia" w:hAnsiTheme="minorEastAsia" w:cstheme="minorEastAsia"/>
          <w:szCs w:val="21"/>
          <w:vertAlign w:val="subscript"/>
        </w:rPr>
        <w:t>1</w:t>
      </w:r>
      <w:r>
        <w:rPr>
          <w:rFonts w:hint="eastAsia" w:asciiTheme="minorEastAsia" w:hAnsiTheme="minorEastAsia" w:cstheme="minorEastAsia"/>
          <w:szCs w:val="21"/>
        </w:rPr>
        <w:t>——硝酸银标准滴定溶液的浓度，单位为摩尔每升（mol/L）；</w:t>
      </w:r>
    </w:p>
    <w:p w14:paraId="66307FF6">
      <w:pPr>
        <w:tabs>
          <w:tab w:val="left" w:pos="900"/>
        </w:tabs>
        <w:ind w:firstLine="420" w:firstLineChars="200"/>
        <w:rPr>
          <w:rFonts w:asciiTheme="minorEastAsia" w:hAnsiTheme="minorEastAsia" w:cstheme="minorEastAsia"/>
          <w:i/>
          <w:iCs/>
          <w:szCs w:val="21"/>
        </w:rPr>
      </w:pPr>
      <w:r>
        <w:rPr>
          <w:rFonts w:hint="eastAsia" w:asciiTheme="minorEastAsia" w:hAnsiTheme="minorEastAsia" w:cstheme="minorEastAsia"/>
          <w:i/>
          <w:iCs/>
          <w:szCs w:val="21"/>
        </w:rPr>
        <w:t>V</w:t>
      </w:r>
      <w:r>
        <w:rPr>
          <w:rFonts w:hint="eastAsia" w:asciiTheme="minorEastAsia" w:hAnsiTheme="minorEastAsia" w:cstheme="minorEastAsia"/>
          <w:szCs w:val="21"/>
          <w:vertAlign w:val="subscript"/>
        </w:rPr>
        <w:t>3</w:t>
      </w:r>
      <w:r>
        <w:rPr>
          <w:rFonts w:hint="eastAsia" w:asciiTheme="minorEastAsia" w:hAnsiTheme="minorEastAsia" w:cstheme="minorEastAsia"/>
          <w:szCs w:val="21"/>
        </w:rPr>
        <w:t>——试液消耗硝酸银标准滴定溶液的体积，单位为毫升（mL）；</w:t>
      </w:r>
    </w:p>
    <w:p w14:paraId="6DA9EA03">
      <w:pPr>
        <w:tabs>
          <w:tab w:val="left" w:pos="900"/>
        </w:tabs>
        <w:ind w:firstLine="420" w:firstLineChars="200"/>
        <w:rPr>
          <w:rFonts w:asciiTheme="minorEastAsia" w:hAnsiTheme="minorEastAsia" w:cstheme="minorEastAsia"/>
          <w:szCs w:val="21"/>
        </w:rPr>
      </w:pPr>
      <w:r>
        <w:rPr>
          <w:rFonts w:hint="eastAsia" w:asciiTheme="minorEastAsia" w:hAnsiTheme="minorEastAsia" w:cstheme="minorEastAsia"/>
          <w:i/>
          <w:iCs/>
          <w:szCs w:val="21"/>
        </w:rPr>
        <w:t>V</w:t>
      </w:r>
      <w:r>
        <w:rPr>
          <w:rFonts w:hint="eastAsia" w:asciiTheme="minorEastAsia" w:hAnsiTheme="minorEastAsia" w:cstheme="minorEastAsia"/>
          <w:szCs w:val="21"/>
          <w:vertAlign w:val="subscript"/>
        </w:rPr>
        <w:t>2</w:t>
      </w:r>
      <w:r>
        <w:rPr>
          <w:rFonts w:hint="eastAsia" w:asciiTheme="minorEastAsia" w:hAnsiTheme="minorEastAsia" w:cstheme="minorEastAsia"/>
          <w:szCs w:val="21"/>
        </w:rPr>
        <w:t>——空白消耗硝酸银标准滴定溶液的体积，单位为毫升（mL）；</w:t>
      </w:r>
    </w:p>
    <w:p w14:paraId="2A8379A4">
      <w:pPr>
        <w:tabs>
          <w:tab w:val="left" w:pos="900"/>
        </w:tabs>
        <w:ind w:firstLine="420" w:firstLineChars="200"/>
        <w:rPr>
          <w:rFonts w:asciiTheme="minorEastAsia" w:hAnsiTheme="minorEastAsia" w:cstheme="minorEastAsia"/>
          <w:szCs w:val="21"/>
        </w:rPr>
      </w:pPr>
      <w:r>
        <w:rPr>
          <w:rFonts w:hint="eastAsia" w:asciiTheme="minorEastAsia" w:hAnsiTheme="minorEastAsia" w:cstheme="minorEastAsia"/>
          <w:i/>
          <w:iCs/>
          <w:szCs w:val="21"/>
        </w:rPr>
        <w:t>V</w:t>
      </w:r>
      <w:r>
        <w:rPr>
          <w:rFonts w:hint="eastAsia" w:asciiTheme="minorEastAsia" w:hAnsiTheme="minorEastAsia" w:cstheme="minorEastAsia"/>
          <w:szCs w:val="21"/>
          <w:vertAlign w:val="subscript"/>
        </w:rPr>
        <w:t>4</w:t>
      </w:r>
      <w:r>
        <w:rPr>
          <w:rFonts w:hint="eastAsia" w:asciiTheme="minorEastAsia" w:hAnsiTheme="minorEastAsia" w:cstheme="minorEastAsia"/>
          <w:szCs w:val="21"/>
        </w:rPr>
        <w:t>——试液总体积，单位为毫升（mL）；</w:t>
      </w:r>
    </w:p>
    <w:p w14:paraId="10DE487F">
      <w:pPr>
        <w:tabs>
          <w:tab w:val="left" w:pos="900"/>
        </w:tabs>
        <w:ind w:firstLine="420" w:firstLineChars="200"/>
        <w:rPr>
          <w:rFonts w:asciiTheme="minorEastAsia" w:hAnsiTheme="minorEastAsia" w:cstheme="minorEastAsia"/>
          <w:szCs w:val="21"/>
        </w:rPr>
      </w:pPr>
      <w:r>
        <w:rPr>
          <w:rFonts w:hint="eastAsia" w:asciiTheme="minorEastAsia" w:hAnsiTheme="minorEastAsia" w:cstheme="minorEastAsia"/>
          <w:i/>
          <w:iCs/>
          <w:szCs w:val="21"/>
        </w:rPr>
        <w:t>V</w:t>
      </w:r>
      <w:r>
        <w:rPr>
          <w:rFonts w:hint="eastAsia" w:asciiTheme="minorEastAsia" w:hAnsiTheme="minorEastAsia" w:cstheme="minorEastAsia"/>
          <w:szCs w:val="21"/>
          <w:vertAlign w:val="subscript"/>
        </w:rPr>
        <w:t>5</w:t>
      </w:r>
      <w:r>
        <w:rPr>
          <w:rFonts w:hint="eastAsia" w:asciiTheme="minorEastAsia" w:hAnsiTheme="minorEastAsia" w:cstheme="minorEastAsia"/>
          <w:szCs w:val="21"/>
        </w:rPr>
        <w:t>——滴定时分取试液体积，单位为毫升（mL）；</w:t>
      </w:r>
    </w:p>
    <w:p w14:paraId="3A8FE14A">
      <w:pPr>
        <w:tabs>
          <w:tab w:val="left" w:pos="900"/>
        </w:tabs>
        <w:ind w:firstLine="420" w:firstLineChars="200"/>
        <w:rPr>
          <w:rFonts w:ascii="Times New Roman" w:hAnsi="Times New Roman" w:eastAsia="宋体" w:cs="Times New Roman"/>
          <w:szCs w:val="21"/>
        </w:rPr>
      </w:pPr>
      <w:r>
        <w:rPr>
          <w:rFonts w:hint="eastAsia" w:asciiTheme="minorEastAsia" w:hAnsiTheme="minorEastAsia" w:cstheme="minorEastAsia"/>
          <w:i/>
          <w:iCs/>
          <w:szCs w:val="21"/>
        </w:rPr>
        <w:t>m</w:t>
      </w:r>
      <w:r>
        <w:rPr>
          <w:rFonts w:asciiTheme="minorEastAsia" w:hAnsiTheme="minorEastAsia" w:cstheme="minorEastAsia"/>
          <w:spacing w:val="20"/>
          <w:w w:val="33"/>
          <w:szCs w:val="21"/>
        </w:rPr>
        <w:t xml:space="preserve"> </w:t>
      </w:r>
      <w:r>
        <w:rPr>
          <w:rFonts w:hint="eastAsia" w:asciiTheme="minorEastAsia" w:hAnsiTheme="minorEastAsia" w:cstheme="minorEastAsia"/>
          <w:szCs w:val="21"/>
        </w:rPr>
        <w:t>——试</w:t>
      </w:r>
      <w:r>
        <w:rPr>
          <w:rFonts w:hint="eastAsia" w:ascii="Times New Roman" w:hAnsi="Times New Roman" w:eastAsia="宋体" w:cs="Times New Roman"/>
          <w:szCs w:val="21"/>
        </w:rPr>
        <w:t>料质量，单</w:t>
      </w:r>
      <w:r>
        <w:rPr>
          <w:rFonts w:hint="eastAsia" w:asciiTheme="minorEastAsia" w:hAnsiTheme="minorEastAsia" w:cstheme="minorEastAsia"/>
          <w:szCs w:val="21"/>
        </w:rPr>
        <w:t>位为克（g）。</w:t>
      </w:r>
    </w:p>
    <w:p w14:paraId="07B6F084">
      <w:pPr>
        <w:tabs>
          <w:tab w:val="left" w:pos="1260"/>
        </w:tabs>
        <w:ind w:firstLine="420" w:firstLineChars="200"/>
        <w:rPr>
          <w:rFonts w:hint="eastAsia" w:ascii="黑体" w:hAnsi="黑体" w:eastAsia="黑体" w:cs="Times New Roman"/>
        </w:rPr>
      </w:pPr>
      <w:r>
        <w:rPr>
          <w:szCs w:val="24"/>
        </w:rPr>
        <w:t>计算结果表示至小数点后</w:t>
      </w:r>
      <w:r>
        <w:rPr>
          <w:rFonts w:hint="eastAsia"/>
          <w:szCs w:val="24"/>
        </w:rPr>
        <w:t>两</w:t>
      </w:r>
      <w:r>
        <w:rPr>
          <w:rFonts w:hint="eastAsia" w:asciiTheme="minorEastAsia" w:hAnsiTheme="minorEastAsia" w:cstheme="minorEastAsia"/>
          <w:szCs w:val="24"/>
        </w:rPr>
        <w:t>位，</w:t>
      </w:r>
      <w:r>
        <w:rPr>
          <w:rFonts w:hint="eastAsia" w:asciiTheme="minorEastAsia" w:hAnsiTheme="minorEastAsia" w:cstheme="minorEastAsia"/>
          <w:spacing w:val="6"/>
          <w:szCs w:val="24"/>
        </w:rPr>
        <w:t>数值修约按GB/T 8170的规定进行</w:t>
      </w:r>
      <w:r>
        <w:rPr>
          <w:spacing w:val="6"/>
          <w:szCs w:val="24"/>
        </w:rPr>
        <w:t>。</w:t>
      </w:r>
    </w:p>
    <w:p w14:paraId="14755989">
      <w:pPr>
        <w:spacing w:line="360" w:lineRule="auto"/>
        <w:rPr>
          <w:rFonts w:asciiTheme="minorEastAsia" w:hAnsiTheme="minorEastAsia" w:cstheme="minorEastAsia"/>
          <w:bCs/>
          <w:color w:val="FF0000"/>
          <w:szCs w:val="21"/>
        </w:rPr>
      </w:pPr>
      <w:r>
        <w:rPr>
          <w:rFonts w:hint="eastAsia" w:ascii="黑体" w:hAnsi="黑体" w:eastAsia="黑体" w:cs="Times New Roman"/>
        </w:rPr>
        <w:t>9.2</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szCs w:val="21"/>
        </w:rPr>
        <w:t>试样</w:t>
      </w:r>
      <w:r>
        <w:rPr>
          <w:rFonts w:hint="eastAsia" w:ascii="Times New Roman" w:hAnsi="Times New Roman" w:eastAsia="宋体" w:cs="Times New Roman"/>
          <w:szCs w:val="21"/>
        </w:rPr>
        <w:t>的氯含量以氯的质量分数</w:t>
      </w:r>
      <w:r>
        <w:rPr>
          <w:rFonts w:hint="eastAsia" w:ascii="Times New Roman" w:hAnsi="Times New Roman" w:eastAsia="宋体" w:cs="Times New Roman"/>
          <w:i/>
          <w:iCs/>
          <w:szCs w:val="21"/>
        </w:rPr>
        <w:t>w</w:t>
      </w:r>
      <w:r>
        <w:rPr>
          <w:rFonts w:hint="eastAsia" w:ascii="Times New Roman" w:hAnsi="Times New Roman" w:eastAsia="宋体" w:cs="Times New Roman"/>
          <w:i/>
          <w:iCs/>
          <w:szCs w:val="21"/>
          <w:vertAlign w:val="subscript"/>
        </w:rPr>
        <w:t>2</w:t>
      </w:r>
      <w:r>
        <w:rPr>
          <w:rFonts w:hint="eastAsia" w:ascii="Times New Roman" w:hAnsi="Times New Roman" w:eastAsia="宋体" w:cs="Times New Roman"/>
          <w:szCs w:val="21"/>
        </w:rPr>
        <w:t>计，</w:t>
      </w:r>
      <w:r>
        <w:rPr>
          <w:szCs w:val="21"/>
        </w:rPr>
        <w:t>数</w:t>
      </w:r>
      <w:r>
        <w:rPr>
          <w:rFonts w:hint="eastAsia" w:asciiTheme="minorEastAsia" w:hAnsiTheme="minorEastAsia" w:cstheme="minorEastAsia"/>
          <w:szCs w:val="21"/>
        </w:rPr>
        <w:t>值以%表示，按公式（3）计算：</w:t>
      </w:r>
    </w:p>
    <w:p w14:paraId="74F89F61">
      <w:pPr>
        <w:jc w:val="right"/>
        <w:rPr>
          <w:szCs w:val="24"/>
        </w:rPr>
      </w:pPr>
      <w:r>
        <w:rPr>
          <w:spacing w:val="6"/>
          <w:szCs w:val="24"/>
        </w:rPr>
        <w:t xml:space="preserve">  </w:t>
      </w:r>
      <w:r>
        <w:rPr>
          <w:spacing w:val="6"/>
          <w:position w:val="-30"/>
          <w:szCs w:val="24"/>
        </w:rPr>
        <w:object>
          <v:shape id="_x0000_i1027" o:spt="75" type="#_x0000_t75" style="height:34.15pt;width:67.15pt;" o:ole="t" filled="f" o:preferrelative="t" stroked="f" coordsize="21600,21600">
            <v:path/>
            <v:fill on="f" focussize="0,0"/>
            <v:stroke on="f" joinstyle="miter"/>
            <v:imagedata r:id="rId12" o:title=""/>
            <o:lock v:ext="edit" aspectratio="t"/>
            <w10:wrap type="none"/>
            <w10:anchorlock/>
          </v:shape>
          <o:OLEObject Type="Embed" ProgID="Equation.KSEE3" ShapeID="_x0000_i1027" DrawAspect="Content" ObjectID="_1468075727" r:id="rId11">
            <o:LockedField>false</o:LockedField>
          </o:OLEObject>
        </w:object>
      </w:r>
      <w:r>
        <w:rPr>
          <w:szCs w:val="24"/>
        </w:rPr>
        <w:t xml:space="preserve">     ........................................................</w:t>
      </w:r>
      <w:r>
        <w:rPr>
          <w:rFonts w:hint="eastAsia"/>
        </w:rPr>
        <w:t>（3）</w:t>
      </w:r>
    </w:p>
    <w:p w14:paraId="01073870">
      <w:pPr>
        <w:ind w:firstLine="420" w:firstLineChars="200"/>
        <w:rPr>
          <w:szCs w:val="24"/>
        </w:rPr>
      </w:pPr>
      <w:r>
        <w:rPr>
          <w:szCs w:val="24"/>
        </w:rPr>
        <w:t>式中：</w:t>
      </w:r>
    </w:p>
    <w:p w14:paraId="0D0CDF42">
      <w:pPr>
        <w:ind w:firstLine="444" w:firstLineChars="200"/>
        <w:rPr>
          <w:rFonts w:asciiTheme="minorEastAsia" w:hAnsiTheme="minorEastAsia" w:cstheme="minorEastAsia"/>
          <w:szCs w:val="24"/>
        </w:rPr>
      </w:pPr>
      <w:r>
        <w:rPr>
          <w:rFonts w:hint="eastAsia" w:asciiTheme="minorEastAsia" w:hAnsiTheme="minorEastAsia" w:cstheme="minorEastAsia"/>
          <w:i/>
          <w:spacing w:val="6"/>
          <w:szCs w:val="24"/>
        </w:rPr>
        <w:t>w</w:t>
      </w:r>
      <w:r>
        <w:rPr>
          <w:rFonts w:hint="eastAsia" w:asciiTheme="minorEastAsia" w:hAnsiTheme="minorEastAsia" w:cstheme="minorEastAsia"/>
          <w:spacing w:val="6"/>
          <w:szCs w:val="24"/>
          <w:vertAlign w:val="subscript"/>
        </w:rPr>
        <w:t>1</w:t>
      </w:r>
      <w:r>
        <w:rPr>
          <w:rFonts w:hint="eastAsia" w:asciiTheme="minorEastAsia" w:hAnsiTheme="minorEastAsia" w:cstheme="minorEastAsia"/>
          <w:szCs w:val="24"/>
        </w:rPr>
        <w:t>—筛下试样中的氯含量，数值以%表示;</w:t>
      </w:r>
    </w:p>
    <w:p w14:paraId="41DD8DCA">
      <w:pPr>
        <w:ind w:firstLine="420" w:firstLineChars="200"/>
        <w:rPr>
          <w:rFonts w:asciiTheme="minorEastAsia" w:hAnsiTheme="minorEastAsia" w:cstheme="minorEastAsia"/>
          <w:szCs w:val="24"/>
        </w:rPr>
      </w:pPr>
      <w:r>
        <w:rPr>
          <w:rFonts w:hint="eastAsia" w:asciiTheme="minorEastAsia" w:hAnsiTheme="minorEastAsia" w:cstheme="minorEastAsia"/>
          <w:i/>
          <w:szCs w:val="24"/>
        </w:rPr>
        <w:t>m</w:t>
      </w:r>
      <w:r>
        <w:rPr>
          <w:rFonts w:hint="eastAsia" w:asciiTheme="minorEastAsia" w:hAnsiTheme="minorEastAsia" w:cstheme="minorEastAsia"/>
          <w:i/>
          <w:szCs w:val="24"/>
          <w:vertAlign w:val="subscript"/>
        </w:rPr>
        <w:t>2</w:t>
      </w:r>
      <w:r>
        <w:rPr>
          <w:rFonts w:hint="eastAsia" w:asciiTheme="minorEastAsia" w:hAnsiTheme="minorEastAsia" w:cstheme="minorEastAsia"/>
          <w:szCs w:val="24"/>
        </w:rPr>
        <w:t>—筛下试样的质量，单位为克（g）；</w:t>
      </w:r>
    </w:p>
    <w:p w14:paraId="6B95672B">
      <w:pPr>
        <w:ind w:firstLine="420" w:firstLineChars="200"/>
        <w:rPr>
          <w:szCs w:val="24"/>
        </w:rPr>
      </w:pPr>
      <w:r>
        <w:rPr>
          <w:rFonts w:hint="eastAsia" w:asciiTheme="minorEastAsia" w:hAnsiTheme="minorEastAsia" w:cstheme="minorEastAsia"/>
          <w:i/>
          <w:szCs w:val="24"/>
        </w:rPr>
        <w:t>m</w:t>
      </w:r>
      <w:r>
        <w:rPr>
          <w:rFonts w:hint="eastAsia" w:asciiTheme="minorEastAsia" w:hAnsiTheme="minorEastAsia" w:cstheme="minorEastAsia"/>
          <w:i/>
          <w:szCs w:val="24"/>
          <w:vertAlign w:val="subscript"/>
        </w:rPr>
        <w:t>1</w:t>
      </w:r>
      <w:r>
        <w:rPr>
          <w:rFonts w:hint="eastAsia" w:asciiTheme="minorEastAsia" w:hAnsiTheme="minorEastAsia" w:cstheme="minorEastAsia"/>
          <w:szCs w:val="24"/>
        </w:rPr>
        <w:t>—铝豆的质</w:t>
      </w:r>
      <w:r>
        <w:rPr>
          <w:rFonts w:hint="eastAsia"/>
          <w:szCs w:val="24"/>
        </w:rPr>
        <w:t>量</w:t>
      </w:r>
      <w:r>
        <w:rPr>
          <w:szCs w:val="24"/>
        </w:rPr>
        <w:t>，单</w:t>
      </w:r>
      <w:r>
        <w:rPr>
          <w:rFonts w:hint="eastAsia" w:asciiTheme="minorEastAsia" w:hAnsiTheme="minorEastAsia" w:cstheme="minorEastAsia"/>
          <w:szCs w:val="24"/>
        </w:rPr>
        <w:t>位为克（g）。</w:t>
      </w:r>
    </w:p>
    <w:p w14:paraId="5DA3CA9D">
      <w:pPr>
        <w:tabs>
          <w:tab w:val="left" w:pos="1260"/>
        </w:tabs>
        <w:ind w:firstLine="420" w:firstLineChars="200"/>
        <w:rPr>
          <w:spacing w:val="6"/>
          <w:szCs w:val="24"/>
        </w:rPr>
      </w:pPr>
      <w:r>
        <w:rPr>
          <w:szCs w:val="24"/>
        </w:rPr>
        <w:t>计算结果表示至小数点后</w:t>
      </w:r>
      <w:r>
        <w:rPr>
          <w:rFonts w:hint="eastAsia"/>
          <w:szCs w:val="24"/>
        </w:rPr>
        <w:t>两</w:t>
      </w:r>
      <w:r>
        <w:rPr>
          <w:rFonts w:hint="eastAsia" w:asciiTheme="minorEastAsia" w:hAnsiTheme="minorEastAsia" w:cstheme="minorEastAsia"/>
          <w:szCs w:val="24"/>
        </w:rPr>
        <w:t>位，</w:t>
      </w:r>
      <w:r>
        <w:rPr>
          <w:rFonts w:hint="eastAsia" w:asciiTheme="minorEastAsia" w:hAnsiTheme="minorEastAsia" w:cstheme="minorEastAsia"/>
          <w:spacing w:val="6"/>
          <w:szCs w:val="24"/>
        </w:rPr>
        <w:t>数值修约按GB/T 8170的规定进行</w:t>
      </w:r>
      <w:r>
        <w:rPr>
          <w:spacing w:val="6"/>
          <w:szCs w:val="24"/>
        </w:rPr>
        <w:t>。</w:t>
      </w:r>
    </w:p>
    <w:p w14:paraId="6FA0DBBF">
      <w:pPr>
        <w:numPr>
          <w:ilvl w:val="0"/>
          <w:numId w:val="3"/>
        </w:numPr>
        <w:spacing w:before="156" w:beforeLines="50" w:after="156" w:afterLines="50" w:line="360" w:lineRule="auto"/>
        <w:ind w:left="363" w:hanging="363"/>
        <w:jc w:val="left"/>
        <w:rPr>
          <w:rFonts w:ascii="黑体" w:hAnsi="黑体" w:eastAsia="黑体" w:cs="Times New Roman"/>
          <w:szCs w:val="24"/>
        </w:rPr>
      </w:pPr>
      <w:r>
        <w:rPr>
          <w:rFonts w:hint="eastAsia" w:ascii="黑体" w:eastAsia="黑体"/>
          <w:szCs w:val="21"/>
          <w:lang w:val="en-US" w:eastAsia="zh-CN"/>
        </w:rPr>
        <w:t xml:space="preserve"> </w:t>
      </w:r>
      <w:r>
        <w:rPr>
          <w:rFonts w:hint="eastAsia" w:ascii="黑体" w:eastAsia="黑体"/>
          <w:szCs w:val="21"/>
        </w:rPr>
        <w:t>精密度</w:t>
      </w:r>
    </w:p>
    <w:p w14:paraId="091B321D">
      <w:pPr>
        <w:spacing w:before="156" w:beforeLines="50" w:after="156" w:afterLines="50"/>
        <w:outlineLvl w:val="1"/>
        <w:rPr>
          <w:rFonts w:ascii="黑体" w:hAnsi="黑体" w:eastAsia="黑体" w:cs="Times New Roman"/>
          <w:szCs w:val="21"/>
        </w:rPr>
      </w:pPr>
      <w:r>
        <w:rPr>
          <w:rFonts w:hint="eastAsia" w:ascii="黑体" w:hAnsi="黑体" w:eastAsia="黑体" w:cs="Times New Roman"/>
          <w:szCs w:val="21"/>
        </w:rPr>
        <w:t xml:space="preserve">10.1 </w:t>
      </w:r>
      <w:r>
        <w:rPr>
          <w:rFonts w:ascii="黑体" w:hAnsi="黑体" w:eastAsia="黑体" w:cs="Times New Roman"/>
          <w:szCs w:val="21"/>
        </w:rPr>
        <w:t xml:space="preserve"> </w:t>
      </w:r>
      <w:r>
        <w:rPr>
          <w:rFonts w:hint="eastAsia" w:ascii="黑体" w:hAnsi="黑体" w:eastAsia="黑体" w:cs="Times New Roman"/>
          <w:szCs w:val="21"/>
        </w:rPr>
        <w:t>重复性</w:t>
      </w:r>
    </w:p>
    <w:p w14:paraId="735E4299">
      <w:pPr>
        <w:ind w:firstLine="420" w:firstLineChars="200"/>
        <w:rPr>
          <w:rFonts w:hint="eastAsia" w:ascii="宋体" w:hAnsi="宋体" w:eastAsia="宋体"/>
          <w:sz w:val="21"/>
          <w:szCs w:val="21"/>
          <w:lang w:val="en-US" w:eastAsia="zh-CN"/>
        </w:rPr>
      </w:pPr>
      <w:r>
        <w:rPr>
          <w:rFonts w:hint="eastAsia" w:ascii="宋体" w:hAnsi="宋体" w:eastAsia="宋体"/>
          <w:sz w:val="21"/>
          <w:szCs w:val="21"/>
          <w:lang w:val="en-US" w:eastAsia="zh-CN"/>
        </w:rPr>
        <w:t>筛下试样在重复性条件下获得的两次独立测试结果的测定值的相对误差不超过重复性限（r），超过重复性限（r）的情况不超过5%。重复性限(r)按表3数据采用线性内插法或外延法求得：</w:t>
      </w:r>
    </w:p>
    <w:p w14:paraId="022DCD0A">
      <w:pPr>
        <w:pStyle w:val="37"/>
        <w:numPr>
          <w:ilvl w:val="0"/>
          <w:numId w:val="1"/>
        </w:numPr>
        <w:adjustRightInd w:val="0"/>
        <w:snapToGrid w:val="0"/>
        <w:spacing w:before="156" w:beforeLines="50" w:after="156" w:afterLines="50"/>
        <w:ind w:firstLineChars="0"/>
        <w:jc w:val="center"/>
        <w:rPr>
          <w:rFonts w:ascii="黑体" w:hAnsi="黑体" w:eastAsia="黑体"/>
          <w:color w:val="000000"/>
        </w:rPr>
      </w:pPr>
      <w:r>
        <w:rPr>
          <w:rFonts w:hint="eastAsia" w:ascii="黑体" w:hAnsi="黑体" w:eastAsia="黑体"/>
          <w:color w:val="000000"/>
        </w:rPr>
        <w:t>表3 重复性限</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1061"/>
        <w:gridCol w:w="1061"/>
        <w:gridCol w:w="1062"/>
        <w:gridCol w:w="1070"/>
        <w:gridCol w:w="1070"/>
        <w:gridCol w:w="1071"/>
        <w:gridCol w:w="1071"/>
      </w:tblGrid>
      <w:tr w14:paraId="01029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51" w:type="dxa"/>
            <w:tcBorders>
              <w:top w:val="single" w:color="auto" w:sz="4" w:space="0"/>
              <w:left w:val="single" w:color="auto" w:sz="4" w:space="0"/>
              <w:bottom w:val="single" w:color="auto" w:sz="4" w:space="0"/>
              <w:right w:val="single" w:color="auto" w:sz="4" w:space="0"/>
            </w:tcBorders>
            <w:vAlign w:val="center"/>
          </w:tcPr>
          <w:p w14:paraId="321FAA03">
            <w:pPr>
              <w:spacing w:line="360" w:lineRule="auto"/>
              <w:jc w:val="center"/>
              <w:rPr>
                <w:rFonts w:asciiTheme="minorEastAsia" w:hAnsiTheme="minorEastAsia" w:cstheme="minorEastAsia"/>
              </w:rPr>
            </w:pPr>
            <w:r>
              <w:rPr>
                <w:rFonts w:hint="eastAsia" w:asciiTheme="minorEastAsia" w:hAnsiTheme="minorEastAsia" w:cstheme="minorEastAsia"/>
                <w:i/>
                <w:iCs w:val="0"/>
              </w:rPr>
              <w:t>w</w:t>
            </w:r>
            <w:r>
              <w:rPr>
                <w:rFonts w:hint="eastAsia" w:asciiTheme="minorEastAsia" w:hAnsiTheme="minorEastAsia" w:cstheme="minorEastAsia"/>
                <w:i/>
                <w:iCs w:val="0"/>
                <w:sz w:val="15"/>
                <w:szCs w:val="15"/>
                <w:vertAlign w:val="subscript"/>
                <w:lang w:val="en-US" w:eastAsia="zh-CN"/>
              </w:rPr>
              <w:t>C</w:t>
            </w:r>
            <w:r>
              <w:rPr>
                <w:rFonts w:hint="eastAsia" w:asciiTheme="minorEastAsia" w:hAnsiTheme="minorEastAsia" w:cstheme="minorEastAsia"/>
                <w:i/>
                <w:iCs w:val="0"/>
                <w:sz w:val="15"/>
                <w:szCs w:val="15"/>
                <w:vertAlign w:val="subscript"/>
              </w:rPr>
              <w:t>l</w:t>
            </w:r>
            <w:r>
              <w:rPr>
                <w:rFonts w:hint="eastAsia" w:asciiTheme="minorEastAsia" w:hAnsiTheme="minorEastAsia" w:cstheme="minorEastAsia"/>
                <w:i w:val="0"/>
                <w:iCs/>
                <w:vertAlign w:val="subscript"/>
              </w:rPr>
              <w:t xml:space="preserve"> </w:t>
            </w:r>
            <w:r>
              <w:rPr>
                <w:rFonts w:hint="eastAsia" w:asciiTheme="minorEastAsia" w:hAnsiTheme="minorEastAsia" w:cstheme="minorEastAsia"/>
              </w:rPr>
              <w:t>/ %</w:t>
            </w:r>
          </w:p>
        </w:tc>
        <w:tc>
          <w:tcPr>
            <w:tcW w:w="1061" w:type="dxa"/>
            <w:tcBorders>
              <w:top w:val="single" w:color="auto" w:sz="4" w:space="0"/>
              <w:left w:val="single" w:color="auto" w:sz="4" w:space="0"/>
              <w:bottom w:val="single" w:color="auto" w:sz="4" w:space="0"/>
              <w:right w:val="single" w:color="auto" w:sz="4" w:space="0"/>
            </w:tcBorders>
            <w:vAlign w:val="center"/>
          </w:tcPr>
          <w:p w14:paraId="03CA0379">
            <w:pPr>
              <w:spacing w:line="360" w:lineRule="auto"/>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0.57</w:t>
            </w:r>
          </w:p>
        </w:tc>
        <w:tc>
          <w:tcPr>
            <w:tcW w:w="1061" w:type="dxa"/>
            <w:tcBorders>
              <w:top w:val="single" w:color="auto" w:sz="4" w:space="0"/>
              <w:left w:val="single" w:color="auto" w:sz="4" w:space="0"/>
              <w:bottom w:val="single" w:color="auto" w:sz="4" w:space="0"/>
              <w:right w:val="single" w:color="auto" w:sz="4" w:space="0"/>
            </w:tcBorders>
            <w:vAlign w:val="center"/>
          </w:tcPr>
          <w:p w14:paraId="77F3DCEB">
            <w:pPr>
              <w:spacing w:line="360" w:lineRule="auto"/>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2.49</w:t>
            </w:r>
          </w:p>
        </w:tc>
        <w:tc>
          <w:tcPr>
            <w:tcW w:w="1062" w:type="dxa"/>
            <w:tcBorders>
              <w:top w:val="single" w:color="auto" w:sz="4" w:space="0"/>
              <w:left w:val="single" w:color="auto" w:sz="4" w:space="0"/>
              <w:bottom w:val="single" w:color="auto" w:sz="4" w:space="0"/>
              <w:right w:val="single" w:color="auto" w:sz="4" w:space="0"/>
            </w:tcBorders>
            <w:vAlign w:val="center"/>
          </w:tcPr>
          <w:p w14:paraId="616F2AC4">
            <w:pPr>
              <w:spacing w:line="360" w:lineRule="auto"/>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5.69</w:t>
            </w:r>
          </w:p>
        </w:tc>
        <w:tc>
          <w:tcPr>
            <w:tcW w:w="1070" w:type="dxa"/>
            <w:tcBorders>
              <w:top w:val="single" w:color="auto" w:sz="4" w:space="0"/>
              <w:left w:val="single" w:color="auto" w:sz="4" w:space="0"/>
              <w:bottom w:val="single" w:color="auto" w:sz="4" w:space="0"/>
              <w:right w:val="single" w:color="auto" w:sz="4" w:space="0"/>
            </w:tcBorders>
          </w:tcPr>
          <w:p w14:paraId="00C883BD">
            <w:pPr>
              <w:spacing w:line="360" w:lineRule="auto"/>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11.39</w:t>
            </w:r>
          </w:p>
        </w:tc>
        <w:tc>
          <w:tcPr>
            <w:tcW w:w="1070" w:type="dxa"/>
            <w:tcBorders>
              <w:top w:val="single" w:color="auto" w:sz="4" w:space="0"/>
              <w:left w:val="single" w:color="auto" w:sz="4" w:space="0"/>
              <w:bottom w:val="single" w:color="auto" w:sz="4" w:space="0"/>
              <w:right w:val="single" w:color="auto" w:sz="4" w:space="0"/>
            </w:tcBorders>
          </w:tcPr>
          <w:p w14:paraId="277297AB">
            <w:pPr>
              <w:spacing w:line="360" w:lineRule="auto"/>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16.54</w:t>
            </w:r>
          </w:p>
        </w:tc>
        <w:tc>
          <w:tcPr>
            <w:tcW w:w="1071" w:type="dxa"/>
            <w:tcBorders>
              <w:top w:val="single" w:color="auto" w:sz="4" w:space="0"/>
              <w:left w:val="single" w:color="auto" w:sz="4" w:space="0"/>
              <w:bottom w:val="single" w:color="auto" w:sz="4" w:space="0"/>
              <w:right w:val="single" w:color="auto" w:sz="4" w:space="0"/>
            </w:tcBorders>
          </w:tcPr>
          <w:p w14:paraId="723142D3">
            <w:pPr>
              <w:spacing w:line="360" w:lineRule="auto"/>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21.02</w:t>
            </w:r>
          </w:p>
        </w:tc>
        <w:tc>
          <w:tcPr>
            <w:tcW w:w="1071" w:type="dxa"/>
            <w:tcBorders>
              <w:top w:val="single" w:color="auto" w:sz="4" w:space="0"/>
              <w:left w:val="single" w:color="auto" w:sz="4" w:space="0"/>
              <w:bottom w:val="single" w:color="auto" w:sz="4" w:space="0"/>
              <w:right w:val="single" w:color="auto" w:sz="4" w:space="0"/>
            </w:tcBorders>
          </w:tcPr>
          <w:p w14:paraId="683CD9A2">
            <w:pPr>
              <w:spacing w:line="360" w:lineRule="auto"/>
              <w:jc w:val="center"/>
              <w:rPr>
                <w:rFonts w:hint="default" w:asciiTheme="minorEastAsia" w:hAnsiTheme="minorEastAsia" w:cstheme="minorEastAsia"/>
                <w:lang w:val="en-US" w:eastAsia="zh-CN"/>
              </w:rPr>
            </w:pPr>
            <w:r>
              <w:rPr>
                <w:rFonts w:hint="eastAsia" w:asciiTheme="minorEastAsia" w:hAnsiTheme="minorEastAsia" w:cstheme="minorEastAsia"/>
                <w:lang w:val="en-US" w:eastAsia="zh-CN"/>
              </w:rPr>
              <w:t>25.64</w:t>
            </w:r>
          </w:p>
        </w:tc>
      </w:tr>
      <w:tr w14:paraId="6C1E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51" w:type="dxa"/>
            <w:tcBorders>
              <w:top w:val="single" w:color="auto" w:sz="4" w:space="0"/>
              <w:left w:val="single" w:color="auto" w:sz="4" w:space="0"/>
              <w:bottom w:val="single" w:color="auto" w:sz="4" w:space="0"/>
              <w:right w:val="single" w:color="auto" w:sz="4" w:space="0"/>
            </w:tcBorders>
            <w:vAlign w:val="center"/>
          </w:tcPr>
          <w:p w14:paraId="5EFD02AB">
            <w:pPr>
              <w:spacing w:line="360" w:lineRule="auto"/>
              <w:jc w:val="center"/>
              <w:rPr>
                <w:rFonts w:asciiTheme="minorEastAsia" w:hAnsiTheme="minorEastAsia" w:cstheme="minorEastAsia"/>
              </w:rPr>
            </w:pPr>
            <w:r>
              <w:rPr>
                <w:rFonts w:hint="eastAsia" w:asciiTheme="minorEastAsia" w:hAnsiTheme="minorEastAsia" w:cstheme="minorEastAsia"/>
                <w:i/>
              </w:rPr>
              <w:t>r</w:t>
            </w:r>
            <w:r>
              <w:rPr>
                <w:rFonts w:hint="eastAsia" w:asciiTheme="minorEastAsia" w:hAnsiTheme="minorEastAsia" w:cstheme="minorEastAsia"/>
              </w:rPr>
              <w:t xml:space="preserve"> / %</w:t>
            </w:r>
          </w:p>
        </w:tc>
        <w:tc>
          <w:tcPr>
            <w:tcW w:w="1061" w:type="dxa"/>
            <w:tcBorders>
              <w:top w:val="single" w:color="auto" w:sz="4" w:space="0"/>
              <w:left w:val="single" w:color="auto" w:sz="4" w:space="0"/>
              <w:bottom w:val="single" w:color="auto" w:sz="4" w:space="0"/>
              <w:right w:val="single" w:color="auto" w:sz="4" w:space="0"/>
            </w:tcBorders>
            <w:vAlign w:val="center"/>
          </w:tcPr>
          <w:p w14:paraId="2B5C317D">
            <w:pPr>
              <w:spacing w:line="360" w:lineRule="auto"/>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0.15</w:t>
            </w:r>
          </w:p>
        </w:tc>
        <w:tc>
          <w:tcPr>
            <w:tcW w:w="1061" w:type="dxa"/>
            <w:tcBorders>
              <w:top w:val="single" w:color="auto" w:sz="4" w:space="0"/>
              <w:left w:val="single" w:color="auto" w:sz="4" w:space="0"/>
              <w:bottom w:val="single" w:color="auto" w:sz="4" w:space="0"/>
              <w:right w:val="single" w:color="auto" w:sz="4" w:space="0"/>
            </w:tcBorders>
            <w:vAlign w:val="center"/>
          </w:tcPr>
          <w:p w14:paraId="0AE35A4F">
            <w:pPr>
              <w:spacing w:line="360" w:lineRule="auto"/>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0.22</w:t>
            </w:r>
          </w:p>
        </w:tc>
        <w:tc>
          <w:tcPr>
            <w:tcW w:w="1062" w:type="dxa"/>
            <w:tcBorders>
              <w:top w:val="single" w:color="auto" w:sz="4" w:space="0"/>
              <w:left w:val="single" w:color="auto" w:sz="4" w:space="0"/>
              <w:bottom w:val="single" w:color="auto" w:sz="4" w:space="0"/>
              <w:right w:val="single" w:color="auto" w:sz="4" w:space="0"/>
            </w:tcBorders>
            <w:vAlign w:val="center"/>
          </w:tcPr>
          <w:p w14:paraId="4F0C50A1">
            <w:pPr>
              <w:spacing w:line="360" w:lineRule="auto"/>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0.28</w:t>
            </w:r>
          </w:p>
        </w:tc>
        <w:tc>
          <w:tcPr>
            <w:tcW w:w="1070" w:type="dxa"/>
            <w:tcBorders>
              <w:top w:val="single" w:color="auto" w:sz="4" w:space="0"/>
              <w:left w:val="single" w:color="auto" w:sz="4" w:space="0"/>
              <w:bottom w:val="single" w:color="auto" w:sz="4" w:space="0"/>
              <w:right w:val="single" w:color="auto" w:sz="4" w:space="0"/>
            </w:tcBorders>
          </w:tcPr>
          <w:p w14:paraId="267E18B7">
            <w:pPr>
              <w:spacing w:line="360" w:lineRule="auto"/>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0.38</w:t>
            </w:r>
          </w:p>
        </w:tc>
        <w:tc>
          <w:tcPr>
            <w:tcW w:w="1070" w:type="dxa"/>
            <w:tcBorders>
              <w:top w:val="single" w:color="auto" w:sz="4" w:space="0"/>
              <w:left w:val="single" w:color="auto" w:sz="4" w:space="0"/>
              <w:bottom w:val="single" w:color="auto" w:sz="4" w:space="0"/>
              <w:right w:val="single" w:color="auto" w:sz="4" w:space="0"/>
            </w:tcBorders>
          </w:tcPr>
          <w:p w14:paraId="4E86F15B">
            <w:pPr>
              <w:spacing w:line="360" w:lineRule="auto"/>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0.37</w:t>
            </w:r>
          </w:p>
        </w:tc>
        <w:tc>
          <w:tcPr>
            <w:tcW w:w="1071" w:type="dxa"/>
            <w:tcBorders>
              <w:top w:val="single" w:color="auto" w:sz="4" w:space="0"/>
              <w:left w:val="single" w:color="auto" w:sz="4" w:space="0"/>
              <w:bottom w:val="single" w:color="auto" w:sz="4" w:space="0"/>
              <w:right w:val="single" w:color="auto" w:sz="4" w:space="0"/>
            </w:tcBorders>
          </w:tcPr>
          <w:p w14:paraId="29E617D6">
            <w:pPr>
              <w:spacing w:line="360" w:lineRule="auto"/>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0.35</w:t>
            </w:r>
          </w:p>
        </w:tc>
        <w:tc>
          <w:tcPr>
            <w:tcW w:w="1071" w:type="dxa"/>
            <w:tcBorders>
              <w:top w:val="single" w:color="auto" w:sz="4" w:space="0"/>
              <w:left w:val="single" w:color="auto" w:sz="4" w:space="0"/>
              <w:bottom w:val="single" w:color="auto" w:sz="4" w:space="0"/>
              <w:right w:val="single" w:color="auto" w:sz="4" w:space="0"/>
            </w:tcBorders>
          </w:tcPr>
          <w:p w14:paraId="562D4097">
            <w:pPr>
              <w:spacing w:line="360" w:lineRule="auto"/>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0.39</w:t>
            </w:r>
          </w:p>
        </w:tc>
      </w:tr>
    </w:tbl>
    <w:p w14:paraId="356B62E2">
      <w:pPr>
        <w:spacing w:before="156" w:beforeLines="50" w:after="156" w:afterLines="50"/>
        <w:outlineLvl w:val="1"/>
        <w:rPr>
          <w:rFonts w:ascii="黑体" w:hAnsi="黑体" w:eastAsia="黑体" w:cs="Times New Roman"/>
          <w:szCs w:val="21"/>
        </w:rPr>
      </w:pPr>
      <w:r>
        <w:rPr>
          <w:rFonts w:hint="eastAsia" w:ascii="黑体" w:hAnsi="黑体" w:eastAsia="黑体" w:cs="Times New Roman"/>
          <w:szCs w:val="21"/>
        </w:rPr>
        <w:t xml:space="preserve">10.2 </w:t>
      </w:r>
      <w:r>
        <w:rPr>
          <w:rFonts w:ascii="黑体" w:hAnsi="黑体" w:eastAsia="黑体" w:cs="Times New Roman"/>
          <w:szCs w:val="21"/>
        </w:rPr>
        <w:t xml:space="preserve"> </w:t>
      </w:r>
      <w:r>
        <w:rPr>
          <w:rFonts w:hint="eastAsia" w:ascii="黑体" w:hAnsi="黑体" w:eastAsia="黑体" w:cs="Times New Roman"/>
          <w:szCs w:val="21"/>
        </w:rPr>
        <w:t>再现性</w:t>
      </w:r>
    </w:p>
    <w:p w14:paraId="5205B73B">
      <w:pPr>
        <w:ind w:firstLine="420" w:firstLineChars="200"/>
        <w:rPr>
          <w:rFonts w:ascii="宋体" w:hAnsi="宋体" w:eastAsia="宋体"/>
          <w:sz w:val="21"/>
          <w:szCs w:val="21"/>
        </w:rPr>
      </w:pPr>
      <w:r>
        <w:rPr>
          <w:rFonts w:hint="eastAsia" w:ascii="宋体" w:hAnsi="宋体" w:eastAsia="宋体"/>
          <w:sz w:val="21"/>
          <w:szCs w:val="21"/>
        </w:rPr>
        <w:t>筛下试样</w:t>
      </w:r>
      <w:r>
        <w:rPr>
          <w:rFonts w:ascii="宋体" w:hAnsi="宋体" w:eastAsia="宋体"/>
          <w:sz w:val="21"/>
          <w:szCs w:val="21"/>
        </w:rPr>
        <w:t>在再现性条件下获得的两次独立测试结果的测定值的</w:t>
      </w:r>
      <w:r>
        <w:rPr>
          <w:rFonts w:hint="eastAsia" w:ascii="宋体" w:hAnsi="宋体" w:eastAsia="宋体"/>
          <w:sz w:val="21"/>
          <w:szCs w:val="21"/>
        </w:rPr>
        <w:t>相</w:t>
      </w:r>
      <w:r>
        <w:rPr>
          <w:rFonts w:ascii="宋体" w:hAnsi="宋体" w:eastAsia="宋体"/>
          <w:sz w:val="21"/>
          <w:szCs w:val="21"/>
        </w:rPr>
        <w:t>对</w:t>
      </w:r>
      <w:r>
        <w:rPr>
          <w:rFonts w:hint="eastAsia" w:ascii="宋体" w:hAnsi="宋体" w:eastAsia="宋体"/>
          <w:sz w:val="21"/>
          <w:szCs w:val="21"/>
        </w:rPr>
        <w:t>误差</w:t>
      </w:r>
      <w:r>
        <w:rPr>
          <w:rFonts w:ascii="宋体" w:hAnsi="宋体" w:eastAsia="宋体"/>
          <w:sz w:val="21"/>
          <w:szCs w:val="21"/>
        </w:rPr>
        <w:t>不超过再现性限（R），超过重复性限（R）的情况不超过5%。</w:t>
      </w:r>
      <w:r>
        <w:rPr>
          <w:szCs w:val="24"/>
        </w:rPr>
        <w:t>再现性</w:t>
      </w:r>
      <w:r>
        <w:rPr>
          <w:bCs/>
          <w:szCs w:val="21"/>
        </w:rPr>
        <w:t>限（</w:t>
      </w:r>
      <w:r>
        <w:rPr>
          <w:bCs/>
          <w:i/>
          <w:szCs w:val="21"/>
        </w:rPr>
        <w:t>R</w:t>
      </w:r>
      <w:r>
        <w:rPr>
          <w:bCs/>
          <w:szCs w:val="21"/>
        </w:rPr>
        <w:t>）按表</w:t>
      </w:r>
      <w:r>
        <w:rPr>
          <w:rFonts w:hint="eastAsia"/>
          <w:bCs/>
          <w:szCs w:val="21"/>
          <w:lang w:val="en-US" w:eastAsia="zh-CN"/>
        </w:rPr>
        <w:t>4</w:t>
      </w:r>
      <w:r>
        <w:rPr>
          <w:bCs/>
          <w:szCs w:val="21"/>
        </w:rPr>
        <w:t>数据采用线性内插法或外延法求得：</w:t>
      </w:r>
    </w:p>
    <w:p w14:paraId="3F7F0D6C">
      <w:pPr>
        <w:pStyle w:val="37"/>
        <w:numPr>
          <w:ilvl w:val="0"/>
          <w:numId w:val="1"/>
        </w:numPr>
        <w:adjustRightInd w:val="0"/>
        <w:snapToGrid w:val="0"/>
        <w:spacing w:before="156" w:beforeLines="50" w:after="156" w:afterLines="50"/>
        <w:ind w:firstLineChars="0"/>
        <w:jc w:val="center"/>
        <w:rPr>
          <w:rFonts w:ascii="黑体" w:hAnsi="黑体" w:eastAsia="黑体"/>
          <w:color w:val="000000"/>
        </w:rPr>
      </w:pPr>
      <w:r>
        <w:rPr>
          <w:rFonts w:hint="eastAsia" w:ascii="黑体" w:hAnsi="黑体" w:eastAsia="黑体"/>
          <w:color w:val="000000"/>
        </w:rPr>
        <w:t>表4 再现性限</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1061"/>
        <w:gridCol w:w="1061"/>
        <w:gridCol w:w="1062"/>
        <w:gridCol w:w="1070"/>
        <w:gridCol w:w="1070"/>
        <w:gridCol w:w="1071"/>
        <w:gridCol w:w="1071"/>
      </w:tblGrid>
      <w:tr w14:paraId="2726F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51" w:type="dxa"/>
            <w:tcBorders>
              <w:top w:val="single" w:color="auto" w:sz="4" w:space="0"/>
              <w:left w:val="single" w:color="auto" w:sz="4" w:space="0"/>
              <w:bottom w:val="single" w:color="auto" w:sz="4" w:space="0"/>
              <w:right w:val="single" w:color="auto" w:sz="4" w:space="0"/>
            </w:tcBorders>
            <w:vAlign w:val="center"/>
          </w:tcPr>
          <w:p w14:paraId="3ABF4CBB">
            <w:pPr>
              <w:spacing w:line="360" w:lineRule="auto"/>
              <w:jc w:val="center"/>
              <w:rPr>
                <w:rFonts w:asciiTheme="minorEastAsia" w:hAnsiTheme="minorEastAsia" w:cstheme="minorEastAsia"/>
              </w:rPr>
            </w:pPr>
            <w:r>
              <w:rPr>
                <w:rFonts w:hint="eastAsia" w:asciiTheme="minorEastAsia" w:hAnsiTheme="minorEastAsia" w:cstheme="minorEastAsia"/>
                <w:i/>
                <w:iCs w:val="0"/>
              </w:rPr>
              <w:t>w</w:t>
            </w:r>
            <w:r>
              <w:rPr>
                <w:rFonts w:hint="eastAsia" w:asciiTheme="minorEastAsia" w:hAnsiTheme="minorEastAsia" w:cstheme="minorEastAsia"/>
                <w:i/>
                <w:iCs w:val="0"/>
                <w:sz w:val="15"/>
                <w:szCs w:val="15"/>
                <w:vertAlign w:val="subscript"/>
                <w:lang w:val="en-US" w:eastAsia="zh-CN"/>
              </w:rPr>
              <w:t>C</w:t>
            </w:r>
            <w:r>
              <w:rPr>
                <w:rFonts w:hint="eastAsia" w:asciiTheme="minorEastAsia" w:hAnsiTheme="minorEastAsia" w:cstheme="minorEastAsia"/>
                <w:i/>
                <w:iCs w:val="0"/>
                <w:sz w:val="15"/>
                <w:szCs w:val="15"/>
                <w:vertAlign w:val="subscript"/>
              </w:rPr>
              <w:t>l</w:t>
            </w:r>
            <w:r>
              <w:rPr>
                <w:rFonts w:hint="eastAsia" w:asciiTheme="minorEastAsia" w:hAnsiTheme="minorEastAsia" w:cstheme="minorEastAsia"/>
                <w:i w:val="0"/>
                <w:iCs/>
                <w:vertAlign w:val="subscript"/>
              </w:rPr>
              <w:t xml:space="preserve"> </w:t>
            </w:r>
            <w:r>
              <w:rPr>
                <w:rFonts w:hint="eastAsia" w:asciiTheme="minorEastAsia" w:hAnsiTheme="minorEastAsia" w:cstheme="minorEastAsia"/>
              </w:rPr>
              <w:t>/ %</w:t>
            </w:r>
          </w:p>
        </w:tc>
        <w:tc>
          <w:tcPr>
            <w:tcW w:w="1061" w:type="dxa"/>
            <w:tcBorders>
              <w:top w:val="single" w:color="auto" w:sz="4" w:space="0"/>
              <w:left w:val="single" w:color="auto" w:sz="4" w:space="0"/>
              <w:bottom w:val="single" w:color="auto" w:sz="4" w:space="0"/>
              <w:right w:val="single" w:color="auto" w:sz="4" w:space="0"/>
            </w:tcBorders>
            <w:vAlign w:val="center"/>
          </w:tcPr>
          <w:p w14:paraId="55A541E8">
            <w:pPr>
              <w:spacing w:line="360" w:lineRule="auto"/>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0.57</w:t>
            </w:r>
          </w:p>
        </w:tc>
        <w:tc>
          <w:tcPr>
            <w:tcW w:w="1061" w:type="dxa"/>
            <w:tcBorders>
              <w:top w:val="single" w:color="auto" w:sz="4" w:space="0"/>
              <w:left w:val="single" w:color="auto" w:sz="4" w:space="0"/>
              <w:bottom w:val="single" w:color="auto" w:sz="4" w:space="0"/>
              <w:right w:val="single" w:color="auto" w:sz="4" w:space="0"/>
            </w:tcBorders>
            <w:vAlign w:val="center"/>
          </w:tcPr>
          <w:p w14:paraId="452A560A">
            <w:pPr>
              <w:spacing w:line="360" w:lineRule="auto"/>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2.49</w:t>
            </w:r>
          </w:p>
        </w:tc>
        <w:tc>
          <w:tcPr>
            <w:tcW w:w="1062" w:type="dxa"/>
            <w:tcBorders>
              <w:top w:val="single" w:color="auto" w:sz="4" w:space="0"/>
              <w:left w:val="single" w:color="auto" w:sz="4" w:space="0"/>
              <w:bottom w:val="single" w:color="auto" w:sz="4" w:space="0"/>
              <w:right w:val="single" w:color="auto" w:sz="4" w:space="0"/>
            </w:tcBorders>
            <w:vAlign w:val="center"/>
          </w:tcPr>
          <w:p w14:paraId="19397120">
            <w:pPr>
              <w:spacing w:line="360" w:lineRule="auto"/>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5.69</w:t>
            </w:r>
          </w:p>
        </w:tc>
        <w:tc>
          <w:tcPr>
            <w:tcW w:w="1070" w:type="dxa"/>
            <w:tcBorders>
              <w:top w:val="single" w:color="auto" w:sz="4" w:space="0"/>
              <w:left w:val="single" w:color="auto" w:sz="4" w:space="0"/>
              <w:bottom w:val="single" w:color="auto" w:sz="4" w:space="0"/>
              <w:right w:val="single" w:color="auto" w:sz="4" w:space="0"/>
            </w:tcBorders>
          </w:tcPr>
          <w:p w14:paraId="73111C56">
            <w:pPr>
              <w:spacing w:line="360" w:lineRule="auto"/>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11.39</w:t>
            </w:r>
          </w:p>
        </w:tc>
        <w:tc>
          <w:tcPr>
            <w:tcW w:w="1070" w:type="dxa"/>
            <w:tcBorders>
              <w:top w:val="single" w:color="auto" w:sz="4" w:space="0"/>
              <w:left w:val="single" w:color="auto" w:sz="4" w:space="0"/>
              <w:bottom w:val="single" w:color="auto" w:sz="4" w:space="0"/>
              <w:right w:val="single" w:color="auto" w:sz="4" w:space="0"/>
            </w:tcBorders>
          </w:tcPr>
          <w:p w14:paraId="3DA2AFEF">
            <w:pPr>
              <w:spacing w:line="360" w:lineRule="auto"/>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16.54</w:t>
            </w:r>
          </w:p>
        </w:tc>
        <w:tc>
          <w:tcPr>
            <w:tcW w:w="1071" w:type="dxa"/>
            <w:tcBorders>
              <w:top w:val="single" w:color="auto" w:sz="4" w:space="0"/>
              <w:left w:val="single" w:color="auto" w:sz="4" w:space="0"/>
              <w:bottom w:val="single" w:color="auto" w:sz="4" w:space="0"/>
              <w:right w:val="single" w:color="auto" w:sz="4" w:space="0"/>
            </w:tcBorders>
          </w:tcPr>
          <w:p w14:paraId="66145682">
            <w:pPr>
              <w:spacing w:line="360" w:lineRule="auto"/>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21.02</w:t>
            </w:r>
          </w:p>
        </w:tc>
        <w:tc>
          <w:tcPr>
            <w:tcW w:w="1071" w:type="dxa"/>
            <w:tcBorders>
              <w:top w:val="single" w:color="auto" w:sz="4" w:space="0"/>
              <w:left w:val="single" w:color="auto" w:sz="4" w:space="0"/>
              <w:bottom w:val="single" w:color="auto" w:sz="4" w:space="0"/>
              <w:right w:val="single" w:color="auto" w:sz="4" w:space="0"/>
            </w:tcBorders>
          </w:tcPr>
          <w:p w14:paraId="3F46FEBB">
            <w:pPr>
              <w:spacing w:line="360" w:lineRule="auto"/>
              <w:jc w:val="center"/>
              <w:rPr>
                <w:rFonts w:hint="default" w:asciiTheme="minorEastAsia" w:hAnsiTheme="minorEastAsia" w:cstheme="minorEastAsia"/>
                <w:lang w:val="en-US" w:eastAsia="zh-CN"/>
              </w:rPr>
            </w:pPr>
            <w:r>
              <w:rPr>
                <w:rFonts w:hint="eastAsia" w:asciiTheme="minorEastAsia" w:hAnsiTheme="minorEastAsia" w:cstheme="minorEastAsia"/>
                <w:lang w:val="en-US" w:eastAsia="zh-CN"/>
              </w:rPr>
              <w:t>25.64</w:t>
            </w:r>
          </w:p>
        </w:tc>
      </w:tr>
      <w:tr w14:paraId="53574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51" w:type="dxa"/>
            <w:tcBorders>
              <w:top w:val="single" w:color="auto" w:sz="4" w:space="0"/>
              <w:left w:val="single" w:color="auto" w:sz="4" w:space="0"/>
              <w:bottom w:val="single" w:color="auto" w:sz="4" w:space="0"/>
              <w:right w:val="single" w:color="auto" w:sz="4" w:space="0"/>
            </w:tcBorders>
            <w:vAlign w:val="center"/>
          </w:tcPr>
          <w:p w14:paraId="018AC42C">
            <w:pPr>
              <w:spacing w:line="360" w:lineRule="auto"/>
              <w:jc w:val="center"/>
              <w:rPr>
                <w:rFonts w:asciiTheme="minorEastAsia" w:hAnsiTheme="minorEastAsia" w:cstheme="minorEastAsia"/>
              </w:rPr>
            </w:pPr>
            <w:r>
              <w:rPr>
                <w:rFonts w:hint="eastAsia" w:asciiTheme="minorEastAsia" w:hAnsiTheme="minorEastAsia" w:cstheme="minorEastAsia"/>
                <w:i/>
                <w:lang w:val="en-US" w:eastAsia="zh-CN"/>
              </w:rPr>
              <w:t>R</w:t>
            </w:r>
            <w:r>
              <w:rPr>
                <w:rFonts w:hint="eastAsia" w:asciiTheme="minorEastAsia" w:hAnsiTheme="minorEastAsia" w:cstheme="minorEastAsia"/>
              </w:rPr>
              <w:t xml:space="preserve"> / %</w:t>
            </w:r>
          </w:p>
        </w:tc>
        <w:tc>
          <w:tcPr>
            <w:tcW w:w="1061" w:type="dxa"/>
            <w:tcBorders>
              <w:top w:val="single" w:color="auto" w:sz="4" w:space="0"/>
              <w:left w:val="single" w:color="auto" w:sz="4" w:space="0"/>
              <w:bottom w:val="single" w:color="auto" w:sz="4" w:space="0"/>
              <w:right w:val="single" w:color="auto" w:sz="4" w:space="0"/>
            </w:tcBorders>
            <w:vAlign w:val="center"/>
          </w:tcPr>
          <w:p w14:paraId="1DD1EC2F">
            <w:pPr>
              <w:spacing w:line="360" w:lineRule="auto"/>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0.17</w:t>
            </w:r>
          </w:p>
        </w:tc>
        <w:tc>
          <w:tcPr>
            <w:tcW w:w="1061" w:type="dxa"/>
            <w:tcBorders>
              <w:top w:val="single" w:color="auto" w:sz="4" w:space="0"/>
              <w:left w:val="single" w:color="auto" w:sz="4" w:space="0"/>
              <w:bottom w:val="single" w:color="auto" w:sz="4" w:space="0"/>
              <w:right w:val="single" w:color="auto" w:sz="4" w:space="0"/>
            </w:tcBorders>
            <w:vAlign w:val="center"/>
          </w:tcPr>
          <w:p w14:paraId="546C6FA9">
            <w:pPr>
              <w:spacing w:line="360" w:lineRule="auto"/>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0.24</w:t>
            </w:r>
          </w:p>
        </w:tc>
        <w:tc>
          <w:tcPr>
            <w:tcW w:w="1062" w:type="dxa"/>
            <w:tcBorders>
              <w:top w:val="single" w:color="auto" w:sz="4" w:space="0"/>
              <w:left w:val="single" w:color="auto" w:sz="4" w:space="0"/>
              <w:bottom w:val="single" w:color="auto" w:sz="4" w:space="0"/>
              <w:right w:val="single" w:color="auto" w:sz="4" w:space="0"/>
            </w:tcBorders>
            <w:vAlign w:val="center"/>
          </w:tcPr>
          <w:p w14:paraId="119CBA14">
            <w:pPr>
              <w:spacing w:line="360" w:lineRule="auto"/>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0.40</w:t>
            </w:r>
          </w:p>
        </w:tc>
        <w:tc>
          <w:tcPr>
            <w:tcW w:w="1070" w:type="dxa"/>
            <w:tcBorders>
              <w:top w:val="single" w:color="auto" w:sz="4" w:space="0"/>
              <w:left w:val="single" w:color="auto" w:sz="4" w:space="0"/>
              <w:bottom w:val="single" w:color="auto" w:sz="4" w:space="0"/>
              <w:right w:val="single" w:color="auto" w:sz="4" w:space="0"/>
            </w:tcBorders>
          </w:tcPr>
          <w:p w14:paraId="29C5F3CC">
            <w:pPr>
              <w:spacing w:line="360" w:lineRule="auto"/>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0.67</w:t>
            </w:r>
          </w:p>
        </w:tc>
        <w:tc>
          <w:tcPr>
            <w:tcW w:w="1070" w:type="dxa"/>
            <w:tcBorders>
              <w:top w:val="single" w:color="auto" w:sz="4" w:space="0"/>
              <w:left w:val="single" w:color="auto" w:sz="4" w:space="0"/>
              <w:bottom w:val="single" w:color="auto" w:sz="4" w:space="0"/>
              <w:right w:val="single" w:color="auto" w:sz="4" w:space="0"/>
            </w:tcBorders>
          </w:tcPr>
          <w:p w14:paraId="060D4A4E">
            <w:pPr>
              <w:spacing w:line="360" w:lineRule="auto"/>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0.39</w:t>
            </w:r>
          </w:p>
        </w:tc>
        <w:tc>
          <w:tcPr>
            <w:tcW w:w="1071" w:type="dxa"/>
            <w:tcBorders>
              <w:top w:val="single" w:color="auto" w:sz="4" w:space="0"/>
              <w:left w:val="single" w:color="auto" w:sz="4" w:space="0"/>
              <w:bottom w:val="single" w:color="auto" w:sz="4" w:space="0"/>
              <w:right w:val="single" w:color="auto" w:sz="4" w:space="0"/>
            </w:tcBorders>
          </w:tcPr>
          <w:p w14:paraId="4CB04D33">
            <w:pPr>
              <w:spacing w:line="360" w:lineRule="auto"/>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0.55</w:t>
            </w:r>
          </w:p>
        </w:tc>
        <w:tc>
          <w:tcPr>
            <w:tcW w:w="1071" w:type="dxa"/>
            <w:tcBorders>
              <w:top w:val="single" w:color="auto" w:sz="4" w:space="0"/>
              <w:left w:val="single" w:color="auto" w:sz="4" w:space="0"/>
              <w:bottom w:val="single" w:color="auto" w:sz="4" w:space="0"/>
              <w:right w:val="single" w:color="auto" w:sz="4" w:space="0"/>
            </w:tcBorders>
          </w:tcPr>
          <w:p w14:paraId="55A90578">
            <w:pPr>
              <w:spacing w:line="360" w:lineRule="auto"/>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0.48</w:t>
            </w:r>
          </w:p>
        </w:tc>
      </w:tr>
    </w:tbl>
    <w:p w14:paraId="0AF7C5C8">
      <w:pPr>
        <w:pStyle w:val="37"/>
        <w:numPr>
          <w:ilvl w:val="0"/>
          <w:numId w:val="1"/>
        </w:numPr>
        <w:adjustRightInd w:val="0"/>
        <w:snapToGrid w:val="0"/>
        <w:spacing w:before="156" w:beforeLines="50" w:after="156" w:afterLines="50"/>
        <w:ind w:firstLineChars="0"/>
        <w:jc w:val="center"/>
        <w:rPr>
          <w:rFonts w:ascii="黑体" w:hAnsi="黑体" w:eastAsia="黑体"/>
          <w:color w:val="000000"/>
        </w:rPr>
      </w:pPr>
    </w:p>
    <w:p w14:paraId="1A69BE49">
      <w:pPr>
        <w:numPr>
          <w:ilvl w:val="0"/>
          <w:numId w:val="3"/>
        </w:numPr>
        <w:spacing w:before="156" w:beforeLines="50" w:after="156" w:afterLines="50" w:line="360" w:lineRule="auto"/>
        <w:ind w:left="363" w:hanging="363"/>
        <w:jc w:val="left"/>
      </w:pPr>
      <w:r>
        <w:rPr>
          <w:rFonts w:hint="eastAsia" w:ascii="黑体" w:eastAsia="黑体"/>
          <w:szCs w:val="21"/>
          <w:lang w:val="en-US" w:eastAsia="zh-CN"/>
        </w:rPr>
        <w:t xml:space="preserve"> </w:t>
      </w:r>
      <w:r>
        <w:rPr>
          <w:rFonts w:ascii="黑体" w:eastAsia="黑体"/>
          <w:szCs w:val="21"/>
        </w:rPr>
        <w:t>试验报告</w:t>
      </w:r>
    </w:p>
    <w:p w14:paraId="65B5BA54">
      <w:pPr>
        <w:pStyle w:val="60"/>
        <w:ind w:firstLine="420"/>
        <w:rPr>
          <w:rFonts w:ascii="宋体" w:hAnsi="宋体"/>
        </w:rPr>
      </w:pPr>
      <w:r>
        <w:rPr>
          <w:rFonts w:hint="eastAsia" w:ascii="宋体" w:hAnsi="宋体"/>
        </w:rPr>
        <w:t>试验报告至少应给出以下几个方面的内容：</w:t>
      </w:r>
    </w:p>
    <w:p w14:paraId="07BA111F">
      <w:pPr>
        <w:pStyle w:val="60"/>
        <w:numPr>
          <w:ilvl w:val="0"/>
          <w:numId w:val="0"/>
        </w:numPr>
        <w:ind w:firstLine="420" w:firstLineChars="200"/>
      </w:pPr>
      <w:r>
        <w:rPr>
          <w:rFonts w:hint="eastAsia"/>
          <w:lang w:val="en-US" w:eastAsia="zh-CN"/>
        </w:rPr>
        <w:t>a</w:t>
      </w:r>
      <w:r>
        <w:rPr>
          <w:rFonts w:hint="eastAsia"/>
        </w:rPr>
        <w:t>）试验对象；</w:t>
      </w:r>
    </w:p>
    <w:p w14:paraId="082F7542">
      <w:pPr>
        <w:pStyle w:val="61"/>
        <w:numPr>
          <w:ilvl w:val="0"/>
          <w:numId w:val="0"/>
        </w:numPr>
        <w:ind w:firstLine="420" w:firstLineChars="200"/>
      </w:pPr>
      <w:r>
        <w:rPr>
          <w:rFonts w:hint="eastAsia"/>
        </w:rPr>
        <w:t>b）本文件编号；</w:t>
      </w:r>
    </w:p>
    <w:p w14:paraId="1FB211C9">
      <w:pPr>
        <w:pStyle w:val="61"/>
        <w:numPr>
          <w:ilvl w:val="0"/>
          <w:numId w:val="0"/>
        </w:numPr>
        <w:ind w:firstLine="420" w:firstLineChars="200"/>
      </w:pPr>
      <w:r>
        <w:rPr>
          <w:rFonts w:hint="eastAsia"/>
        </w:rPr>
        <w:t>c）</w:t>
      </w:r>
      <w:r>
        <w:rPr>
          <w:rFonts w:hint="eastAsia"/>
          <w:lang w:eastAsia="zh-CN"/>
        </w:rPr>
        <w:t>使用的方法</w:t>
      </w:r>
      <w:r>
        <w:rPr>
          <w:rFonts w:hint="eastAsia"/>
        </w:rPr>
        <w:t>；</w:t>
      </w:r>
    </w:p>
    <w:p w14:paraId="0D611753">
      <w:pPr>
        <w:pStyle w:val="61"/>
        <w:numPr>
          <w:ilvl w:val="0"/>
          <w:numId w:val="0"/>
        </w:numPr>
        <w:ind w:firstLine="420" w:firstLineChars="200"/>
      </w:pPr>
      <w:r>
        <w:rPr>
          <w:rFonts w:hint="eastAsia"/>
        </w:rPr>
        <w:t>d）</w:t>
      </w:r>
      <w:r>
        <w:rPr>
          <w:rFonts w:hint="eastAsia" w:ascii="宋体"/>
          <w:kern w:val="0"/>
        </w:rPr>
        <w:t>分析结果及其表示</w:t>
      </w:r>
      <w:r>
        <w:rPr>
          <w:rFonts w:hint="eastAsia"/>
        </w:rPr>
        <w:t>；</w:t>
      </w:r>
    </w:p>
    <w:p w14:paraId="60C893AE">
      <w:pPr>
        <w:pStyle w:val="61"/>
        <w:numPr>
          <w:ilvl w:val="0"/>
          <w:numId w:val="0"/>
        </w:numPr>
        <w:ind w:firstLine="420" w:firstLineChars="200"/>
        <w:rPr>
          <w:rFonts w:hint="eastAsia"/>
        </w:rPr>
      </w:pPr>
      <w:r>
        <w:rPr>
          <w:rFonts w:hint="eastAsia"/>
        </w:rPr>
        <w:t>e）</w:t>
      </w:r>
      <w:r>
        <w:rPr>
          <w:rFonts w:hint="eastAsia" w:ascii="宋体"/>
          <w:kern w:val="0"/>
        </w:rPr>
        <w:t>与基本试验步骤的差异</w:t>
      </w:r>
      <w:r>
        <w:rPr>
          <w:rFonts w:hint="eastAsia"/>
        </w:rPr>
        <w:t>。</w:t>
      </w:r>
    </w:p>
    <w:p w14:paraId="0535CB1B">
      <w:pPr>
        <w:pStyle w:val="61"/>
        <w:numPr>
          <w:ilvl w:val="0"/>
          <w:numId w:val="0"/>
        </w:numPr>
        <w:ind w:firstLine="420" w:firstLineChars="200"/>
        <w:rPr>
          <w:rFonts w:hint="eastAsia"/>
        </w:rPr>
      </w:pPr>
      <w:r>
        <w:rPr>
          <w:rFonts w:hint="eastAsia"/>
          <w:lang w:val="en-US" w:eastAsia="zh-CN"/>
        </w:rPr>
        <w:t>f</w:t>
      </w:r>
      <w:r>
        <w:rPr>
          <w:rFonts w:hint="eastAsia"/>
        </w:rPr>
        <w:t>）</w:t>
      </w:r>
      <w:r>
        <w:rPr>
          <w:rFonts w:hint="eastAsia" w:ascii="宋体"/>
          <w:kern w:val="0"/>
        </w:rPr>
        <w:t>观察到的异常现象</w:t>
      </w:r>
      <w:r>
        <w:rPr>
          <w:rFonts w:hint="eastAsia"/>
        </w:rPr>
        <w:t>。</w:t>
      </w:r>
    </w:p>
    <w:p w14:paraId="77B9C39F">
      <w:pPr>
        <w:pStyle w:val="61"/>
        <w:numPr>
          <w:ilvl w:val="0"/>
          <w:numId w:val="0"/>
        </w:numPr>
        <w:ind w:firstLine="420" w:firstLineChars="200"/>
        <w:rPr>
          <w:rFonts w:hint="eastAsia" w:eastAsia="宋体"/>
          <w:lang w:val="en-US" w:eastAsia="zh-CN"/>
        </w:rPr>
      </w:pPr>
      <w:r>
        <w:rPr>
          <w:rFonts w:hint="eastAsia"/>
          <w:lang w:val="en-US" w:eastAsia="zh-CN"/>
        </w:rPr>
        <w:t>g</w:t>
      </w:r>
      <w:r>
        <w:rPr>
          <w:rFonts w:hint="eastAsia"/>
        </w:rPr>
        <w:t>）试验日期。</w:t>
      </w:r>
    </w:p>
    <w:p w14:paraId="09D673D3">
      <w:pPr>
        <w:rPr>
          <w:szCs w:val="36"/>
        </w:rPr>
      </w:pPr>
      <w:r>
        <w:rPr>
          <w:szCs w:val="36"/>
        </w:rPr>
        <w:br w:type="page"/>
      </w:r>
    </w:p>
    <w:p w14:paraId="03261190">
      <w:pPr>
        <w:pageBreakBefore/>
        <w:ind w:firstLine="420" w:firstLineChars="200"/>
        <w:jc w:val="center"/>
        <w:rPr>
          <w:rFonts w:ascii="黑体" w:hAnsi="黑体" w:eastAsia="黑体"/>
          <w:kern w:val="0"/>
          <w:szCs w:val="21"/>
        </w:rPr>
      </w:pPr>
      <w:r>
        <w:rPr>
          <w:rFonts w:hint="eastAsia" w:ascii="黑体" w:hAnsi="黑体" w:eastAsia="黑体"/>
          <w:kern w:val="0"/>
          <w:szCs w:val="21"/>
        </w:rPr>
        <w:t>附 录 A</w:t>
      </w:r>
    </w:p>
    <w:p w14:paraId="667C85B8">
      <w:pPr>
        <w:ind w:firstLine="420" w:firstLineChars="200"/>
        <w:jc w:val="center"/>
        <w:rPr>
          <w:rFonts w:ascii="黑体" w:hAnsi="黑体" w:eastAsia="黑体"/>
          <w:kern w:val="0"/>
          <w:szCs w:val="21"/>
        </w:rPr>
      </w:pPr>
      <w:r>
        <w:rPr>
          <w:rFonts w:hint="eastAsia" w:ascii="黑体" w:hAnsi="黑体" w:eastAsia="黑体"/>
          <w:kern w:val="0"/>
          <w:szCs w:val="21"/>
        </w:rPr>
        <w:t>（规范性）</w:t>
      </w:r>
    </w:p>
    <w:p w14:paraId="5222DDD4">
      <w:pPr>
        <w:ind w:firstLine="420" w:firstLineChars="200"/>
        <w:jc w:val="center"/>
        <w:rPr>
          <w:kern w:val="0"/>
          <w:szCs w:val="21"/>
        </w:rPr>
      </w:pPr>
      <w:r>
        <w:rPr>
          <w:rFonts w:hint="eastAsia" w:ascii="黑体" w:hAnsi="黑体" w:eastAsia="黑体"/>
          <w:kern w:val="0"/>
          <w:szCs w:val="21"/>
        </w:rPr>
        <w:t>试样制备</w:t>
      </w:r>
    </w:p>
    <w:p w14:paraId="1EA4F3C5">
      <w:pPr>
        <w:spacing w:line="360" w:lineRule="auto"/>
        <w:rPr>
          <w:rFonts w:ascii="黑体" w:hAnsi="黑体" w:eastAsia="黑体" w:cs="黑体"/>
          <w:kern w:val="0"/>
          <w:szCs w:val="21"/>
        </w:rPr>
      </w:pPr>
      <w:r>
        <w:rPr>
          <w:rFonts w:hint="eastAsia" w:ascii="黑体" w:hAnsi="黑体" w:eastAsia="黑体" w:cs="黑体"/>
          <w:kern w:val="0"/>
          <w:szCs w:val="21"/>
        </w:rPr>
        <w:t>A.1  方法概述</w:t>
      </w:r>
    </w:p>
    <w:p w14:paraId="392899AB">
      <w:pPr>
        <w:ind w:firstLine="420"/>
        <w:rPr>
          <w:kern w:val="0"/>
          <w:szCs w:val="21"/>
        </w:rPr>
      </w:pPr>
      <w:r>
        <w:rPr>
          <w:rFonts w:hint="eastAsia"/>
          <w:kern w:val="0"/>
          <w:szCs w:val="21"/>
        </w:rPr>
        <w:t>对粒度大于0</w:t>
      </w:r>
      <w:r>
        <w:rPr>
          <w:kern w:val="0"/>
          <w:szCs w:val="21"/>
        </w:rPr>
        <w:t>.25 mm</w:t>
      </w:r>
      <w:r>
        <w:rPr>
          <w:rFonts w:hint="eastAsia"/>
          <w:kern w:val="0"/>
          <w:szCs w:val="21"/>
        </w:rPr>
        <w:t>的铝灰渣采用振动磨进行破碎后，过筛，得到铝豆和筛下试样。</w:t>
      </w:r>
    </w:p>
    <w:p w14:paraId="659C0B70">
      <w:pPr>
        <w:spacing w:line="360" w:lineRule="auto"/>
        <w:rPr>
          <w:rFonts w:ascii="黑体" w:hAnsi="黑体" w:eastAsia="黑体" w:cs="黑体"/>
          <w:kern w:val="0"/>
          <w:szCs w:val="21"/>
        </w:rPr>
      </w:pPr>
      <w:r>
        <w:rPr>
          <w:rFonts w:hint="eastAsia" w:ascii="黑体" w:hAnsi="黑体" w:eastAsia="黑体" w:cs="黑体"/>
          <w:kern w:val="0"/>
          <w:szCs w:val="21"/>
        </w:rPr>
        <w:t>A.2  仪器与设备</w:t>
      </w:r>
    </w:p>
    <w:p w14:paraId="2E6FAB1E">
      <w:pPr>
        <w:rPr>
          <w:kern w:val="0"/>
          <w:szCs w:val="21"/>
        </w:rPr>
      </w:pPr>
      <w:r>
        <w:rPr>
          <w:rFonts w:hint="eastAsia" w:ascii="黑体" w:hAnsi="黑体" w:eastAsia="黑体" w:cs="黑体"/>
          <w:kern w:val="0"/>
          <w:szCs w:val="21"/>
        </w:rPr>
        <w:t>A.2.1</w:t>
      </w:r>
      <w:r>
        <w:rPr>
          <w:kern w:val="0"/>
          <w:szCs w:val="21"/>
        </w:rPr>
        <w:t xml:space="preserve">  振动磨</w:t>
      </w:r>
      <w:r>
        <w:rPr>
          <w:rFonts w:hint="eastAsia"/>
          <w:kern w:val="0"/>
          <w:szCs w:val="21"/>
        </w:rPr>
        <w:t>，</w:t>
      </w:r>
      <w:r>
        <w:rPr>
          <w:kern w:val="0"/>
          <w:szCs w:val="21"/>
        </w:rPr>
        <w:t>碳化钨</w:t>
      </w:r>
      <w:r>
        <w:rPr>
          <w:rFonts w:hint="eastAsia"/>
          <w:kern w:val="0"/>
          <w:szCs w:val="21"/>
        </w:rPr>
        <w:t>磨盘</w:t>
      </w:r>
      <w:r>
        <w:rPr>
          <w:kern w:val="0"/>
          <w:szCs w:val="21"/>
        </w:rPr>
        <w:t>。</w:t>
      </w:r>
    </w:p>
    <w:p w14:paraId="0D04792A">
      <w:pPr>
        <w:rPr>
          <w:kern w:val="0"/>
          <w:szCs w:val="21"/>
        </w:rPr>
      </w:pPr>
      <w:r>
        <w:rPr>
          <w:rFonts w:hint="eastAsia" w:ascii="黑体" w:hAnsi="黑体" w:eastAsia="黑体" w:cs="黑体"/>
          <w:kern w:val="0"/>
          <w:szCs w:val="21"/>
        </w:rPr>
        <w:t>A.2.2</w:t>
      </w:r>
      <w:r>
        <w:rPr>
          <w:kern w:val="0"/>
          <w:szCs w:val="21"/>
        </w:rPr>
        <w:t xml:space="preserve">  天平，感量为0.01 g</w:t>
      </w:r>
      <w:r>
        <w:rPr>
          <w:rFonts w:hint="eastAsia"/>
          <w:kern w:val="0"/>
          <w:szCs w:val="21"/>
        </w:rPr>
        <w:t>。</w:t>
      </w:r>
    </w:p>
    <w:p w14:paraId="7FA8FCDF">
      <w:pPr>
        <w:rPr>
          <w:kern w:val="0"/>
          <w:szCs w:val="21"/>
        </w:rPr>
      </w:pPr>
      <w:r>
        <w:rPr>
          <w:rFonts w:hint="eastAsia" w:ascii="黑体" w:hAnsi="黑体" w:eastAsia="黑体" w:cs="黑体"/>
          <w:kern w:val="0"/>
          <w:szCs w:val="21"/>
        </w:rPr>
        <w:t>A.2.3</w:t>
      </w:r>
      <w:r>
        <w:rPr>
          <w:kern w:val="0"/>
          <w:szCs w:val="21"/>
        </w:rPr>
        <w:t xml:space="preserve">  标准筛，孔径为0.25 mm。</w:t>
      </w:r>
    </w:p>
    <w:p w14:paraId="10F9F532">
      <w:pPr>
        <w:spacing w:line="360" w:lineRule="auto"/>
        <w:rPr>
          <w:rFonts w:ascii="黑体" w:hAnsi="黑体" w:eastAsia="黑体" w:cs="黑体"/>
          <w:kern w:val="0"/>
          <w:szCs w:val="21"/>
        </w:rPr>
      </w:pPr>
      <w:r>
        <w:rPr>
          <w:rFonts w:hint="eastAsia" w:ascii="黑体" w:hAnsi="黑体" w:eastAsia="黑体" w:cs="黑体"/>
          <w:kern w:val="0"/>
          <w:szCs w:val="21"/>
        </w:rPr>
        <w:t>A.3  制样</w:t>
      </w:r>
    </w:p>
    <w:p w14:paraId="60402E24">
      <w:pPr>
        <w:rPr>
          <w:kern w:val="0"/>
          <w:szCs w:val="21"/>
        </w:rPr>
      </w:pPr>
      <w:r>
        <w:rPr>
          <w:rFonts w:hint="eastAsia" w:ascii="黑体" w:hAnsi="黑体" w:eastAsia="黑体" w:cs="黑体"/>
          <w:kern w:val="0"/>
          <w:szCs w:val="21"/>
        </w:rPr>
        <w:t xml:space="preserve">A.3.1 </w:t>
      </w:r>
      <w:r>
        <w:rPr>
          <w:kern w:val="0"/>
          <w:szCs w:val="21"/>
        </w:rPr>
        <w:t xml:space="preserve"> 当样</w:t>
      </w:r>
      <w:r>
        <w:rPr>
          <w:rFonts w:hint="eastAsia"/>
          <w:kern w:val="0"/>
          <w:szCs w:val="21"/>
        </w:rPr>
        <w:t>品</w:t>
      </w:r>
      <w:r>
        <w:rPr>
          <w:kern w:val="0"/>
          <w:szCs w:val="21"/>
        </w:rPr>
        <w:t>量低于500 g时，取全部铝灰渣作为</w:t>
      </w:r>
      <w:r>
        <w:rPr>
          <w:rFonts w:hint="eastAsia"/>
          <w:kern w:val="0"/>
          <w:szCs w:val="21"/>
        </w:rPr>
        <w:t>试样。</w:t>
      </w:r>
    </w:p>
    <w:p w14:paraId="19371703">
      <w:pPr>
        <w:rPr>
          <w:kern w:val="0"/>
          <w:szCs w:val="21"/>
        </w:rPr>
      </w:pPr>
      <w:r>
        <w:rPr>
          <w:rFonts w:hint="eastAsia" w:ascii="黑体" w:hAnsi="黑体" w:eastAsia="黑体" w:cs="黑体"/>
          <w:kern w:val="0"/>
          <w:szCs w:val="21"/>
        </w:rPr>
        <w:t>A.3.2</w:t>
      </w:r>
      <w:r>
        <w:rPr>
          <w:kern w:val="0"/>
          <w:szCs w:val="21"/>
        </w:rPr>
        <w:t xml:space="preserve">  当样</w:t>
      </w:r>
      <w:r>
        <w:rPr>
          <w:rFonts w:hint="eastAsia"/>
          <w:kern w:val="0"/>
          <w:szCs w:val="21"/>
        </w:rPr>
        <w:t>品</w:t>
      </w:r>
      <w:r>
        <w:rPr>
          <w:kern w:val="0"/>
          <w:szCs w:val="21"/>
        </w:rPr>
        <w:t>量高于500 g时，采用四分法将铝灰渣缩分至400 g~500 g作为</w:t>
      </w:r>
      <w:r>
        <w:rPr>
          <w:rFonts w:hint="eastAsia"/>
          <w:kern w:val="0"/>
          <w:szCs w:val="21"/>
        </w:rPr>
        <w:t>试样。</w:t>
      </w:r>
    </w:p>
    <w:p w14:paraId="717A9232">
      <w:pPr>
        <w:rPr>
          <w:kern w:val="0"/>
          <w:szCs w:val="21"/>
        </w:rPr>
      </w:pPr>
      <w:r>
        <w:rPr>
          <w:rFonts w:hint="eastAsia" w:ascii="黑体" w:hAnsi="黑体" w:eastAsia="黑体" w:cs="黑体"/>
          <w:kern w:val="0"/>
          <w:szCs w:val="21"/>
        </w:rPr>
        <w:t xml:space="preserve">A.3.3  </w:t>
      </w:r>
      <w:r>
        <w:rPr>
          <w:rFonts w:hint="eastAsia"/>
          <w:kern w:val="0"/>
          <w:szCs w:val="21"/>
        </w:rPr>
        <w:t>试样全部过</w:t>
      </w:r>
      <w:r>
        <w:rPr>
          <w:kern w:val="0"/>
          <w:szCs w:val="21"/>
        </w:rPr>
        <w:t>标准筛</w:t>
      </w:r>
      <w:r>
        <w:rPr>
          <w:rFonts w:hint="eastAsia"/>
          <w:kern w:val="0"/>
          <w:szCs w:val="21"/>
        </w:rPr>
        <w:t>。</w:t>
      </w:r>
      <w:r>
        <w:rPr>
          <w:kern w:val="0"/>
          <w:szCs w:val="21"/>
        </w:rPr>
        <w:t>将</w:t>
      </w:r>
      <w:r>
        <w:rPr>
          <w:rFonts w:hint="eastAsia"/>
          <w:kern w:val="0"/>
          <w:szCs w:val="21"/>
        </w:rPr>
        <w:t>筛上物</w:t>
      </w:r>
      <w:r>
        <w:rPr>
          <w:kern w:val="0"/>
          <w:szCs w:val="21"/>
        </w:rPr>
        <w:t>放入震动磨，磨制15 s</w:t>
      </w:r>
      <w:r>
        <w:rPr>
          <w:rFonts w:hint="eastAsia"/>
          <w:kern w:val="0"/>
          <w:szCs w:val="21"/>
        </w:rPr>
        <w:t>后</w:t>
      </w:r>
      <w:r>
        <w:rPr>
          <w:kern w:val="0"/>
          <w:szCs w:val="21"/>
        </w:rPr>
        <w:t>，使用标准筛进行筛分，</w:t>
      </w:r>
      <w:r>
        <w:rPr>
          <w:rFonts w:hint="eastAsia"/>
          <w:kern w:val="0"/>
          <w:szCs w:val="21"/>
        </w:rPr>
        <w:t>分离出铝豆，</w:t>
      </w:r>
      <w:r>
        <w:rPr>
          <w:kern w:val="0"/>
          <w:szCs w:val="21"/>
        </w:rPr>
        <w:t>用天平称量</w:t>
      </w:r>
      <w:r>
        <w:rPr>
          <w:rFonts w:hint="eastAsia"/>
          <w:kern w:val="0"/>
          <w:szCs w:val="21"/>
        </w:rPr>
        <w:t>其</w:t>
      </w:r>
      <w:r>
        <w:rPr>
          <w:kern w:val="0"/>
          <w:szCs w:val="21"/>
        </w:rPr>
        <w:t>质量</w:t>
      </w:r>
      <w:r>
        <w:rPr>
          <w:rFonts w:hint="eastAsia"/>
          <w:i/>
          <w:iCs/>
          <w:kern w:val="0"/>
          <w:szCs w:val="21"/>
        </w:rPr>
        <w:t>m</w:t>
      </w:r>
      <w:r>
        <w:rPr>
          <w:kern w:val="0"/>
          <w:szCs w:val="21"/>
          <w:vertAlign w:val="subscript"/>
        </w:rPr>
        <w:t>1</w:t>
      </w:r>
      <w:r>
        <w:rPr>
          <w:kern w:val="0"/>
          <w:szCs w:val="21"/>
        </w:rPr>
        <w:t>（精确至0.</w:t>
      </w:r>
      <w:r>
        <w:rPr>
          <w:rFonts w:hint="eastAsia"/>
          <w:kern w:val="0"/>
          <w:szCs w:val="21"/>
        </w:rPr>
        <w:t>0</w:t>
      </w:r>
      <w:r>
        <w:rPr>
          <w:kern w:val="0"/>
          <w:szCs w:val="21"/>
        </w:rPr>
        <w:t>1 g）</w:t>
      </w:r>
      <w:r>
        <w:rPr>
          <w:rFonts w:hint="eastAsia"/>
          <w:kern w:val="0"/>
          <w:szCs w:val="21"/>
        </w:rPr>
        <w:t>。将两次筛下物合并，作为筛下试样，</w:t>
      </w:r>
      <w:r>
        <w:rPr>
          <w:kern w:val="0"/>
          <w:szCs w:val="21"/>
        </w:rPr>
        <w:t>用天平称量</w:t>
      </w:r>
      <w:r>
        <w:rPr>
          <w:rFonts w:hint="eastAsia"/>
          <w:kern w:val="0"/>
          <w:szCs w:val="21"/>
        </w:rPr>
        <w:t>其</w:t>
      </w:r>
      <w:r>
        <w:rPr>
          <w:kern w:val="0"/>
          <w:szCs w:val="21"/>
        </w:rPr>
        <w:t>质量</w:t>
      </w:r>
      <w:r>
        <w:rPr>
          <w:rFonts w:hint="eastAsia"/>
          <w:i/>
          <w:iCs/>
          <w:kern w:val="0"/>
          <w:szCs w:val="21"/>
        </w:rPr>
        <w:t>m</w:t>
      </w:r>
      <w:r>
        <w:rPr>
          <w:rFonts w:hint="eastAsia"/>
          <w:kern w:val="0"/>
          <w:szCs w:val="21"/>
          <w:vertAlign w:val="subscript"/>
        </w:rPr>
        <w:t>2</w:t>
      </w:r>
      <w:r>
        <w:rPr>
          <w:kern w:val="0"/>
          <w:szCs w:val="21"/>
        </w:rPr>
        <w:t>（精确至0.</w:t>
      </w:r>
      <w:r>
        <w:rPr>
          <w:rFonts w:hint="eastAsia"/>
          <w:kern w:val="0"/>
          <w:szCs w:val="21"/>
        </w:rPr>
        <w:t>0</w:t>
      </w:r>
      <w:r>
        <w:rPr>
          <w:kern w:val="0"/>
          <w:szCs w:val="21"/>
        </w:rPr>
        <w:t>1 g）。</w:t>
      </w:r>
    </w:p>
    <w:p w14:paraId="06478CA4">
      <w:pPr>
        <w:rPr>
          <w:szCs w:val="24"/>
        </w:rPr>
      </w:pPr>
    </w:p>
    <w:p w14:paraId="01EB2874">
      <w:pPr>
        <w:pStyle w:val="61"/>
        <w:numPr>
          <w:ilvl w:val="0"/>
          <w:numId w:val="0"/>
        </w:numPr>
        <w:ind w:left="839" w:hanging="419"/>
      </w:pPr>
    </w:p>
    <w:p w14:paraId="357B9873">
      <w:pPr>
        <w:pStyle w:val="61"/>
        <w:numPr>
          <w:ilvl w:val="0"/>
          <w:numId w:val="0"/>
        </w:numPr>
        <w:ind w:left="839" w:hanging="419"/>
      </w:pPr>
      <w:r>
        <mc:AlternateContent>
          <mc:Choice Requires="wps">
            <w:drawing>
              <wp:anchor distT="0" distB="0" distL="114300" distR="114300" simplePos="0" relativeHeight="251673600" behindDoc="0" locked="0" layoutInCell="1" allowOverlap="1">
                <wp:simplePos x="0" y="0"/>
                <wp:positionH relativeFrom="column">
                  <wp:posOffset>2005330</wp:posOffset>
                </wp:positionH>
                <wp:positionV relativeFrom="paragraph">
                  <wp:posOffset>129540</wp:posOffset>
                </wp:positionV>
                <wp:extent cx="1548130" cy="0"/>
                <wp:effectExtent l="0" t="0" r="0" b="0"/>
                <wp:wrapNone/>
                <wp:docPr id="11" name="自选图形 12"/>
                <wp:cNvGraphicFramePr/>
                <a:graphic xmlns:a="http://schemas.openxmlformats.org/drawingml/2006/main">
                  <a:graphicData uri="http://schemas.microsoft.com/office/word/2010/wordprocessingShape">
                    <wps:wsp>
                      <wps:cNvCnPr/>
                      <wps:spPr>
                        <a:xfrm>
                          <a:off x="0" y="0"/>
                          <a:ext cx="1548130"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自选图形 12" o:spid="_x0000_s1026" o:spt="32" type="#_x0000_t32" style="position:absolute;left:0pt;margin-left:157.9pt;margin-top:10.2pt;height:0pt;width:121.9pt;z-index:251673600;mso-width-relative:page;mso-height-relative:page;" filled="f" stroked="t" coordsize="21600,21600" o:gfxdata="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qBwldUAAAAJAQAADwAAAAAAAAABACAAAAAiAAAAZHJzL2Rvd25yZXYueG1sUEsBAhQA&#10;FAAAAAgAh07iQOZHJaL1AQAA5gMAAA4AAAAAAAAAAQAgAAAAJAEAAGRycy9lMm9Eb2MueG1sUEsF&#10;BgAAAAAGAAYAWQEAAIsFAAAAAA==&#10;">
                <v:fill on="f" focussize="0,0"/>
                <v:stroke weight="1pt" color="#000000" joinstyle="round"/>
                <v:imagedata o:title=""/>
                <o:lock v:ext="edit" aspectratio="f"/>
              </v:shape>
            </w:pict>
          </mc:Fallback>
        </mc:AlternateContent>
      </w:r>
    </w:p>
    <w:p w14:paraId="619430FF">
      <w:pPr>
        <w:spacing w:line="360" w:lineRule="auto"/>
        <w:rPr>
          <w:szCs w:val="36"/>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23C15">
    <w:pPr>
      <w:pStyle w:val="8"/>
      <w:ind w:right="360" w:firstLine="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1B857">
    <w:pPr>
      <w:jc w:val="right"/>
      <w:rPr>
        <w:rFonts w:asciiTheme="minorEastAsia" w:hAnsiTheme="minorEastAsia" w:cstheme="minorEastAsia"/>
        <w:szCs w:val="21"/>
      </w:rPr>
    </w:pPr>
    <w:r>
      <w:rPr>
        <w:rFonts w:hint="eastAsia" w:asciiTheme="minorEastAsia" w:hAnsiTheme="minorEastAsia" w:cstheme="minorEastAsia"/>
        <w:szCs w:val="21"/>
      </w:rPr>
      <w:t>T/CNIA X</w:t>
    </w:r>
    <w:r>
      <w:rPr>
        <w:rFonts w:asciiTheme="minorEastAsia" w:hAnsiTheme="minorEastAsia" w:cstheme="minorEastAsia"/>
        <w:szCs w:val="21"/>
      </w:rPr>
      <w:t>X</w:t>
    </w:r>
    <w:r>
      <w:rPr>
        <w:rFonts w:hint="eastAsia" w:asciiTheme="minorEastAsia" w:hAnsiTheme="minorEastAsia" w:cstheme="minorEastAsia"/>
        <w:szCs w:val="21"/>
      </w:rPr>
      <w:t>X—202X</w:t>
    </w:r>
  </w:p>
  <w:p w14:paraId="2009AA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9FE33">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8D5239"/>
    <w:multiLevelType w:val="multilevel"/>
    <w:tmpl w:val="0F8D5239"/>
    <w:lvl w:ilvl="0" w:tentative="0">
      <w:start w:val="1"/>
      <w:numFmt w:val="decimal"/>
      <w:lvlText w:val="%1"/>
      <w:lvlJc w:val="left"/>
      <w:pPr>
        <w:ind w:left="360" w:hanging="360"/>
      </w:pPr>
      <w:rPr>
        <w:rFonts w:hint="default" w:ascii="黑体" w:hAnsi="黑体" w:eastAsia="黑体"/>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646260FA"/>
    <w:multiLevelType w:val="multilevel"/>
    <w:tmpl w:val="646260FA"/>
    <w:lvl w:ilvl="0" w:tentative="0">
      <w:start w:val="1"/>
      <w:numFmt w:val="decimal"/>
      <w:pStyle w:val="61"/>
      <w:suff w:val="nothing"/>
      <w:lvlText w:val="表%1　"/>
      <w:lvlJc w:val="left"/>
      <w:pPr>
        <w:ind w:left="0" w:firstLine="0"/>
      </w:pPr>
      <w:rPr>
        <w:rFonts w:hint="eastAsia" w:ascii="黑体" w:hAnsi="Times New Roman" w:eastAsia="黑体"/>
        <w:b w:val="0"/>
        <w:i w:val="0"/>
        <w:sz w:val="24"/>
        <w:szCs w:val="24"/>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CEA2025"/>
    <w:multiLevelType w:val="multilevel"/>
    <w:tmpl w:val="6CEA2025"/>
    <w:lvl w:ilvl="0" w:tentative="0">
      <w:start w:val="1"/>
      <w:numFmt w:val="none"/>
      <w:pStyle w:val="38"/>
      <w:suff w:val="nothing"/>
      <w:lvlText w:val="%1"/>
      <w:lvlJc w:val="left"/>
      <w:pPr>
        <w:ind w:left="0" w:firstLine="0"/>
      </w:pPr>
      <w:rPr>
        <w:rFonts w:hint="default" w:ascii="Times New Roman" w:hAnsi="Times New Roman"/>
        <w:b/>
        <w:i w:val="0"/>
        <w:sz w:val="21"/>
      </w:rPr>
    </w:lvl>
    <w:lvl w:ilvl="1" w:tentative="0">
      <w:start w:val="1"/>
      <w:numFmt w:val="decimal"/>
      <w:pStyle w:val="39"/>
      <w:suff w:val="nothing"/>
      <w:lvlText w:val="%1%2　"/>
      <w:lvlJc w:val="left"/>
      <w:pPr>
        <w:ind w:left="0" w:firstLine="0"/>
      </w:pPr>
      <w:rPr>
        <w:rFonts w:hint="eastAsia" w:ascii="黑体" w:hAnsi="Times New Roman" w:eastAsia="黑体"/>
        <w:b w:val="0"/>
        <w:i w:val="0"/>
        <w:sz w:val="21"/>
      </w:rPr>
    </w:lvl>
    <w:lvl w:ilvl="2" w:tentative="0">
      <w:start w:val="1"/>
      <w:numFmt w:val="decimal"/>
      <w:pStyle w:val="40"/>
      <w:suff w:val="nothing"/>
      <w:lvlText w:val="%1%2.%3　"/>
      <w:lvlJc w:val="left"/>
      <w:pPr>
        <w:ind w:left="0" w:firstLine="0"/>
      </w:pPr>
      <w:rPr>
        <w:rFonts w:hint="eastAsia" w:ascii="黑体" w:hAnsi="Times New Roman" w:eastAsia="黑体"/>
        <w:b w:val="0"/>
        <w:i w:val="0"/>
        <w:sz w:val="21"/>
      </w:rPr>
    </w:lvl>
    <w:lvl w:ilvl="3" w:tentative="0">
      <w:start w:val="1"/>
      <w:numFmt w:val="decimal"/>
      <w:pStyle w:val="41"/>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mMmVhMDJiZmU5NTBlZjhlZmYwYWZmZTg5NDllNWIifQ=="/>
  </w:docVars>
  <w:rsids>
    <w:rsidRoot w:val="00CC2CC2"/>
    <w:rsid w:val="00016EA8"/>
    <w:rsid w:val="00020CD5"/>
    <w:rsid w:val="00021527"/>
    <w:rsid w:val="00022DD8"/>
    <w:rsid w:val="00024967"/>
    <w:rsid w:val="00047215"/>
    <w:rsid w:val="00060795"/>
    <w:rsid w:val="00072C76"/>
    <w:rsid w:val="00074CA9"/>
    <w:rsid w:val="00085F05"/>
    <w:rsid w:val="00091192"/>
    <w:rsid w:val="000932B4"/>
    <w:rsid w:val="000A2E43"/>
    <w:rsid w:val="000B7F2F"/>
    <w:rsid w:val="000C0710"/>
    <w:rsid w:val="000C1F5D"/>
    <w:rsid w:val="000C37A6"/>
    <w:rsid w:val="000E3E17"/>
    <w:rsid w:val="000E596D"/>
    <w:rsid w:val="000F0894"/>
    <w:rsid w:val="000F0F57"/>
    <w:rsid w:val="000F3CF0"/>
    <w:rsid w:val="00132A05"/>
    <w:rsid w:val="00133C8B"/>
    <w:rsid w:val="00143B76"/>
    <w:rsid w:val="00146838"/>
    <w:rsid w:val="00153255"/>
    <w:rsid w:val="001719A7"/>
    <w:rsid w:val="00171C63"/>
    <w:rsid w:val="00173B22"/>
    <w:rsid w:val="001873A2"/>
    <w:rsid w:val="00191770"/>
    <w:rsid w:val="00191D1C"/>
    <w:rsid w:val="001920C0"/>
    <w:rsid w:val="00192661"/>
    <w:rsid w:val="00192AEE"/>
    <w:rsid w:val="0019497D"/>
    <w:rsid w:val="001A735F"/>
    <w:rsid w:val="001B77BC"/>
    <w:rsid w:val="001C65E9"/>
    <w:rsid w:val="001D24FE"/>
    <w:rsid w:val="001D5EEC"/>
    <w:rsid w:val="001E12A4"/>
    <w:rsid w:val="002070CE"/>
    <w:rsid w:val="002105B5"/>
    <w:rsid w:val="00212828"/>
    <w:rsid w:val="00215251"/>
    <w:rsid w:val="002370CF"/>
    <w:rsid w:val="0024057F"/>
    <w:rsid w:val="0024672C"/>
    <w:rsid w:val="002542D8"/>
    <w:rsid w:val="0025558B"/>
    <w:rsid w:val="002627FC"/>
    <w:rsid w:val="00291244"/>
    <w:rsid w:val="002956A0"/>
    <w:rsid w:val="00296251"/>
    <w:rsid w:val="002A4A66"/>
    <w:rsid w:val="002B2C2B"/>
    <w:rsid w:val="002B45B6"/>
    <w:rsid w:val="002B56F9"/>
    <w:rsid w:val="002B7DD9"/>
    <w:rsid w:val="002C1A5E"/>
    <w:rsid w:val="002C2EAF"/>
    <w:rsid w:val="002C4C61"/>
    <w:rsid w:val="002C6E78"/>
    <w:rsid w:val="002D018A"/>
    <w:rsid w:val="002D3181"/>
    <w:rsid w:val="002D3FFE"/>
    <w:rsid w:val="002F5924"/>
    <w:rsid w:val="002F6F49"/>
    <w:rsid w:val="0030454E"/>
    <w:rsid w:val="0031626F"/>
    <w:rsid w:val="00316539"/>
    <w:rsid w:val="00316D9B"/>
    <w:rsid w:val="0031720D"/>
    <w:rsid w:val="0032443A"/>
    <w:rsid w:val="00342A34"/>
    <w:rsid w:val="003445BC"/>
    <w:rsid w:val="00352AF6"/>
    <w:rsid w:val="00361AAE"/>
    <w:rsid w:val="00362A51"/>
    <w:rsid w:val="003812DE"/>
    <w:rsid w:val="00393C9E"/>
    <w:rsid w:val="003A0B0F"/>
    <w:rsid w:val="003A1196"/>
    <w:rsid w:val="003A387D"/>
    <w:rsid w:val="003A4011"/>
    <w:rsid w:val="003A705A"/>
    <w:rsid w:val="003B3791"/>
    <w:rsid w:val="003C6084"/>
    <w:rsid w:val="003D08C8"/>
    <w:rsid w:val="003D5453"/>
    <w:rsid w:val="003E0396"/>
    <w:rsid w:val="003E401E"/>
    <w:rsid w:val="003E48DF"/>
    <w:rsid w:val="003F095C"/>
    <w:rsid w:val="003F357B"/>
    <w:rsid w:val="00404628"/>
    <w:rsid w:val="0041159E"/>
    <w:rsid w:val="004134CC"/>
    <w:rsid w:val="00414370"/>
    <w:rsid w:val="004175BE"/>
    <w:rsid w:val="00417970"/>
    <w:rsid w:val="0042031B"/>
    <w:rsid w:val="004228C4"/>
    <w:rsid w:val="004261C9"/>
    <w:rsid w:val="004263E4"/>
    <w:rsid w:val="00427887"/>
    <w:rsid w:val="00430E28"/>
    <w:rsid w:val="004352AF"/>
    <w:rsid w:val="004478C1"/>
    <w:rsid w:val="00457E22"/>
    <w:rsid w:val="00457E3B"/>
    <w:rsid w:val="00463829"/>
    <w:rsid w:val="00467199"/>
    <w:rsid w:val="004770DC"/>
    <w:rsid w:val="004816B9"/>
    <w:rsid w:val="00484FAB"/>
    <w:rsid w:val="00487014"/>
    <w:rsid w:val="00490D6C"/>
    <w:rsid w:val="004B597D"/>
    <w:rsid w:val="004B640F"/>
    <w:rsid w:val="004B7E36"/>
    <w:rsid w:val="004C53D5"/>
    <w:rsid w:val="004D0121"/>
    <w:rsid w:val="004D6177"/>
    <w:rsid w:val="004E7D16"/>
    <w:rsid w:val="004F249C"/>
    <w:rsid w:val="004F51D9"/>
    <w:rsid w:val="004F535F"/>
    <w:rsid w:val="0050162C"/>
    <w:rsid w:val="00501E2D"/>
    <w:rsid w:val="005042C0"/>
    <w:rsid w:val="0051598D"/>
    <w:rsid w:val="00533192"/>
    <w:rsid w:val="00542656"/>
    <w:rsid w:val="00546465"/>
    <w:rsid w:val="00550669"/>
    <w:rsid w:val="00560B70"/>
    <w:rsid w:val="00561B83"/>
    <w:rsid w:val="005634B7"/>
    <w:rsid w:val="00563FB8"/>
    <w:rsid w:val="00573CA5"/>
    <w:rsid w:val="00576BB0"/>
    <w:rsid w:val="00582829"/>
    <w:rsid w:val="00583740"/>
    <w:rsid w:val="00583DB2"/>
    <w:rsid w:val="00585908"/>
    <w:rsid w:val="00594304"/>
    <w:rsid w:val="005A6263"/>
    <w:rsid w:val="005B1F0E"/>
    <w:rsid w:val="005B55DB"/>
    <w:rsid w:val="005C75D4"/>
    <w:rsid w:val="005E5004"/>
    <w:rsid w:val="005F3147"/>
    <w:rsid w:val="00600A8F"/>
    <w:rsid w:val="00601CA0"/>
    <w:rsid w:val="00613C6E"/>
    <w:rsid w:val="00635394"/>
    <w:rsid w:val="00641F61"/>
    <w:rsid w:val="00642814"/>
    <w:rsid w:val="00644EBB"/>
    <w:rsid w:val="006513F6"/>
    <w:rsid w:val="006576E6"/>
    <w:rsid w:val="00671E44"/>
    <w:rsid w:val="006731B8"/>
    <w:rsid w:val="00676FF0"/>
    <w:rsid w:val="006824F5"/>
    <w:rsid w:val="0068347C"/>
    <w:rsid w:val="0068364C"/>
    <w:rsid w:val="00686D1A"/>
    <w:rsid w:val="00693B0D"/>
    <w:rsid w:val="006A0EA6"/>
    <w:rsid w:val="006A23CB"/>
    <w:rsid w:val="006B0BF2"/>
    <w:rsid w:val="006C0F77"/>
    <w:rsid w:val="006E2B28"/>
    <w:rsid w:val="006F22CE"/>
    <w:rsid w:val="006F24D4"/>
    <w:rsid w:val="00700ECA"/>
    <w:rsid w:val="007045EF"/>
    <w:rsid w:val="00713DD1"/>
    <w:rsid w:val="0071700E"/>
    <w:rsid w:val="00724A36"/>
    <w:rsid w:val="007375B8"/>
    <w:rsid w:val="00743F04"/>
    <w:rsid w:val="007475FA"/>
    <w:rsid w:val="00747B79"/>
    <w:rsid w:val="00755F43"/>
    <w:rsid w:val="00761D0D"/>
    <w:rsid w:val="00767055"/>
    <w:rsid w:val="00773478"/>
    <w:rsid w:val="00775720"/>
    <w:rsid w:val="00791249"/>
    <w:rsid w:val="00796062"/>
    <w:rsid w:val="007B629E"/>
    <w:rsid w:val="007C6F29"/>
    <w:rsid w:val="007C7422"/>
    <w:rsid w:val="007D613F"/>
    <w:rsid w:val="007E442E"/>
    <w:rsid w:val="007E696E"/>
    <w:rsid w:val="007E7188"/>
    <w:rsid w:val="007E78BD"/>
    <w:rsid w:val="007F0000"/>
    <w:rsid w:val="007F1630"/>
    <w:rsid w:val="007F2602"/>
    <w:rsid w:val="00804C60"/>
    <w:rsid w:val="00814E22"/>
    <w:rsid w:val="00822B8F"/>
    <w:rsid w:val="00822BAF"/>
    <w:rsid w:val="00824DDC"/>
    <w:rsid w:val="0082664A"/>
    <w:rsid w:val="0084003A"/>
    <w:rsid w:val="00843141"/>
    <w:rsid w:val="00851E36"/>
    <w:rsid w:val="00854159"/>
    <w:rsid w:val="008602A4"/>
    <w:rsid w:val="00874BE9"/>
    <w:rsid w:val="008758CA"/>
    <w:rsid w:val="008807A3"/>
    <w:rsid w:val="00880D50"/>
    <w:rsid w:val="008815CB"/>
    <w:rsid w:val="008928E3"/>
    <w:rsid w:val="008A1DED"/>
    <w:rsid w:val="008A7C97"/>
    <w:rsid w:val="008B78FA"/>
    <w:rsid w:val="008C017A"/>
    <w:rsid w:val="008C193C"/>
    <w:rsid w:val="008E1459"/>
    <w:rsid w:val="008E2178"/>
    <w:rsid w:val="008E38BE"/>
    <w:rsid w:val="008F3787"/>
    <w:rsid w:val="008F62E5"/>
    <w:rsid w:val="008F70EE"/>
    <w:rsid w:val="009036A7"/>
    <w:rsid w:val="0090758B"/>
    <w:rsid w:val="0093373C"/>
    <w:rsid w:val="00936DC3"/>
    <w:rsid w:val="00936EA8"/>
    <w:rsid w:val="00943B8F"/>
    <w:rsid w:val="0094413C"/>
    <w:rsid w:val="009448FC"/>
    <w:rsid w:val="00944E27"/>
    <w:rsid w:val="009564BD"/>
    <w:rsid w:val="00962396"/>
    <w:rsid w:val="009635A1"/>
    <w:rsid w:val="009811B6"/>
    <w:rsid w:val="00984091"/>
    <w:rsid w:val="009870FD"/>
    <w:rsid w:val="009A0E55"/>
    <w:rsid w:val="009A0E64"/>
    <w:rsid w:val="009A19EF"/>
    <w:rsid w:val="009B190C"/>
    <w:rsid w:val="009B278D"/>
    <w:rsid w:val="009C4638"/>
    <w:rsid w:val="00A02131"/>
    <w:rsid w:val="00A16E1B"/>
    <w:rsid w:val="00A26694"/>
    <w:rsid w:val="00A45ADD"/>
    <w:rsid w:val="00A51068"/>
    <w:rsid w:val="00A5543F"/>
    <w:rsid w:val="00A65BCC"/>
    <w:rsid w:val="00A66B78"/>
    <w:rsid w:val="00A724C3"/>
    <w:rsid w:val="00A72A29"/>
    <w:rsid w:val="00A75E59"/>
    <w:rsid w:val="00A85428"/>
    <w:rsid w:val="00A865CA"/>
    <w:rsid w:val="00AA07F3"/>
    <w:rsid w:val="00AA2027"/>
    <w:rsid w:val="00AB7007"/>
    <w:rsid w:val="00AC2D78"/>
    <w:rsid w:val="00B016E4"/>
    <w:rsid w:val="00B02C2F"/>
    <w:rsid w:val="00B07C37"/>
    <w:rsid w:val="00B148D6"/>
    <w:rsid w:val="00B1581A"/>
    <w:rsid w:val="00B226A5"/>
    <w:rsid w:val="00B339E8"/>
    <w:rsid w:val="00B41471"/>
    <w:rsid w:val="00B434C5"/>
    <w:rsid w:val="00B445E6"/>
    <w:rsid w:val="00B5031A"/>
    <w:rsid w:val="00B50A13"/>
    <w:rsid w:val="00B57506"/>
    <w:rsid w:val="00B57F8E"/>
    <w:rsid w:val="00B66245"/>
    <w:rsid w:val="00B66786"/>
    <w:rsid w:val="00B7245C"/>
    <w:rsid w:val="00B83CFF"/>
    <w:rsid w:val="00B90ECF"/>
    <w:rsid w:val="00B978F4"/>
    <w:rsid w:val="00BA5484"/>
    <w:rsid w:val="00BB102F"/>
    <w:rsid w:val="00BC0BE3"/>
    <w:rsid w:val="00BC589A"/>
    <w:rsid w:val="00BC5D81"/>
    <w:rsid w:val="00BD3E11"/>
    <w:rsid w:val="00BD7502"/>
    <w:rsid w:val="00BE4647"/>
    <w:rsid w:val="00C136E6"/>
    <w:rsid w:val="00C13B38"/>
    <w:rsid w:val="00C15E0F"/>
    <w:rsid w:val="00C41AC2"/>
    <w:rsid w:val="00C438F8"/>
    <w:rsid w:val="00C51B38"/>
    <w:rsid w:val="00C540FD"/>
    <w:rsid w:val="00C63856"/>
    <w:rsid w:val="00C81444"/>
    <w:rsid w:val="00C93362"/>
    <w:rsid w:val="00C96F0A"/>
    <w:rsid w:val="00CA4160"/>
    <w:rsid w:val="00CA5EAB"/>
    <w:rsid w:val="00CA5F01"/>
    <w:rsid w:val="00CB55A3"/>
    <w:rsid w:val="00CC0AE7"/>
    <w:rsid w:val="00CC2845"/>
    <w:rsid w:val="00CC2CC2"/>
    <w:rsid w:val="00CC5D19"/>
    <w:rsid w:val="00CE1C20"/>
    <w:rsid w:val="00CE48BD"/>
    <w:rsid w:val="00CF07BB"/>
    <w:rsid w:val="00CF3B97"/>
    <w:rsid w:val="00D17402"/>
    <w:rsid w:val="00D17E6B"/>
    <w:rsid w:val="00D20D95"/>
    <w:rsid w:val="00D26BFB"/>
    <w:rsid w:val="00D40CD6"/>
    <w:rsid w:val="00D469B8"/>
    <w:rsid w:val="00D52215"/>
    <w:rsid w:val="00D55964"/>
    <w:rsid w:val="00D60CEE"/>
    <w:rsid w:val="00D8565C"/>
    <w:rsid w:val="00D90804"/>
    <w:rsid w:val="00DA58BD"/>
    <w:rsid w:val="00DA7E20"/>
    <w:rsid w:val="00DB3379"/>
    <w:rsid w:val="00DB4626"/>
    <w:rsid w:val="00DC3307"/>
    <w:rsid w:val="00DC3CB6"/>
    <w:rsid w:val="00DD2804"/>
    <w:rsid w:val="00DD5BBF"/>
    <w:rsid w:val="00DF6F7D"/>
    <w:rsid w:val="00E16CAA"/>
    <w:rsid w:val="00E23BB6"/>
    <w:rsid w:val="00E2566C"/>
    <w:rsid w:val="00E3433C"/>
    <w:rsid w:val="00E34BEA"/>
    <w:rsid w:val="00E408D7"/>
    <w:rsid w:val="00E4094E"/>
    <w:rsid w:val="00E4781F"/>
    <w:rsid w:val="00E52883"/>
    <w:rsid w:val="00E5644A"/>
    <w:rsid w:val="00E66241"/>
    <w:rsid w:val="00E77E91"/>
    <w:rsid w:val="00E8498C"/>
    <w:rsid w:val="00E84CA1"/>
    <w:rsid w:val="00E93C0F"/>
    <w:rsid w:val="00E95785"/>
    <w:rsid w:val="00EA7B8E"/>
    <w:rsid w:val="00EB5D04"/>
    <w:rsid w:val="00ED0755"/>
    <w:rsid w:val="00EE30D7"/>
    <w:rsid w:val="00EF1524"/>
    <w:rsid w:val="00EF3A99"/>
    <w:rsid w:val="00F1518D"/>
    <w:rsid w:val="00F174FC"/>
    <w:rsid w:val="00F2561B"/>
    <w:rsid w:val="00F27595"/>
    <w:rsid w:val="00F30C95"/>
    <w:rsid w:val="00F32034"/>
    <w:rsid w:val="00F328D0"/>
    <w:rsid w:val="00F42000"/>
    <w:rsid w:val="00F43F2F"/>
    <w:rsid w:val="00F447B5"/>
    <w:rsid w:val="00F51EBD"/>
    <w:rsid w:val="00F568D7"/>
    <w:rsid w:val="00F624EE"/>
    <w:rsid w:val="00F75899"/>
    <w:rsid w:val="00F876DC"/>
    <w:rsid w:val="00F91EFD"/>
    <w:rsid w:val="00F94251"/>
    <w:rsid w:val="00F95CCC"/>
    <w:rsid w:val="00F97B1A"/>
    <w:rsid w:val="00FD5D19"/>
    <w:rsid w:val="00FF0D83"/>
    <w:rsid w:val="00FF7E74"/>
    <w:rsid w:val="012914C8"/>
    <w:rsid w:val="014057FA"/>
    <w:rsid w:val="01D04EF4"/>
    <w:rsid w:val="0294609E"/>
    <w:rsid w:val="032730A2"/>
    <w:rsid w:val="04BF0D6D"/>
    <w:rsid w:val="04F04995"/>
    <w:rsid w:val="05512657"/>
    <w:rsid w:val="06A6371F"/>
    <w:rsid w:val="070D3BF1"/>
    <w:rsid w:val="082C3449"/>
    <w:rsid w:val="08C330EF"/>
    <w:rsid w:val="09F43460"/>
    <w:rsid w:val="0B4A0DD4"/>
    <w:rsid w:val="0BA65441"/>
    <w:rsid w:val="0CAB49C1"/>
    <w:rsid w:val="0D006A41"/>
    <w:rsid w:val="0D12337E"/>
    <w:rsid w:val="0D3E0AB6"/>
    <w:rsid w:val="0D4A5868"/>
    <w:rsid w:val="0DBE0DD6"/>
    <w:rsid w:val="0DDB6F15"/>
    <w:rsid w:val="0E02486F"/>
    <w:rsid w:val="0E711563"/>
    <w:rsid w:val="0E736D32"/>
    <w:rsid w:val="0FD8068E"/>
    <w:rsid w:val="0FE67D3D"/>
    <w:rsid w:val="10196EF9"/>
    <w:rsid w:val="102A0350"/>
    <w:rsid w:val="1155307D"/>
    <w:rsid w:val="11B52619"/>
    <w:rsid w:val="12103EFE"/>
    <w:rsid w:val="13114ABD"/>
    <w:rsid w:val="140F4BC6"/>
    <w:rsid w:val="157C2191"/>
    <w:rsid w:val="15AB60E4"/>
    <w:rsid w:val="15B83744"/>
    <w:rsid w:val="168B5FDB"/>
    <w:rsid w:val="169150FA"/>
    <w:rsid w:val="16A632E7"/>
    <w:rsid w:val="181C16C5"/>
    <w:rsid w:val="18786F07"/>
    <w:rsid w:val="18DE7288"/>
    <w:rsid w:val="19D64507"/>
    <w:rsid w:val="1A806888"/>
    <w:rsid w:val="1A812A5E"/>
    <w:rsid w:val="1AC53040"/>
    <w:rsid w:val="1AFF72CA"/>
    <w:rsid w:val="1CE27793"/>
    <w:rsid w:val="1CF60B79"/>
    <w:rsid w:val="1D1E3965"/>
    <w:rsid w:val="1DA33B45"/>
    <w:rsid w:val="1DF857DA"/>
    <w:rsid w:val="1E57622D"/>
    <w:rsid w:val="1EC51C0D"/>
    <w:rsid w:val="1EDC0931"/>
    <w:rsid w:val="1EE61F3B"/>
    <w:rsid w:val="20381278"/>
    <w:rsid w:val="21D45365"/>
    <w:rsid w:val="21EA2EE3"/>
    <w:rsid w:val="224F028D"/>
    <w:rsid w:val="22D34080"/>
    <w:rsid w:val="230A1A93"/>
    <w:rsid w:val="23194140"/>
    <w:rsid w:val="235E5EFD"/>
    <w:rsid w:val="23C60E37"/>
    <w:rsid w:val="24397C3A"/>
    <w:rsid w:val="250C32D4"/>
    <w:rsid w:val="26881EB5"/>
    <w:rsid w:val="26D06F65"/>
    <w:rsid w:val="276F426C"/>
    <w:rsid w:val="27914A0E"/>
    <w:rsid w:val="27952750"/>
    <w:rsid w:val="28F65471"/>
    <w:rsid w:val="2AED0098"/>
    <w:rsid w:val="2BB40817"/>
    <w:rsid w:val="2C2D7517"/>
    <w:rsid w:val="2D322E67"/>
    <w:rsid w:val="2F0717ED"/>
    <w:rsid w:val="2F1644DE"/>
    <w:rsid w:val="2F3F4659"/>
    <w:rsid w:val="2F475ACE"/>
    <w:rsid w:val="2F73660F"/>
    <w:rsid w:val="300F55E6"/>
    <w:rsid w:val="301A7624"/>
    <w:rsid w:val="31B55363"/>
    <w:rsid w:val="32BE43A7"/>
    <w:rsid w:val="3308746D"/>
    <w:rsid w:val="3434094B"/>
    <w:rsid w:val="34381F52"/>
    <w:rsid w:val="346E05B1"/>
    <w:rsid w:val="34F73875"/>
    <w:rsid w:val="36515B4A"/>
    <w:rsid w:val="370C5E5F"/>
    <w:rsid w:val="37312C69"/>
    <w:rsid w:val="373240D9"/>
    <w:rsid w:val="375A798F"/>
    <w:rsid w:val="38867A61"/>
    <w:rsid w:val="389307DD"/>
    <w:rsid w:val="39030DCC"/>
    <w:rsid w:val="39F020F2"/>
    <w:rsid w:val="3A9E29A9"/>
    <w:rsid w:val="3B5F1EDC"/>
    <w:rsid w:val="3BA54333"/>
    <w:rsid w:val="3BF87FC6"/>
    <w:rsid w:val="3C75753F"/>
    <w:rsid w:val="3C9506A5"/>
    <w:rsid w:val="3D7D3661"/>
    <w:rsid w:val="3E135D25"/>
    <w:rsid w:val="3E1B735B"/>
    <w:rsid w:val="3E4A7FB9"/>
    <w:rsid w:val="3EC84A0F"/>
    <w:rsid w:val="3F1B741F"/>
    <w:rsid w:val="3FA5605B"/>
    <w:rsid w:val="3FBB6F9C"/>
    <w:rsid w:val="40C916D7"/>
    <w:rsid w:val="4124436F"/>
    <w:rsid w:val="414F2E44"/>
    <w:rsid w:val="41590FA0"/>
    <w:rsid w:val="41D13F2D"/>
    <w:rsid w:val="428C58C5"/>
    <w:rsid w:val="43315758"/>
    <w:rsid w:val="438374A9"/>
    <w:rsid w:val="43CB6054"/>
    <w:rsid w:val="4403247C"/>
    <w:rsid w:val="4422118E"/>
    <w:rsid w:val="442F526C"/>
    <w:rsid w:val="447F62F0"/>
    <w:rsid w:val="45A3734C"/>
    <w:rsid w:val="46680605"/>
    <w:rsid w:val="47945794"/>
    <w:rsid w:val="47D4633B"/>
    <w:rsid w:val="47F210A1"/>
    <w:rsid w:val="480C4E7F"/>
    <w:rsid w:val="48342D74"/>
    <w:rsid w:val="498B0ABE"/>
    <w:rsid w:val="4ACC3E2B"/>
    <w:rsid w:val="4AF018C8"/>
    <w:rsid w:val="4CC71098"/>
    <w:rsid w:val="4CE566B4"/>
    <w:rsid w:val="4D2B03F7"/>
    <w:rsid w:val="4E2B403E"/>
    <w:rsid w:val="4E8332C9"/>
    <w:rsid w:val="4F442D1B"/>
    <w:rsid w:val="4F517D09"/>
    <w:rsid w:val="4F787CF2"/>
    <w:rsid w:val="506059D9"/>
    <w:rsid w:val="50B8576C"/>
    <w:rsid w:val="50DD496A"/>
    <w:rsid w:val="50EA6DB9"/>
    <w:rsid w:val="524C0AF9"/>
    <w:rsid w:val="525B6782"/>
    <w:rsid w:val="53FA2841"/>
    <w:rsid w:val="54F2623D"/>
    <w:rsid w:val="55152047"/>
    <w:rsid w:val="556D571C"/>
    <w:rsid w:val="55E8793D"/>
    <w:rsid w:val="562246D4"/>
    <w:rsid w:val="57607C45"/>
    <w:rsid w:val="57A2219C"/>
    <w:rsid w:val="58412514"/>
    <w:rsid w:val="58BA0407"/>
    <w:rsid w:val="5A977F28"/>
    <w:rsid w:val="5B1B65FB"/>
    <w:rsid w:val="5C566F61"/>
    <w:rsid w:val="5C9756A8"/>
    <w:rsid w:val="5D050D67"/>
    <w:rsid w:val="5D7F3D38"/>
    <w:rsid w:val="5D92489B"/>
    <w:rsid w:val="5E6B3E4A"/>
    <w:rsid w:val="5E6D7727"/>
    <w:rsid w:val="5F585F71"/>
    <w:rsid w:val="5FE46263"/>
    <w:rsid w:val="605C4EFD"/>
    <w:rsid w:val="60606020"/>
    <w:rsid w:val="608A6186"/>
    <w:rsid w:val="60C9560D"/>
    <w:rsid w:val="60F45C8E"/>
    <w:rsid w:val="61941B7F"/>
    <w:rsid w:val="6230766F"/>
    <w:rsid w:val="63C61C68"/>
    <w:rsid w:val="63EA0AFD"/>
    <w:rsid w:val="64A357A5"/>
    <w:rsid w:val="6530704D"/>
    <w:rsid w:val="655B60E6"/>
    <w:rsid w:val="66D757D7"/>
    <w:rsid w:val="66E14363"/>
    <w:rsid w:val="68B308CB"/>
    <w:rsid w:val="695E32D1"/>
    <w:rsid w:val="6C594B45"/>
    <w:rsid w:val="6DE41D8A"/>
    <w:rsid w:val="6E2379D1"/>
    <w:rsid w:val="6F1B6828"/>
    <w:rsid w:val="6FC4136C"/>
    <w:rsid w:val="71506FBB"/>
    <w:rsid w:val="72C834C6"/>
    <w:rsid w:val="7316453B"/>
    <w:rsid w:val="73C13552"/>
    <w:rsid w:val="745245B0"/>
    <w:rsid w:val="74E47B97"/>
    <w:rsid w:val="75785B72"/>
    <w:rsid w:val="76C24B97"/>
    <w:rsid w:val="771204C8"/>
    <w:rsid w:val="7771247F"/>
    <w:rsid w:val="778353BC"/>
    <w:rsid w:val="77A25A49"/>
    <w:rsid w:val="79917FF2"/>
    <w:rsid w:val="7BAA250B"/>
    <w:rsid w:val="7C433A3C"/>
    <w:rsid w:val="7DAA0767"/>
    <w:rsid w:val="7DFB77D7"/>
    <w:rsid w:val="7EAC0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jc w:val="left"/>
      <w:textAlignment w:val="baseline"/>
    </w:pPr>
    <w:rPr>
      <w:rFonts w:ascii="Times New Roman" w:hAnsi="Times New Roman" w:eastAsia="宋体" w:cs="Times New Roman"/>
      <w:kern w:val="0"/>
      <w:sz w:val="24"/>
      <w:szCs w:val="20"/>
    </w:rPr>
  </w:style>
  <w:style w:type="paragraph" w:styleId="3">
    <w:name w:val="Body Text"/>
    <w:basedOn w:val="1"/>
    <w:link w:val="33"/>
    <w:qFormat/>
    <w:uiPriority w:val="0"/>
    <w:pPr>
      <w:spacing w:after="120"/>
    </w:pPr>
    <w:rPr>
      <w:rFonts w:ascii="Times New Roman" w:hAnsi="Times New Roman" w:eastAsia="宋体" w:cs="Times New Roman"/>
      <w:szCs w:val="24"/>
    </w:rPr>
  </w:style>
  <w:style w:type="paragraph" w:styleId="4">
    <w:name w:val="Body Text Indent"/>
    <w:basedOn w:val="1"/>
    <w:link w:val="27"/>
    <w:qFormat/>
    <w:uiPriority w:val="0"/>
    <w:pPr>
      <w:widowControl/>
      <w:ind w:firstLine="538"/>
      <w:jc w:val="left"/>
    </w:pPr>
    <w:rPr>
      <w:rFonts w:ascii="宋体" w:hAnsi="宋体" w:eastAsia="宋体" w:cs="Times New Roman"/>
      <w:kern w:val="0"/>
      <w:sz w:val="24"/>
      <w:szCs w:val="24"/>
    </w:rPr>
  </w:style>
  <w:style w:type="paragraph" w:styleId="5">
    <w:name w:val="Date"/>
    <w:basedOn w:val="1"/>
    <w:next w:val="1"/>
    <w:link w:val="23"/>
    <w:qFormat/>
    <w:uiPriority w:val="0"/>
    <w:pPr>
      <w:ind w:left="100" w:leftChars="2500"/>
    </w:pPr>
    <w:rPr>
      <w:rFonts w:ascii="Calibri" w:hAnsi="Calibri" w:eastAsia="宋体" w:cs="Times New Roman"/>
    </w:rPr>
  </w:style>
  <w:style w:type="paragraph" w:styleId="6">
    <w:name w:val="Body Text Indent 2"/>
    <w:basedOn w:val="1"/>
    <w:link w:val="30"/>
    <w:qFormat/>
    <w:uiPriority w:val="0"/>
    <w:pPr>
      <w:spacing w:after="120" w:line="480" w:lineRule="auto"/>
      <w:ind w:left="420" w:leftChars="200"/>
    </w:pPr>
    <w:rPr>
      <w:rFonts w:ascii="Times New Roman" w:hAnsi="Times New Roman" w:eastAsia="宋体" w:cs="Times New Roman"/>
      <w:szCs w:val="24"/>
    </w:rPr>
  </w:style>
  <w:style w:type="paragraph" w:styleId="7">
    <w:name w:val="Balloon Text"/>
    <w:basedOn w:val="1"/>
    <w:link w:val="25"/>
    <w:qFormat/>
    <w:uiPriority w:val="0"/>
    <w:rPr>
      <w:rFonts w:ascii="Calibri" w:hAnsi="Calibri" w:eastAsia="宋体" w:cs="Times New Roman"/>
      <w:sz w:val="18"/>
      <w:szCs w:val="18"/>
    </w:rPr>
  </w:style>
  <w:style w:type="paragraph" w:styleId="8">
    <w:name w:val="footer"/>
    <w:basedOn w:val="1"/>
    <w:link w:val="26"/>
    <w:qFormat/>
    <w:uiPriority w:val="0"/>
    <w:pPr>
      <w:tabs>
        <w:tab w:val="center" w:pos="4153"/>
        <w:tab w:val="right" w:pos="8306"/>
      </w:tabs>
      <w:snapToGrid w:val="0"/>
      <w:jc w:val="left"/>
    </w:pPr>
    <w:rPr>
      <w:rFonts w:ascii="Calibri" w:hAnsi="Calibri" w:eastAsia="宋体" w:cs="Times New Roman"/>
      <w:sz w:val="18"/>
      <w:szCs w:val="18"/>
    </w:rPr>
  </w:style>
  <w:style w:type="paragraph" w:styleId="9">
    <w:name w:val="header"/>
    <w:basedOn w:val="1"/>
    <w:link w:val="5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31"/>
    <w:qFormat/>
    <w:uiPriority w:val="0"/>
    <w:pPr>
      <w:spacing w:after="120"/>
      <w:ind w:left="420" w:leftChars="200"/>
    </w:pPr>
    <w:rPr>
      <w:rFonts w:ascii="Times New Roman" w:hAnsi="Times New Roman" w:eastAsia="宋体" w:cs="Times New Roman"/>
      <w:sz w:val="16"/>
      <w:szCs w:val="16"/>
    </w:rPr>
  </w:style>
  <w:style w:type="paragraph" w:styleId="11">
    <w:name w:val="Title"/>
    <w:basedOn w:val="1"/>
    <w:link w:val="28"/>
    <w:qFormat/>
    <w:uiPriority w:val="0"/>
    <w:pPr>
      <w:widowControl/>
      <w:spacing w:line="500" w:lineRule="exact"/>
      <w:jc w:val="center"/>
    </w:pPr>
    <w:rPr>
      <w:rFonts w:ascii="宋体" w:hAnsi="宋体" w:eastAsia="宋体" w:cs="Times New Roman"/>
      <w:b/>
      <w:bCs/>
      <w:kern w:val="0"/>
      <w:sz w:val="44"/>
      <w:szCs w:val="24"/>
    </w:rPr>
  </w:style>
  <w:style w:type="paragraph" w:styleId="12">
    <w:name w:val="Body Text First Indent"/>
    <w:basedOn w:val="3"/>
    <w:link w:val="34"/>
    <w:qFormat/>
    <w:uiPriority w:val="0"/>
    <w:pPr>
      <w:ind w:firstLine="420" w:firstLineChars="100"/>
    </w:pPr>
  </w:style>
  <w:style w:type="table" w:styleId="14">
    <w:name w:val="Table Grid"/>
    <w:basedOn w:val="13"/>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bCs/>
    </w:rPr>
  </w:style>
  <w:style w:type="character" w:styleId="17">
    <w:name w:val="page number"/>
    <w:basedOn w:val="15"/>
    <w:qFormat/>
    <w:uiPriority w:val="0"/>
  </w:style>
  <w:style w:type="character" w:customStyle="1" w:styleId="18">
    <w:name w:val="Footer Char"/>
    <w:basedOn w:val="15"/>
    <w:qFormat/>
    <w:uiPriority w:val="0"/>
    <w:rPr>
      <w:rFonts w:ascii="Calibri" w:hAnsi="Calibri" w:eastAsia="宋体"/>
      <w:kern w:val="2"/>
      <w:sz w:val="18"/>
      <w:szCs w:val="18"/>
      <w:lang w:val="en-US" w:eastAsia="zh-CN" w:bidi="ar-SA"/>
    </w:rPr>
  </w:style>
  <w:style w:type="paragraph" w:customStyle="1" w:styleId="1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character" w:customStyle="1" w:styleId="20">
    <w:name w:val="页码1"/>
    <w:basedOn w:val="15"/>
    <w:qFormat/>
    <w:uiPriority w:val="0"/>
  </w:style>
  <w:style w:type="character" w:customStyle="1" w:styleId="21">
    <w:name w:val="发布"/>
    <w:qFormat/>
    <w:uiPriority w:val="0"/>
    <w:rPr>
      <w:rFonts w:ascii="黑体" w:eastAsia="黑体"/>
      <w:spacing w:val="22"/>
      <w:w w:val="100"/>
      <w:position w:val="3"/>
      <w:sz w:val="28"/>
    </w:rPr>
  </w:style>
  <w:style w:type="character" w:customStyle="1" w:styleId="22">
    <w:name w:val="页眉 Char1"/>
    <w:basedOn w:val="15"/>
    <w:semiHidden/>
    <w:qFormat/>
    <w:uiPriority w:val="99"/>
    <w:rPr>
      <w:sz w:val="18"/>
      <w:szCs w:val="18"/>
    </w:rPr>
  </w:style>
  <w:style w:type="character" w:customStyle="1" w:styleId="23">
    <w:name w:val="日期 字符"/>
    <w:basedOn w:val="15"/>
    <w:link w:val="5"/>
    <w:qFormat/>
    <w:uiPriority w:val="0"/>
    <w:rPr>
      <w:rFonts w:ascii="Calibri" w:hAnsi="Calibri" w:eastAsia="宋体" w:cs="Times New Roman"/>
    </w:rPr>
  </w:style>
  <w:style w:type="paragraph" w:customStyle="1" w:styleId="24">
    <w:name w:val="列出段落1"/>
    <w:basedOn w:val="1"/>
    <w:qFormat/>
    <w:uiPriority w:val="0"/>
    <w:pPr>
      <w:ind w:firstLine="420" w:firstLineChars="200"/>
    </w:pPr>
    <w:rPr>
      <w:rFonts w:ascii="Calibri" w:hAnsi="Calibri" w:eastAsia="宋体" w:cs="Times New Roman"/>
    </w:rPr>
  </w:style>
  <w:style w:type="character" w:customStyle="1" w:styleId="25">
    <w:name w:val="批注框文本 字符"/>
    <w:basedOn w:val="15"/>
    <w:link w:val="7"/>
    <w:qFormat/>
    <w:uiPriority w:val="0"/>
    <w:rPr>
      <w:rFonts w:ascii="Calibri" w:hAnsi="Calibri" w:eastAsia="宋体" w:cs="Times New Roman"/>
      <w:sz w:val="18"/>
      <w:szCs w:val="18"/>
    </w:rPr>
  </w:style>
  <w:style w:type="character" w:customStyle="1" w:styleId="26">
    <w:name w:val="页脚 字符"/>
    <w:basedOn w:val="15"/>
    <w:link w:val="8"/>
    <w:qFormat/>
    <w:uiPriority w:val="0"/>
    <w:rPr>
      <w:rFonts w:ascii="Calibri" w:hAnsi="Calibri" w:eastAsia="宋体" w:cs="Times New Roman"/>
      <w:sz w:val="18"/>
      <w:szCs w:val="18"/>
    </w:rPr>
  </w:style>
  <w:style w:type="character" w:customStyle="1" w:styleId="27">
    <w:name w:val="正文文本缩进 字符"/>
    <w:basedOn w:val="15"/>
    <w:link w:val="4"/>
    <w:qFormat/>
    <w:uiPriority w:val="0"/>
    <w:rPr>
      <w:rFonts w:ascii="宋体" w:hAnsi="宋体" w:eastAsia="宋体" w:cs="Times New Roman"/>
      <w:kern w:val="0"/>
      <w:sz w:val="24"/>
      <w:szCs w:val="24"/>
    </w:rPr>
  </w:style>
  <w:style w:type="character" w:customStyle="1" w:styleId="28">
    <w:name w:val="标题 字符"/>
    <w:basedOn w:val="15"/>
    <w:link w:val="11"/>
    <w:qFormat/>
    <w:uiPriority w:val="0"/>
    <w:rPr>
      <w:rFonts w:ascii="宋体" w:hAnsi="宋体" w:eastAsia="宋体" w:cs="Times New Roman"/>
      <w:b/>
      <w:bCs/>
      <w:kern w:val="0"/>
      <w:sz w:val="44"/>
      <w:szCs w:val="24"/>
    </w:rPr>
  </w:style>
  <w:style w:type="paragraph" w:customStyle="1" w:styleId="29">
    <w:name w:val="Char"/>
    <w:basedOn w:val="1"/>
    <w:qFormat/>
    <w:uiPriority w:val="0"/>
    <w:rPr>
      <w:rFonts w:ascii="Times New Roman" w:hAnsi="Times New Roman" w:eastAsia="宋体" w:cs="Times New Roman"/>
      <w:szCs w:val="24"/>
    </w:rPr>
  </w:style>
  <w:style w:type="character" w:customStyle="1" w:styleId="30">
    <w:name w:val="正文文本缩进 2 字符"/>
    <w:basedOn w:val="15"/>
    <w:link w:val="6"/>
    <w:qFormat/>
    <w:uiPriority w:val="0"/>
    <w:rPr>
      <w:rFonts w:ascii="Times New Roman" w:hAnsi="Times New Roman" w:eastAsia="宋体" w:cs="Times New Roman"/>
      <w:szCs w:val="24"/>
    </w:rPr>
  </w:style>
  <w:style w:type="character" w:customStyle="1" w:styleId="31">
    <w:name w:val="正文文本缩进 3 字符"/>
    <w:basedOn w:val="15"/>
    <w:link w:val="10"/>
    <w:qFormat/>
    <w:uiPriority w:val="0"/>
    <w:rPr>
      <w:rFonts w:ascii="Times New Roman" w:hAnsi="Times New Roman" w:eastAsia="宋体" w:cs="Times New Roman"/>
      <w:sz w:val="16"/>
      <w:szCs w:val="16"/>
    </w:rPr>
  </w:style>
  <w:style w:type="paragraph" w:customStyle="1" w:styleId="3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character" w:customStyle="1" w:styleId="33">
    <w:name w:val="正文文本 字符"/>
    <w:basedOn w:val="15"/>
    <w:link w:val="3"/>
    <w:qFormat/>
    <w:uiPriority w:val="0"/>
    <w:rPr>
      <w:rFonts w:ascii="Times New Roman" w:hAnsi="Times New Roman" w:eastAsia="宋体" w:cs="Times New Roman"/>
      <w:szCs w:val="24"/>
    </w:rPr>
  </w:style>
  <w:style w:type="character" w:customStyle="1" w:styleId="34">
    <w:name w:val="正文文本首行缩进 字符"/>
    <w:basedOn w:val="33"/>
    <w:link w:val="12"/>
    <w:qFormat/>
    <w:uiPriority w:val="0"/>
    <w:rPr>
      <w:rFonts w:ascii="Times New Roman" w:hAnsi="Times New Roman" w:eastAsia="宋体" w:cs="Times New Roman"/>
      <w:szCs w:val="24"/>
    </w:rPr>
  </w:style>
  <w:style w:type="character" w:customStyle="1" w:styleId="35">
    <w:name w:val="表中文字"/>
    <w:basedOn w:val="15"/>
    <w:qFormat/>
    <w:uiPriority w:val="0"/>
    <w:rPr>
      <w:rFonts w:ascii="宋体" w:eastAsia="宋体"/>
      <w:sz w:val="18"/>
    </w:rPr>
  </w:style>
  <w:style w:type="character" w:customStyle="1" w:styleId="36">
    <w:name w:val="注释"/>
    <w:basedOn w:val="15"/>
    <w:qFormat/>
    <w:uiPriority w:val="0"/>
    <w:rPr>
      <w:rFonts w:ascii="Times New Roman" w:eastAsia="宋体"/>
      <w:sz w:val="18"/>
    </w:rPr>
  </w:style>
  <w:style w:type="paragraph" w:customStyle="1" w:styleId="37">
    <w:name w:val="段"/>
    <w:link w:val="4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8">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9">
    <w:name w:val="章标题"/>
    <w:next w:val="37"/>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40">
    <w:name w:val="一级条标题"/>
    <w:next w:val="37"/>
    <w:link w:val="44"/>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41">
    <w:name w:val="二级条标题"/>
    <w:basedOn w:val="40"/>
    <w:next w:val="37"/>
    <w:qFormat/>
    <w:uiPriority w:val="0"/>
    <w:pPr>
      <w:numPr>
        <w:ilvl w:val="3"/>
      </w:numPr>
      <w:tabs>
        <w:tab w:val="left" w:pos="2880"/>
      </w:tabs>
      <w:ind w:left="2880" w:hanging="360"/>
      <w:outlineLvl w:val="3"/>
    </w:pPr>
  </w:style>
  <w:style w:type="paragraph" w:customStyle="1" w:styleId="42">
    <w:name w:val="表题"/>
    <w:basedOn w:val="1"/>
    <w:next w:val="12"/>
    <w:qFormat/>
    <w:uiPriority w:val="0"/>
    <w:pPr>
      <w:adjustRightInd w:val="0"/>
      <w:spacing w:line="320" w:lineRule="atLeast"/>
      <w:jc w:val="center"/>
      <w:textAlignment w:val="baseline"/>
    </w:pPr>
    <w:rPr>
      <w:rFonts w:ascii="黑体" w:hAnsi="宋体" w:eastAsia="黑体" w:cs="Times New Roman"/>
      <w:bCs/>
      <w:kern w:val="0"/>
      <w:szCs w:val="20"/>
    </w:rPr>
  </w:style>
  <w:style w:type="character" w:customStyle="1" w:styleId="43">
    <w:name w:val="段 Char"/>
    <w:basedOn w:val="15"/>
    <w:link w:val="37"/>
    <w:qFormat/>
    <w:uiPriority w:val="0"/>
    <w:rPr>
      <w:rFonts w:ascii="宋体" w:hAnsi="Times New Roman" w:eastAsia="宋体" w:cs="Times New Roman"/>
      <w:kern w:val="0"/>
      <w:szCs w:val="20"/>
    </w:rPr>
  </w:style>
  <w:style w:type="character" w:customStyle="1" w:styleId="44">
    <w:name w:val="一级条标题 Char"/>
    <w:basedOn w:val="15"/>
    <w:link w:val="40"/>
    <w:qFormat/>
    <w:uiPriority w:val="0"/>
    <w:rPr>
      <w:rFonts w:ascii="Times New Roman" w:hAnsi="Times New Roman" w:eastAsia="黑体" w:cs="Times New Roman"/>
      <w:kern w:val="0"/>
      <w:szCs w:val="20"/>
    </w:rPr>
  </w:style>
  <w:style w:type="paragraph" w:customStyle="1" w:styleId="45">
    <w:name w:val="正文表标题"/>
    <w:next w:val="37"/>
    <w:qFormat/>
    <w:uiPriority w:val="0"/>
    <w:pPr>
      <w:jc w:val="center"/>
    </w:pPr>
    <w:rPr>
      <w:rFonts w:ascii="黑体" w:hAnsi="Times New Roman" w:eastAsia="黑体" w:cs="Times New Roman"/>
      <w:sz w:val="24"/>
      <w:lang w:val="en-US" w:eastAsia="zh-CN" w:bidi="ar-SA"/>
    </w:rPr>
  </w:style>
  <w:style w:type="character" w:customStyle="1" w:styleId="46">
    <w:name w:val="style61"/>
    <w:basedOn w:val="15"/>
    <w:qFormat/>
    <w:uiPriority w:val="0"/>
    <w:rPr>
      <w:sz w:val="21"/>
      <w:szCs w:val="21"/>
    </w:rPr>
  </w:style>
  <w:style w:type="paragraph" w:customStyle="1" w:styleId="4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8">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49">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rFonts w:ascii="Times New Roman" w:hAnsi="Times New Roman" w:eastAsia="宋体" w:cs="Times New Roman"/>
      <w:kern w:val="0"/>
      <w:sz w:val="28"/>
      <w:szCs w:val="20"/>
    </w:rPr>
  </w:style>
  <w:style w:type="paragraph" w:customStyle="1" w:styleId="50">
    <w:name w:val="封面标准代替信息"/>
    <w:basedOn w:val="49"/>
    <w:qFormat/>
    <w:uiPriority w:val="0"/>
    <w:pPr>
      <w:framePr w:wrap="around"/>
      <w:spacing w:before="57"/>
    </w:pPr>
    <w:rPr>
      <w:rFonts w:ascii="宋体"/>
      <w:sz w:val="21"/>
    </w:rPr>
  </w:style>
  <w:style w:type="paragraph" w:customStyle="1" w:styleId="5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52">
    <w:name w:val="封面正文"/>
    <w:qFormat/>
    <w:uiPriority w:val="0"/>
    <w:pPr>
      <w:jc w:val="both"/>
    </w:pPr>
    <w:rPr>
      <w:rFonts w:ascii="Times New Roman" w:hAnsi="Times New Roman" w:eastAsia="宋体" w:cs="Times New Roman"/>
      <w:lang w:val="en-US" w:eastAsia="zh-CN" w:bidi="ar-SA"/>
    </w:rPr>
  </w:style>
  <w:style w:type="paragraph" w:customStyle="1" w:styleId="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4">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hAnsi="Times New Roman" w:eastAsia="黑体" w:cs="Times New Roman"/>
      <w:spacing w:val="20"/>
      <w:w w:val="135"/>
      <w:kern w:val="0"/>
      <w:sz w:val="36"/>
      <w:szCs w:val="20"/>
    </w:rPr>
  </w:style>
  <w:style w:type="paragraph" w:customStyle="1" w:styleId="55">
    <w:name w:val="实施日期"/>
    <w:basedOn w:val="48"/>
    <w:qFormat/>
    <w:uiPriority w:val="0"/>
    <w:pPr>
      <w:framePr w:hSpace="0" w:wrap="around" w:xAlign="right"/>
      <w:jc w:val="right"/>
    </w:pPr>
  </w:style>
  <w:style w:type="character" w:styleId="56">
    <w:name w:val="Placeholder Text"/>
    <w:basedOn w:val="15"/>
    <w:semiHidden/>
    <w:qFormat/>
    <w:uiPriority w:val="99"/>
    <w:rPr>
      <w:color w:val="808080"/>
    </w:rPr>
  </w:style>
  <w:style w:type="character" w:customStyle="1" w:styleId="57">
    <w:name w:val="列项——（一级） Char"/>
    <w:link w:val="58"/>
    <w:qFormat/>
    <w:locked/>
    <w:uiPriority w:val="0"/>
    <w:rPr>
      <w:rFonts w:ascii="宋体"/>
      <w:sz w:val="21"/>
    </w:rPr>
  </w:style>
  <w:style w:type="paragraph" w:customStyle="1" w:styleId="58">
    <w:name w:val="列项——（一级）"/>
    <w:link w:val="57"/>
    <w:qFormat/>
    <w:uiPriority w:val="0"/>
    <w:pPr>
      <w:widowControl w:val="0"/>
      <w:tabs>
        <w:tab w:val="left" w:pos="854"/>
      </w:tabs>
      <w:ind w:left="200" w:leftChars="200" w:hanging="200" w:hangingChars="200"/>
      <w:jc w:val="both"/>
    </w:pPr>
    <w:rPr>
      <w:rFonts w:ascii="宋体" w:hAnsiTheme="minorHAnsi" w:eastAsiaTheme="minorEastAsia" w:cstheme="minorBidi"/>
      <w:sz w:val="21"/>
      <w:lang w:val="en-US" w:eastAsia="zh-CN" w:bidi="ar-SA"/>
    </w:rPr>
  </w:style>
  <w:style w:type="character" w:customStyle="1" w:styleId="59">
    <w:name w:val="页眉 字符"/>
    <w:basedOn w:val="15"/>
    <w:link w:val="9"/>
    <w:qFormat/>
    <w:uiPriority w:val="99"/>
    <w:rPr>
      <w:kern w:val="2"/>
      <w:sz w:val="18"/>
      <w:szCs w:val="18"/>
    </w:rPr>
  </w:style>
  <w:style w:type="paragraph" w:customStyle="1" w:styleId="60">
    <w:name w:val="p0"/>
    <w:basedOn w:val="1"/>
    <w:qFormat/>
    <w:uiPriority w:val="0"/>
    <w:pPr>
      <w:widowControl/>
    </w:pPr>
    <w:rPr>
      <w:rFonts w:ascii="Times New Roman" w:hAnsi="Times New Roman" w:eastAsia="宋体" w:cs="Times New Roman"/>
      <w:kern w:val="0"/>
      <w:szCs w:val="21"/>
    </w:rPr>
  </w:style>
  <w:style w:type="paragraph" w:customStyle="1" w:styleId="61">
    <w:name w:val="字母编号列项（一级）"/>
    <w:qFormat/>
    <w:uiPriority w:val="0"/>
    <w:pPr>
      <w:numPr>
        <w:ilvl w:val="0"/>
        <w:numId w:val="2"/>
      </w:numPr>
      <w:tabs>
        <w:tab w:val="left" w:pos="840"/>
      </w:tabs>
      <w:jc w:val="both"/>
    </w:pPr>
    <w:rPr>
      <w:rFonts w:ascii="宋体" w:hAnsi="Times New Roman" w:eastAsia="宋体" w:cs="Times New Roman"/>
      <w:sz w:val="21"/>
      <w:lang w:val="en-US" w:eastAsia="zh-CN" w:bidi="ar-SA"/>
    </w:rPr>
  </w:style>
  <w:style w:type="paragraph" w:customStyle="1" w:styleId="6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3">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3264</Words>
  <Characters>4000</Characters>
  <Lines>24</Lines>
  <Paragraphs>6</Paragraphs>
  <TotalTime>5</TotalTime>
  <ScaleCrop>false</ScaleCrop>
  <LinksUpToDate>false</LinksUpToDate>
  <CharactersWithSpaces>4146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2024-09-11T05:57:00Z</dcterms:created>
  <dc:creator>白万里-郑研院质检中心</dc:creator>
  <cp:lastModifiedBy>段昌祥</cp:lastModifiedBy>
  <dcterms:modified xsi:type="dcterms:W3CDTF">2024-12-10T00:01:52Z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2767FD37E3374C2FB3C88C1882982518</vt:lpwstr>
  </property>
</Properties>
</file>