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C7EF8">
      <w:pPr>
        <w:pStyle w:val="24"/>
        <w:rPr>
          <w:rFonts w:ascii="Times New Roman"/>
        </w:rPr>
      </w:pPr>
      <w:bookmarkStart w:id="0" w:name="_Toc48717817"/>
      <w:bookmarkStart w:id="1" w:name="_Toc49776953"/>
      <w:bookmarkStart w:id="2" w:name="SectionMark0"/>
    </w:p>
    <w:p w14:paraId="1ACD1DA6">
      <w:pPr>
        <w:pStyle w:val="24"/>
        <w:rPr>
          <w:rFonts w:ascii="Times New Roman"/>
        </w:rPr>
      </w:pPr>
    </w:p>
    <w:p w14:paraId="0E0F9240">
      <w:pPr>
        <w:pStyle w:val="24"/>
        <w:rPr>
          <w:rFonts w:ascii="Times New Roman"/>
        </w:rPr>
      </w:pPr>
    </w:p>
    <w:p w14:paraId="3140E303">
      <w:pPr>
        <w:pStyle w:val="24"/>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2031365</wp:posOffset>
                </wp:positionV>
                <wp:extent cx="5715000" cy="22860"/>
                <wp:effectExtent l="0" t="6350" r="0" b="16510"/>
                <wp:wrapNone/>
                <wp:docPr id="7" name="直接连接符 7"/>
                <wp:cNvGraphicFramePr/>
                <a:graphic xmlns:a="http://schemas.openxmlformats.org/drawingml/2006/main">
                  <a:graphicData uri="http://schemas.microsoft.com/office/word/2010/wordprocessingShape">
                    <wps:wsp>
                      <wps:cNvCnPr/>
                      <wps:spPr>
                        <a:xfrm flipV="1">
                          <a:off x="965200" y="3020695"/>
                          <a:ext cx="5715000" cy="2286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5.1pt;margin-top:159.95pt;height:1.8pt;width:450pt;z-index:251668480;mso-width-relative:page;mso-height-relative:page;" filled="f" stroked="t" coordsize="21600,21600" o:gfxdata="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6V5FXXAAAACgEAAA8AAAAAAAAAAQAgAAAAIgAAAGRycy9kb3du&#10;cmV2LnhtbFBLAQIUABQAAAAIAIdO4kBCLCT+AAIAANUDAAAOAAAAAAAAAAEAIAAAACYBAABkcnMv&#10;ZTJvRG9jLnhtbFBLBQYAAAAABgAGAFkBAACYBQAAAAA=&#10;">
                <v:fill on="f" focussize="0,0"/>
                <v:stroke weight="1pt" color="#385D8A [3204]" joinstyle="round"/>
                <v:imagedata o:title=""/>
                <o:lock v:ext="edit" aspectratio="f"/>
              </v:lin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8288020</wp:posOffset>
                </wp:positionV>
                <wp:extent cx="6057900" cy="0"/>
                <wp:effectExtent l="13970" t="10795" r="5080" b="8255"/>
                <wp:wrapNone/>
                <wp:docPr id="8" name="Line 68"/>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Line 68" o:spid="_x0000_s1026" o:spt="20" style="position:absolute;left:0pt;margin-left:-7.9pt;margin-top:652.6pt;height:0pt;width:477pt;z-index:251663360;mso-width-relative:page;mso-height-relative:page;" filled="f" stroked="t"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mVO+2AAAAA0BAAAPAAAAAAAAAAEAIAAAACIAAABkcnMv&#10;ZG93bnJldi54bWxQSwECFAAUAAAACACHTuJABb3aPMoBAACgAwAADgAAAAAAAAABACAAAAAn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-2540</wp:posOffset>
                </wp:positionH>
                <wp:positionV relativeFrom="margin">
                  <wp:posOffset>1894840</wp:posOffset>
                </wp:positionV>
                <wp:extent cx="5802630" cy="834390"/>
                <wp:effectExtent l="0" t="0" r="7620" b="3810"/>
                <wp:wrapNone/>
                <wp:docPr id="11" name="fmFrame3"/>
                <wp:cNvGraphicFramePr/>
                <a:graphic xmlns:a="http://schemas.openxmlformats.org/drawingml/2006/main">
                  <a:graphicData uri="http://schemas.microsoft.com/office/word/2010/wordprocessingShape">
                    <wps:wsp>
                      <wps:cNvSpPr txBox="1"/>
                      <wps:spPr>
                        <a:xfrm>
                          <a:off x="0" y="0"/>
                          <a:ext cx="5802630" cy="834390"/>
                        </a:xfrm>
                        <a:prstGeom prst="rect">
                          <a:avLst/>
                        </a:prstGeom>
                        <a:solidFill>
                          <a:srgbClr val="FFFFFF"/>
                        </a:solidFill>
                        <a:ln>
                          <a:noFill/>
                        </a:ln>
                      </wps:spPr>
                      <wps:txbx>
                        <w:txbxContent>
                          <w:p w14:paraId="78ED7773">
                            <w:pPr>
                              <w:pStyle w:val="100"/>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hint="eastAsia" w:ascii="黑体" w:eastAsia="黑体"/>
                                <w:szCs w:val="28"/>
                              </w:rPr>
                              <w:t>6</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229AFEC8">
                            <w:pPr>
                              <w:pStyle w:val="101"/>
                              <w:rPr>
                                <w:rFonts w:hint="eastAsia" w:ascii="黑体" w:hAnsi="黑体" w:eastAsia="黑体" w:cs="黑体"/>
                                <w:szCs w:val="21"/>
                              </w:rPr>
                            </w:pPr>
                            <w:r>
                              <w:rPr>
                                <w:rFonts w:hint="eastAsia" w:ascii="黑体" w:hAnsi="黑体" w:eastAsia="黑体" w:cs="黑体"/>
                                <w:szCs w:val="21"/>
                                <w:lang w:val="de-DE"/>
                              </w:rPr>
                              <w:t>代替</w:t>
                            </w:r>
                            <w:r>
                              <w:rPr>
                                <w:rFonts w:ascii="黑体" w:hAnsi="黑体" w:eastAsia="黑体" w:cs="黑体"/>
                                <w:szCs w:val="21"/>
                              </w:rPr>
                              <w:t xml:space="preserve">YS/T </w:t>
                            </w:r>
                            <w:r>
                              <w:rPr>
                                <w:rFonts w:hint="eastAsia" w:ascii="黑体" w:hAnsi="黑体" w:eastAsia="黑体" w:cs="黑体"/>
                                <w:szCs w:val="21"/>
                              </w:rPr>
                              <w:t>1115.12-2016、YS/T</w:t>
                            </w:r>
                            <w:r>
                              <w:rPr>
                                <w:rFonts w:ascii="黑体" w:hAnsi="黑体" w:eastAsia="黑体" w:cs="黑体"/>
                                <w:szCs w:val="21"/>
                              </w:rPr>
                              <w:t xml:space="preserve"> 952-2014</w:t>
                            </w:r>
                          </w:p>
                          <w:p w14:paraId="69C59EAA">
                            <w:pPr>
                              <w:pStyle w:val="101"/>
                              <w:rPr>
                                <w:rFonts w:hint="eastAsia" w:ascii="黑体" w:hAnsi="黑体" w:eastAsia="黑体" w:cs="黑体"/>
                                <w:szCs w:val="21"/>
                                <w:lang w:val="de-DE"/>
                              </w:rPr>
                            </w:pPr>
                          </w:p>
                        </w:txbxContent>
                      </wps:txbx>
                      <wps:bodyPr lIns="0" tIns="0" rIns="0" bIns="0" upright="1">
                        <a:noAutofit/>
                      </wps:bodyPr>
                    </wps:wsp>
                  </a:graphicData>
                </a:graphic>
              </wp:anchor>
            </w:drawing>
          </mc:Choice>
          <mc:Fallback>
            <w:pict>
              <v:shape id="fmFrame3" o:spid="_x0000_s1026" o:spt="202" type="#_x0000_t202" style="position:absolute;left:0pt;margin-left:-0.2pt;margin-top:149.2pt;height:65.7pt;width:456.9pt;mso-position-horizontal-relative:margin;mso-position-vertical-relative:margin;z-index:251667456;mso-width-relative:page;mso-height-relative:page;" fillcolor="#FFFFFF" filled="t" stroked="f" coordsize="21600,21600" o:gfxdata="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M/gW9cAAAAJAQAADwAAAAAAAAABACAAAAAiAAAAZHJz&#10;L2Rvd25yZXYueG1sUEsBAhQAFAAAAAgAh07iQEZQ2g3MAQAAswMAAA4AAAAAAAAAAQAgAAAAJgEA&#10;AGRycy9lMm9Eb2MueG1sUEsFBgAAAAAGAAYAWQEAAGQFAAAAAA==&#10;">
                <v:fill on="t" focussize="0,0"/>
                <v:stroke on="f"/>
                <v:imagedata o:title=""/>
                <o:lock v:ext="edit" aspectratio="f"/>
                <v:textbox inset="0mm,0mm,0mm,0mm">
                  <w:txbxContent>
                    <w:p w14:paraId="78ED7773">
                      <w:pPr>
                        <w:pStyle w:val="100"/>
                        <w:rPr>
                          <w:rFonts w:ascii="黑体" w:eastAsia="黑体"/>
                          <w:szCs w:val="28"/>
                          <w:lang w:val="de-DE"/>
                        </w:rPr>
                      </w:pPr>
                      <w:r>
                        <w:rPr>
                          <w:rFonts w:hint="eastAsia" w:ascii="黑体" w:eastAsia="黑体"/>
                          <w:szCs w:val="28"/>
                          <w:lang w:val="de-DE"/>
                        </w:rPr>
                        <w:t xml:space="preserve">YS/T </w:t>
                      </w:r>
                      <w:r>
                        <w:rPr>
                          <w:rFonts w:hint="eastAsia" w:ascii="黑体" w:eastAsia="黑体"/>
                          <w:szCs w:val="28"/>
                        </w:rPr>
                        <w:t>1115</w:t>
                      </w:r>
                      <w:r>
                        <w:rPr>
                          <w:rFonts w:hint="eastAsia" w:ascii="黑体" w:eastAsia="黑体"/>
                          <w:szCs w:val="28"/>
                          <w:lang w:val="de-DE"/>
                        </w:rPr>
                        <w:t>.</w:t>
                      </w:r>
                      <w:r>
                        <w:rPr>
                          <w:rFonts w:hint="eastAsia" w:ascii="黑体" w:eastAsia="黑体"/>
                          <w:szCs w:val="28"/>
                        </w:rPr>
                        <w:t>6</w:t>
                      </w:r>
                      <w:r>
                        <w:rPr>
                          <w:rFonts w:hint="eastAsia" w:ascii="黑体" w:eastAsia="黑体"/>
                          <w:szCs w:val="28"/>
                          <w:lang w:val="de-DE"/>
                        </w:rPr>
                        <w:t>—20</w:t>
                      </w:r>
                      <w:r>
                        <w:rPr>
                          <w:rFonts w:hint="eastAsia" w:ascii="黑体" w:eastAsia="黑体"/>
                          <w:szCs w:val="28"/>
                        </w:rPr>
                        <w:t>2</w:t>
                      </w:r>
                      <w:r>
                        <w:rPr>
                          <w:rFonts w:hint="eastAsia" w:ascii="黑体" w:eastAsia="黑体"/>
                          <w:szCs w:val="28"/>
                          <w:lang w:val="de-DE"/>
                        </w:rPr>
                        <w:t>X</w:t>
                      </w:r>
                    </w:p>
                    <w:p w14:paraId="229AFEC8">
                      <w:pPr>
                        <w:pStyle w:val="101"/>
                        <w:rPr>
                          <w:rFonts w:hint="eastAsia" w:ascii="黑体" w:hAnsi="黑体" w:eastAsia="黑体" w:cs="黑体"/>
                          <w:szCs w:val="21"/>
                        </w:rPr>
                      </w:pPr>
                      <w:r>
                        <w:rPr>
                          <w:rFonts w:hint="eastAsia" w:ascii="黑体" w:hAnsi="黑体" w:eastAsia="黑体" w:cs="黑体"/>
                          <w:szCs w:val="21"/>
                          <w:lang w:val="de-DE"/>
                        </w:rPr>
                        <w:t>代替</w:t>
                      </w:r>
                      <w:r>
                        <w:rPr>
                          <w:rFonts w:ascii="黑体" w:hAnsi="黑体" w:eastAsia="黑体" w:cs="黑体"/>
                          <w:szCs w:val="21"/>
                        </w:rPr>
                        <w:t xml:space="preserve">YS/T </w:t>
                      </w:r>
                      <w:r>
                        <w:rPr>
                          <w:rFonts w:hint="eastAsia" w:ascii="黑体" w:hAnsi="黑体" w:eastAsia="黑体" w:cs="黑体"/>
                          <w:szCs w:val="21"/>
                        </w:rPr>
                        <w:t>1115.12-2016、YS/T</w:t>
                      </w:r>
                      <w:r>
                        <w:rPr>
                          <w:rFonts w:ascii="黑体" w:hAnsi="黑体" w:eastAsia="黑体" w:cs="黑体"/>
                          <w:szCs w:val="21"/>
                        </w:rPr>
                        <w:t xml:space="preserve"> 952-2014</w:t>
                      </w:r>
                    </w:p>
                    <w:p w14:paraId="69C59EAA">
                      <w:pPr>
                        <w:pStyle w:val="101"/>
                        <w:rPr>
                          <w:rFonts w:hint="eastAsia" w:ascii="黑体" w:hAnsi="黑体" w:eastAsia="黑体" w:cs="黑体"/>
                          <w:szCs w:val="21"/>
                          <w:lang w:val="de-DE"/>
                        </w:rPr>
                      </w:pPr>
                    </w:p>
                  </w:txbxContent>
                </v:textbox>
                <w10:anchorlock/>
              </v:shape>
            </w:pict>
          </mc:Fallback>
        </mc:AlternateContent>
      </w:r>
      <w:r>
        <w:rPr>
          <w:rFonts w:eastAsia="黑体"/>
          <w:sz w:val="28"/>
          <w:szCs w:val="28"/>
        </w:rPr>
        <mc:AlternateContent>
          <mc:Choice Requires="wps">
            <w:drawing>
              <wp:anchor distT="0" distB="0" distL="114300" distR="114300" simplePos="0" relativeHeight="251666432" behindDoc="0" locked="1" layoutInCell="0" allowOverlap="1">
                <wp:simplePos x="0" y="0"/>
                <wp:positionH relativeFrom="margin">
                  <wp:posOffset>-153035</wp:posOffset>
                </wp:positionH>
                <wp:positionV relativeFrom="margin">
                  <wp:posOffset>1368425</wp:posOffset>
                </wp:positionV>
                <wp:extent cx="6120130" cy="391160"/>
                <wp:effectExtent l="0" t="0" r="13970" b="889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2BB553A3">
                            <w:pPr>
                              <w:pStyle w:val="126"/>
                              <w:rPr>
                                <w:rFonts w:hint="eastAsia"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05pt;margin-top:107.75pt;height:30.8pt;width:481.9pt;mso-position-horizontal-relative:margin;mso-position-vertical-relative:margin;z-index:251666432;mso-width-relative:page;mso-height-relative:page;" fillcolor="#FFFFFF" filled="t" stroked="f" coordsize="21600,21600" o:allowincell="f" o:gfxdata="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vGok2wAAAAsBAAAPAAAAAAAAAAEAIAAAACIAAABkcnMvZG93bnJldi54bWxQSwECFAAUAAAA&#10;CACHTuJAH+ngUiQCAAA+BAAADgAAAAAAAAABACAAAAAqAQAAZHJzL2Uyb0RvYy54bWxQSwUGAAAA&#10;AAYABgBZAQAAwAUAAAAA&#10;">
                <v:fill on="t" focussize="0,0"/>
                <v:stroke on="f"/>
                <v:imagedata o:title=""/>
                <o:lock v:ext="edit" aspectratio="f"/>
                <v:textbox inset="0mm,0mm,0mm,0mm">
                  <w:txbxContent>
                    <w:p w14:paraId="2BB553A3">
                      <w:pPr>
                        <w:pStyle w:val="126"/>
                        <w:rPr>
                          <w:rFonts w:hint="eastAsia"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w:rPr>
          <w:rFonts w:eastAsia="黑体"/>
          <w:sz w:val="28"/>
          <w:szCs w:val="28"/>
        </w:rPr>
        <mc:AlternateContent>
          <mc:Choice Requires="wps">
            <w:drawing>
              <wp:anchor distT="0" distB="0" distL="114300" distR="114300" simplePos="0" relativeHeight="251665408" behindDoc="0" locked="1" layoutInCell="0" allowOverlap="1">
                <wp:simplePos x="0" y="0"/>
                <wp:positionH relativeFrom="margin">
                  <wp:posOffset>2678430</wp:posOffset>
                </wp:positionH>
                <wp:positionV relativeFrom="margin">
                  <wp:posOffset>513715</wp:posOffset>
                </wp:positionV>
                <wp:extent cx="3175000" cy="720090"/>
                <wp:effectExtent l="0" t="0" r="6350" b="38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15FE70FA">
                            <w:pPr>
                              <w:pStyle w:val="58"/>
                              <w:rPr>
                                <w:w w:val="150"/>
                              </w:rPr>
                            </w:pPr>
                            <w:r>
                              <w:rPr>
                                <w:rFonts w:hint="eastAsia"/>
                                <w:w w:val="150"/>
                              </w:rPr>
                              <w:t>YS</w:t>
                            </w:r>
                          </w:p>
                          <w:p w14:paraId="7488AD10"/>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0.9pt;margin-top:40.45pt;height:56.7pt;width:250pt;mso-position-horizontal-relative:margin;mso-position-vertical-relative:margin;z-index:251665408;mso-width-relative:page;mso-height-relative:page;" fillcolor="#FFFFFF" filled="t" stroked="f" coordsize="21600,21600" o:allowincell="f" o:gfxdata="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AUng9gAAAAKAQAADwAAAAAAAAABACAAAAAiAAAAZHJzL2Rvd25yZXYueG1sUEsBAhQAFAAAAAgA&#10;h07iQNA3lDwlAgAAPAQAAA4AAAAAAAAAAQAgAAAAJwEAAGRycy9lMm9Eb2MueG1sUEsFBgAAAAAG&#10;AAYAWQEAAL4FAAAAAA==&#10;">
                <v:fill on="t" focussize="0,0"/>
                <v:stroke on="f"/>
                <v:imagedata o:title=""/>
                <o:lock v:ext="edit" aspectratio="f"/>
                <v:textbox inset="0mm,0mm,0mm,0mm">
                  <w:txbxContent>
                    <w:p w14:paraId="15FE70FA">
                      <w:pPr>
                        <w:pStyle w:val="58"/>
                        <w:rPr>
                          <w:w w:val="150"/>
                        </w:rPr>
                      </w:pPr>
                      <w:r>
                        <w:rPr>
                          <w:rFonts w:hint="eastAsia"/>
                          <w:w w:val="150"/>
                        </w:rPr>
                        <w:t>YS</w:t>
                      </w:r>
                    </w:p>
                    <w:p w14:paraId="7488AD10"/>
                  </w:txbxContent>
                </v:textbox>
                <w10:anchorlock/>
              </v:shape>
            </w:pict>
          </mc:Fallback>
        </mc:AlternateContent>
      </w:r>
      <w:r>
        <w:rPr>
          <w:rFonts w:ascii="Times New Roma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469265</wp:posOffset>
                </wp:positionV>
                <wp:extent cx="2406650" cy="514350"/>
                <wp:effectExtent l="0" t="2540" r="3175" b="0"/>
                <wp:wrapNone/>
                <wp:docPr id="6" name="fmFrame1"/>
                <wp:cNvGraphicFramePr/>
                <a:graphic xmlns:a="http://schemas.openxmlformats.org/drawingml/2006/main">
                  <a:graphicData uri="http://schemas.microsoft.com/office/word/2010/wordprocessingShape">
                    <wps:wsp>
                      <wps:cNvSpPr txBox="1">
                        <a:spLocks noChangeArrowheads="1"/>
                      </wps:cNvSpPr>
                      <wps:spPr bwMode="auto">
                        <a:xfrm>
                          <a:off x="0" y="0"/>
                          <a:ext cx="2406650" cy="514350"/>
                        </a:xfrm>
                        <a:prstGeom prst="rect">
                          <a:avLst/>
                        </a:prstGeom>
                        <a:solidFill>
                          <a:srgbClr val="FFFFFF"/>
                        </a:solidFill>
                        <a:ln>
                          <a:noFill/>
                        </a:ln>
                      </wps:spPr>
                      <wps:txbx>
                        <w:txbxContent>
                          <w:p w14:paraId="2A480B94">
                            <w:pPr>
                              <w:pStyle w:val="63"/>
                              <w:rPr>
                                <w:rFonts w:hint="eastAsia"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120.01</w:t>
                            </w:r>
                          </w:p>
                          <w:p w14:paraId="76A55F2B">
                            <w:pPr>
                              <w:pStyle w:val="63"/>
                              <w:rPr>
                                <w:szCs w:val="21"/>
                              </w:rPr>
                            </w:pPr>
                            <w:r>
                              <w:rPr>
                                <w:rFonts w:ascii="黑体" w:hAnsi="黑体"/>
                                <w:szCs w:val="21"/>
                              </w:rPr>
                              <w:t>CCS H 13</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36.95pt;height:40.5pt;width:189.5pt;mso-position-horizontal-relative:margin;mso-position-vertical-relative:margin;z-index:251664384;mso-width-relative:page;mso-height-relative:page;" fillcolor="#FFFFFF" filled="t"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a5xl1wAAAAcBAAAPAAAAAAAAAAEAIAAA&#10;ACIAAABkcnMvZG93bnJldi54bWxQSwECFAAUAAAACACHTuJARMZe/g0CAAArBAAADgAAAAAAAAAB&#10;ACAAAAAmAQAAZHJzL2Uyb0RvYy54bWxQSwUGAAAAAAYABgBZAQAApQUAAAAA&#10;">
                <v:fill on="t" focussize="0,0"/>
                <v:stroke on="f"/>
                <v:imagedata o:title=""/>
                <o:lock v:ext="edit" aspectratio="f"/>
                <v:textbox inset="0mm,0mm,0mm,0mm">
                  <w:txbxContent>
                    <w:p w14:paraId="2A480B94">
                      <w:pPr>
                        <w:pStyle w:val="63"/>
                        <w:rPr>
                          <w:rFonts w:hint="eastAsia" w:ascii="黑体" w:hAnsi="黑体"/>
                          <w:szCs w:val="21"/>
                        </w:rPr>
                      </w:pPr>
                      <w:r>
                        <w:rPr>
                          <w:rFonts w:hint="eastAsia" w:ascii="黑体" w:hAnsi="黑体"/>
                          <w:szCs w:val="21"/>
                        </w:rPr>
                        <w:t>ICS 7</w:t>
                      </w:r>
                      <w:r>
                        <w:rPr>
                          <w:rFonts w:ascii="黑体" w:hAnsi="黑体"/>
                          <w:szCs w:val="21"/>
                        </w:rPr>
                        <w:t>7</w:t>
                      </w:r>
                      <w:r>
                        <w:rPr>
                          <w:rFonts w:hint="eastAsia" w:ascii="黑体" w:hAnsi="黑体"/>
                          <w:szCs w:val="21"/>
                        </w:rPr>
                        <w:t>.</w:t>
                      </w:r>
                      <w:r>
                        <w:rPr>
                          <w:rFonts w:ascii="黑体" w:hAnsi="黑体"/>
                          <w:szCs w:val="21"/>
                        </w:rPr>
                        <w:t>120.01</w:t>
                      </w:r>
                    </w:p>
                    <w:p w14:paraId="76A55F2B">
                      <w:pPr>
                        <w:pStyle w:val="63"/>
                        <w:rPr>
                          <w:szCs w:val="21"/>
                        </w:rPr>
                      </w:pPr>
                      <w:r>
                        <w:rPr>
                          <w:rFonts w:ascii="黑体" w:hAnsi="黑体"/>
                          <w:szCs w:val="21"/>
                        </w:rPr>
                        <w:t>CCS H 13</w:t>
                      </w: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-162560</wp:posOffset>
                </wp:positionH>
                <wp:positionV relativeFrom="margin">
                  <wp:posOffset>8826500</wp:posOffset>
                </wp:positionV>
                <wp:extent cx="6120130" cy="793750"/>
                <wp:effectExtent l="0" t="0" r="0" b="0"/>
                <wp:wrapNone/>
                <wp:docPr id="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93750"/>
                        </a:xfrm>
                        <a:prstGeom prst="rect">
                          <a:avLst/>
                        </a:prstGeom>
                        <a:solidFill>
                          <a:srgbClr val="FFFFFF"/>
                        </a:solidFill>
                        <a:ln>
                          <a:noFill/>
                        </a:ln>
                      </wps:spPr>
                      <wps:txbx>
                        <w:txbxContent>
                          <w:p w14:paraId="445E50C6">
                            <w:pPr>
                              <w:pStyle w:val="72"/>
                              <w:spacing w:line="340" w:lineRule="exact"/>
                              <w:ind w:firstLine="2299" w:firstLineChars="550"/>
                              <w:jc w:val="both"/>
                              <w:rPr>
                                <w:rFonts w:ascii="黑体" w:eastAsia="黑体"/>
                                <w:b w:val="0"/>
                                <w:bCs/>
                                <w:sz w:val="28"/>
                              </w:rPr>
                            </w:pPr>
                          </w:p>
                          <w:p w14:paraId="52EE1125">
                            <w:pPr>
                              <w:pStyle w:val="72"/>
                              <w:spacing w:line="340" w:lineRule="exact"/>
                              <w:rPr>
                                <w:rFonts w:ascii="黑体" w:eastAsia="黑体"/>
                                <w:b w:val="0"/>
                                <w:bCs/>
                                <w:sz w:val="28"/>
                              </w:rPr>
                            </w:pPr>
                          </w:p>
                          <w:p w14:paraId="65FE2046">
                            <w:pPr>
                              <w:pStyle w:val="72"/>
                              <w:spacing w:line="340" w:lineRule="exact"/>
                              <w:rPr>
                                <w:rFonts w:ascii="黑体" w:eastAsia="黑体"/>
                                <w:bCs/>
                                <w:sz w:val="28"/>
                              </w:rPr>
                            </w:pPr>
                            <w:r>
                              <w:rPr>
                                <w:rFonts w:hint="eastAsia" w:ascii="黑体" w:eastAsia="黑体"/>
                                <w:bCs/>
                                <w:sz w:val="28"/>
                              </w:rPr>
                              <w:t>中华人民共和国工业和信息化部　发布</w:t>
                            </w:r>
                          </w:p>
                          <w:p w14:paraId="3A6A60C5">
                            <w:pPr>
                              <w:pStyle w:val="57"/>
                              <w:ind w:firstLine="420"/>
                            </w:pPr>
                          </w:p>
                          <w:p w14:paraId="74694C44">
                            <w:pPr>
                              <w:pStyle w:val="57"/>
                              <w:ind w:firstLine="420"/>
                            </w:pPr>
                          </w:p>
                          <w:p w14:paraId="1DB1D116">
                            <w:pPr>
                              <w:pStyle w:val="57"/>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8pt;margin-top:695pt;height:62.5pt;width:481.9pt;mso-position-horizontal-relative:margin;mso-position-vertical-relative:margin;z-index:251662336;mso-width-relative:page;mso-height-relative:page;" fillcolor="#FFFFFF" filled="t"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B52H2wAAAA0BAAAPAAAAAAAA&#10;AAEAIAAAACIAAABkcnMvZG93bnJldi54bWxQSwECFAAUAAAACACHTuJALsP04A8CAAArBAAADgAA&#10;AAAAAAABACAAAAAqAQAAZHJzL2Uyb0RvYy54bWxQSwUGAAAAAAYABgBZAQAAqwUAAAAA&#10;">
                <v:fill on="t" focussize="0,0"/>
                <v:stroke on="f"/>
                <v:imagedata o:title=""/>
                <o:lock v:ext="edit" aspectratio="f"/>
                <v:textbox inset="0mm,0mm,0mm,0mm">
                  <w:txbxContent>
                    <w:p w14:paraId="445E50C6">
                      <w:pPr>
                        <w:pStyle w:val="72"/>
                        <w:spacing w:line="340" w:lineRule="exact"/>
                        <w:ind w:firstLine="2299" w:firstLineChars="550"/>
                        <w:jc w:val="both"/>
                        <w:rPr>
                          <w:rFonts w:ascii="黑体" w:eastAsia="黑体"/>
                          <w:b w:val="0"/>
                          <w:bCs/>
                          <w:sz w:val="28"/>
                        </w:rPr>
                      </w:pPr>
                    </w:p>
                    <w:p w14:paraId="52EE1125">
                      <w:pPr>
                        <w:pStyle w:val="72"/>
                        <w:spacing w:line="340" w:lineRule="exact"/>
                        <w:rPr>
                          <w:rFonts w:ascii="黑体" w:eastAsia="黑体"/>
                          <w:b w:val="0"/>
                          <w:bCs/>
                          <w:sz w:val="28"/>
                        </w:rPr>
                      </w:pPr>
                    </w:p>
                    <w:p w14:paraId="65FE2046">
                      <w:pPr>
                        <w:pStyle w:val="72"/>
                        <w:spacing w:line="340" w:lineRule="exact"/>
                        <w:rPr>
                          <w:rFonts w:ascii="黑体" w:eastAsia="黑体"/>
                          <w:bCs/>
                          <w:sz w:val="28"/>
                        </w:rPr>
                      </w:pPr>
                      <w:r>
                        <w:rPr>
                          <w:rFonts w:hint="eastAsia" w:ascii="黑体" w:eastAsia="黑体"/>
                          <w:bCs/>
                          <w:sz w:val="28"/>
                        </w:rPr>
                        <w:t>中华人民共和国工业和信息化部　发布</w:t>
                      </w:r>
                    </w:p>
                    <w:p w14:paraId="3A6A60C5">
                      <w:pPr>
                        <w:pStyle w:val="57"/>
                        <w:ind w:firstLine="420"/>
                      </w:pPr>
                    </w:p>
                    <w:p w14:paraId="74694C44">
                      <w:pPr>
                        <w:pStyle w:val="57"/>
                        <w:ind w:firstLine="420"/>
                      </w:pPr>
                    </w:p>
                    <w:p w14:paraId="1DB1D116">
                      <w:pPr>
                        <w:pStyle w:val="57"/>
                        <w:ind w:firstLine="420"/>
                      </w:pP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3823970</wp:posOffset>
                </wp:positionH>
                <wp:positionV relativeFrom="margin">
                  <wp:posOffset>8514080</wp:posOffset>
                </wp:positionV>
                <wp:extent cx="2019300" cy="312420"/>
                <wp:effectExtent l="4445" t="0" r="0" b="3175"/>
                <wp:wrapNone/>
                <wp:docPr id="4"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0AD28A7">
                            <w:pPr>
                              <w:jc w:val="right"/>
                              <w:rPr>
                                <w:rFonts w:hint="eastAsia" w:ascii="黑体" w:hAnsi="黑体" w:eastAsia="黑体"/>
                                <w:sz w:val="28"/>
                                <w:szCs w:val="28"/>
                              </w:rPr>
                            </w:pPr>
                            <w:r>
                              <w:rPr>
                                <w:rFonts w:hint="eastAsia" w:ascii="黑体" w:hAnsi="黑体" w:eastAsia="黑体"/>
                                <w:sz w:val="28"/>
                                <w:szCs w:val="28"/>
                              </w:rPr>
                              <w:t xml:space="preserve">202X-XX-XX实施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1312;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PaDfYAAAADQEAAA8AAAAAAAAAAQAg&#10;AAAAIgAAAGRycy9kb3ducmV2LnhtbFBLAQIUABQAAAAIAIdO4kBq3PkyDgIAACsEAAAOAAAAAAAA&#10;AAEAIAAAACcBAABkcnMvZTJvRG9jLnhtbFBLBQYAAAAABgAGAFkBAACnBQAAAAA=&#10;">
                <v:fill on="t" focussize="0,0"/>
                <v:stroke on="f"/>
                <v:imagedata o:title=""/>
                <o:lock v:ext="edit" aspectratio="f"/>
                <v:textbox inset="0mm,0mm,0mm,0mm">
                  <w:txbxContent>
                    <w:p w14:paraId="30AD28A7">
                      <w:pPr>
                        <w:jc w:val="right"/>
                        <w:rPr>
                          <w:rFonts w:hint="eastAsia" w:ascii="黑体" w:hAnsi="黑体" w:eastAsia="黑体"/>
                          <w:sz w:val="28"/>
                          <w:szCs w:val="28"/>
                        </w:rPr>
                      </w:pPr>
                      <w:r>
                        <w:rPr>
                          <w:rFonts w:hint="eastAsia" w:ascii="黑体" w:hAnsi="黑体" w:eastAsia="黑体"/>
                          <w:sz w:val="28"/>
                          <w:szCs w:val="28"/>
                        </w:rPr>
                        <w:t xml:space="preserve">202X-XX-XX实施   </w:t>
                      </w:r>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8516620</wp:posOffset>
                </wp:positionV>
                <wp:extent cx="2019300" cy="312420"/>
                <wp:effectExtent l="0" t="1270" r="0" b="635"/>
                <wp:wrapNone/>
                <wp:docPr id="3"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29775D0">
                            <w:pPr>
                              <w:pStyle w:val="88"/>
                              <w:rPr>
                                <w:rFonts w:ascii="黑体"/>
                              </w:rPr>
                            </w:pPr>
                            <w:r>
                              <w:rPr>
                                <w:rFonts w:hint="eastAsia" w:ascii="黑体"/>
                              </w:rPr>
                              <w:t>202X-XX-XX发布</w:t>
                            </w:r>
                          </w:p>
                          <w:p w14:paraId="0551436B"/>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0.6pt;height:24.6pt;width:159pt;mso-position-horizontal-relative:margin;mso-position-vertical-relative:margin;z-index:251660288;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hpYXYAAAACgEAAA8AAAAAAAAAAQAg&#10;AAAAIgAAAGRycy9kb3ducmV2LnhtbFBLAQIUABQAAAAIAIdO4kC4t3KcDgIAACsEAAAOAAAAAAAA&#10;AAEAIAAAACcBAABkcnMvZTJvRG9jLnhtbFBLBQYAAAAABgAGAFkBAACnBQAAAAA=&#10;">
                <v:fill on="t" focussize="0,0"/>
                <v:stroke on="f"/>
                <v:imagedata o:title=""/>
                <o:lock v:ext="edit" aspectratio="f"/>
                <v:textbox inset="0mm,0mm,0mm,0mm">
                  <w:txbxContent>
                    <w:p w14:paraId="129775D0">
                      <w:pPr>
                        <w:pStyle w:val="88"/>
                        <w:rPr>
                          <w:rFonts w:ascii="黑体"/>
                        </w:rPr>
                      </w:pPr>
                      <w:r>
                        <w:rPr>
                          <w:rFonts w:hint="eastAsia" w:ascii="黑体"/>
                        </w:rPr>
                        <w:t>202X-XX-XX发布</w:t>
                      </w:r>
                    </w:p>
                    <w:p w14:paraId="0551436B"/>
                  </w:txbxContent>
                </v:textbox>
                <w10:anchorlock/>
              </v:shape>
            </w:pict>
          </mc:Fallback>
        </mc:AlternateContent>
      </w:r>
      <w:r>
        <w:rPr>
          <w:rFonts w:ascii="Times New Roman"/>
        </w:rPr>
        <mc:AlternateContent>
          <mc:Choice Requires="wps">
            <w:drawing>
              <wp:anchor distT="0" distB="0" distL="114300" distR="114300" simplePos="0" relativeHeight="251659264" behindDoc="0" locked="1" layoutInCell="1" allowOverlap="1">
                <wp:simplePos x="0" y="0"/>
                <wp:positionH relativeFrom="margin">
                  <wp:posOffset>-11430</wp:posOffset>
                </wp:positionH>
                <wp:positionV relativeFrom="margin">
                  <wp:posOffset>2778760</wp:posOffset>
                </wp:positionV>
                <wp:extent cx="5969000" cy="5196205"/>
                <wp:effectExtent l="0" t="0" r="0" b="0"/>
                <wp:wrapNone/>
                <wp:docPr id="2"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5196205"/>
                        </a:xfrm>
                        <a:prstGeom prst="rect">
                          <a:avLst/>
                        </a:prstGeom>
                        <a:solidFill>
                          <a:srgbClr val="FFFFFF"/>
                        </a:solidFill>
                        <a:ln>
                          <a:noFill/>
                        </a:ln>
                      </wps:spPr>
                      <wps:txbx>
                        <w:txbxContent>
                          <w:p w14:paraId="54204C2F">
                            <w:pPr>
                              <w:jc w:val="center"/>
                              <w:rPr>
                                <w:rFonts w:ascii="黑体" w:eastAsia="黑体"/>
                                <w:sz w:val="52"/>
                              </w:rPr>
                            </w:pPr>
                          </w:p>
                          <w:p w14:paraId="0E6C6EDC">
                            <w:pPr>
                              <w:jc w:val="center"/>
                              <w:rPr>
                                <w:rFonts w:hint="eastAsia" w:ascii="黑体" w:hAnsi="黑体" w:eastAsia="黑体"/>
                                <w:bCs/>
                                <w:sz w:val="52"/>
                                <w:szCs w:val="72"/>
                              </w:rPr>
                            </w:pPr>
                            <w:r>
                              <w:rPr>
                                <w:rFonts w:hint="eastAsia" w:ascii="黑体" w:hAnsi="黑体" w:eastAsia="黑体"/>
                                <w:bCs/>
                                <w:sz w:val="52"/>
                                <w:szCs w:val="72"/>
                              </w:rPr>
                              <w:t>铜、铅、锌原矿和尾矿化学分析方法</w:t>
                            </w:r>
                          </w:p>
                          <w:p w14:paraId="01DFADA3">
                            <w:pPr>
                              <w:jc w:val="center"/>
                              <w:rPr>
                                <w:rFonts w:hint="eastAsia" w:ascii="黑体" w:hAnsi="黑体" w:eastAsia="黑体"/>
                                <w:bCs/>
                                <w:sz w:val="52"/>
                                <w:szCs w:val="72"/>
                              </w:rPr>
                            </w:pPr>
                            <w:r>
                              <w:rPr>
                                <w:rFonts w:hint="eastAsia" w:ascii="黑体" w:hAnsi="黑体" w:eastAsia="黑体"/>
                                <w:bCs/>
                                <w:sz w:val="52"/>
                                <w:szCs w:val="72"/>
                              </w:rPr>
                              <w:t>第6部分：铜、铅、锌、镍、钴、镉、镁</w:t>
                            </w:r>
                            <w:r>
                              <w:rPr>
                                <w:rFonts w:hint="eastAsia" w:ascii="黑体" w:hAnsi="黑体" w:eastAsia="黑体"/>
                                <w:bCs/>
                                <w:sz w:val="52"/>
                                <w:szCs w:val="72"/>
                                <w:lang w:eastAsia="zh-CN"/>
                              </w:rPr>
                              <w:t>、</w:t>
                            </w:r>
                            <w:r>
                              <w:rPr>
                                <w:rFonts w:hint="eastAsia" w:ascii="黑体" w:hAnsi="黑体" w:eastAsia="黑体"/>
                                <w:bCs/>
                                <w:sz w:val="52"/>
                                <w:szCs w:val="72"/>
                              </w:rPr>
                              <w:t>锰、砷和钼含量的测定</w:t>
                            </w:r>
                          </w:p>
                          <w:p w14:paraId="7DED176B">
                            <w:pPr>
                              <w:jc w:val="center"/>
                              <w:rPr>
                                <w:rFonts w:hint="eastAsia" w:ascii="黑体" w:hAnsi="黑体" w:eastAsia="黑体"/>
                                <w:bCs/>
                                <w:sz w:val="52"/>
                                <w:szCs w:val="72"/>
                              </w:rPr>
                            </w:pPr>
                            <w:r>
                              <w:rPr>
                                <w:rFonts w:hint="eastAsia" w:ascii="黑体" w:hAnsi="黑体" w:eastAsia="黑体"/>
                                <w:bCs/>
                                <w:sz w:val="52"/>
                                <w:szCs w:val="72"/>
                              </w:rPr>
                              <w:t>电感耦合等离子体原子发射光谱法</w:t>
                            </w:r>
                          </w:p>
                          <w:p w14:paraId="59A3C450">
                            <w:pPr>
                              <w:jc w:val="center"/>
                              <w:rPr>
                                <w:rFonts w:eastAsia="黑体"/>
                                <w:bCs/>
                                <w:sz w:val="28"/>
                                <w:szCs w:val="28"/>
                              </w:rPr>
                            </w:pPr>
                            <w:r>
                              <w:rPr>
                                <w:rFonts w:eastAsia="黑体"/>
                                <w:bCs/>
                                <w:sz w:val="28"/>
                                <w:szCs w:val="28"/>
                              </w:rPr>
                              <w:t>Methods for chemical analysis of copper</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w:t>
                            </w:r>
                            <w:r>
                              <w:rPr>
                                <w:rFonts w:eastAsia="黑体"/>
                                <w:bCs/>
                                <w:sz w:val="28"/>
                                <w:szCs w:val="28"/>
                              </w:rPr>
                              <w:t>zinc ores and tailings</w:t>
                            </w:r>
                            <w:r>
                              <w:rPr>
                                <w:rFonts w:hint="eastAsia" w:eastAsia="黑体"/>
                                <w:bCs/>
                                <w:sz w:val="28"/>
                                <w:szCs w:val="28"/>
                              </w:rPr>
                              <w:t xml:space="preserve"> </w:t>
                            </w:r>
                            <w:r>
                              <w:rPr>
                                <w:rFonts w:eastAsia="黑体"/>
                                <w:bCs/>
                                <w:sz w:val="28"/>
                                <w:szCs w:val="28"/>
                              </w:rPr>
                              <w:t>—</w:t>
                            </w:r>
                          </w:p>
                          <w:p w14:paraId="25DCB164">
                            <w:pPr>
                              <w:jc w:val="center"/>
                              <w:rPr>
                                <w:rFonts w:eastAsia="黑体"/>
                                <w:bCs/>
                                <w:sz w:val="28"/>
                                <w:szCs w:val="28"/>
                              </w:rPr>
                            </w:pPr>
                            <w:r>
                              <w:rPr>
                                <w:rFonts w:eastAsia="黑体"/>
                                <w:bCs/>
                                <w:sz w:val="28"/>
                                <w:szCs w:val="28"/>
                              </w:rPr>
                              <w:t>Part 6：Determination of copper</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w:t>
                            </w:r>
                            <w:r>
                              <w:rPr>
                                <w:rFonts w:eastAsia="黑体"/>
                                <w:bCs/>
                                <w:sz w:val="28"/>
                                <w:szCs w:val="28"/>
                              </w:rPr>
                              <w:t>zinc</w:t>
                            </w:r>
                            <w:r>
                              <w:rPr>
                                <w:rFonts w:hint="eastAsia" w:eastAsia="黑体"/>
                                <w:bCs/>
                                <w:sz w:val="28"/>
                                <w:szCs w:val="28"/>
                              </w:rPr>
                              <w:t xml:space="preserve">, </w:t>
                            </w:r>
                            <w:r>
                              <w:rPr>
                                <w:rFonts w:eastAsia="黑体"/>
                                <w:bCs/>
                                <w:sz w:val="28"/>
                                <w:szCs w:val="28"/>
                              </w:rPr>
                              <w:t>nickel</w:t>
                            </w:r>
                            <w:r>
                              <w:rPr>
                                <w:rFonts w:hint="eastAsia" w:eastAsia="黑体"/>
                                <w:bCs/>
                                <w:sz w:val="28"/>
                                <w:szCs w:val="28"/>
                              </w:rPr>
                              <w:t xml:space="preserve">, </w:t>
                            </w:r>
                            <w:r>
                              <w:rPr>
                                <w:rFonts w:eastAsia="黑体"/>
                                <w:bCs/>
                                <w:sz w:val="28"/>
                                <w:szCs w:val="28"/>
                              </w:rPr>
                              <w:t>cobalt</w:t>
                            </w:r>
                            <w:r>
                              <w:rPr>
                                <w:rFonts w:hint="eastAsia" w:eastAsia="黑体"/>
                                <w:bCs/>
                                <w:sz w:val="28"/>
                                <w:szCs w:val="28"/>
                              </w:rPr>
                              <w:t xml:space="preserve">, </w:t>
                            </w:r>
                            <w:r>
                              <w:rPr>
                                <w:rFonts w:eastAsia="黑体"/>
                                <w:bCs/>
                                <w:sz w:val="28"/>
                                <w:szCs w:val="28"/>
                              </w:rPr>
                              <w:t>cadmium</w:t>
                            </w:r>
                            <w:r>
                              <w:rPr>
                                <w:rFonts w:hint="eastAsia" w:eastAsia="黑体"/>
                                <w:bCs/>
                                <w:sz w:val="28"/>
                                <w:szCs w:val="28"/>
                              </w:rPr>
                              <w:t xml:space="preserve">, </w:t>
                            </w:r>
                            <w:r>
                              <w:rPr>
                                <w:rFonts w:eastAsia="黑体"/>
                                <w:bCs/>
                                <w:sz w:val="28"/>
                                <w:szCs w:val="28"/>
                              </w:rPr>
                              <w:t>magnesium</w:t>
                            </w:r>
                            <w:r>
                              <w:rPr>
                                <w:rFonts w:hint="eastAsia" w:eastAsia="黑体"/>
                                <w:bCs/>
                                <w:sz w:val="28"/>
                                <w:szCs w:val="28"/>
                              </w:rPr>
                              <w:t xml:space="preserve">, </w:t>
                            </w:r>
                            <w:r>
                              <w:rPr>
                                <w:rFonts w:eastAsia="黑体"/>
                                <w:bCs/>
                                <w:sz w:val="28"/>
                                <w:szCs w:val="28"/>
                              </w:rPr>
                              <w:t xml:space="preserve"> manganese</w:t>
                            </w:r>
                            <w:r>
                              <w:rPr>
                                <w:rFonts w:hint="eastAsia" w:eastAsia="黑体"/>
                                <w:bCs/>
                                <w:sz w:val="28"/>
                                <w:szCs w:val="28"/>
                              </w:rPr>
                              <w:t xml:space="preserve">, </w:t>
                            </w:r>
                            <w:r>
                              <w:rPr>
                                <w:rFonts w:eastAsia="黑体"/>
                                <w:bCs/>
                                <w:sz w:val="28"/>
                                <w:szCs w:val="28"/>
                              </w:rPr>
                              <w:t>arsenic</w:t>
                            </w:r>
                            <w:r>
                              <w:rPr>
                                <w:rFonts w:hint="eastAsia" w:eastAsia="黑体"/>
                                <w:bCs/>
                                <w:sz w:val="28"/>
                                <w:szCs w:val="28"/>
                              </w:rPr>
                              <w:t xml:space="preserve"> and </w:t>
                            </w:r>
                            <w:r>
                              <w:rPr>
                                <w:rFonts w:eastAsia="黑体"/>
                                <w:bCs/>
                                <w:sz w:val="28"/>
                                <w:szCs w:val="28"/>
                              </w:rPr>
                              <w:t>molybdenum contents—</w:t>
                            </w:r>
                          </w:p>
                          <w:p w14:paraId="663D31AD">
                            <w:pPr>
                              <w:widowControl/>
                              <w:jc w:val="center"/>
                              <w:rPr>
                                <w:rFonts w:eastAsia="黑体"/>
                                <w:bCs/>
                                <w:sz w:val="28"/>
                                <w:szCs w:val="28"/>
                              </w:rPr>
                            </w:pPr>
                            <w:r>
                              <w:rPr>
                                <w:rFonts w:eastAsia="黑体"/>
                                <w:bCs/>
                                <w:sz w:val="28"/>
                                <w:szCs w:val="28"/>
                              </w:rPr>
                              <w:t>Inductively coupled plasma atomic emission spectrometric method</w:t>
                            </w:r>
                          </w:p>
                          <w:p w14:paraId="16274D0C">
                            <w:pPr>
                              <w:pStyle w:val="84"/>
                              <w:rPr>
                                <w:b/>
                                <w:sz w:val="30"/>
                              </w:rPr>
                            </w:pPr>
                            <w:r>
                              <w:rPr>
                                <w:rFonts w:hint="eastAsia" w:ascii="黑体" w:hAnsi="黑体" w:eastAsia="黑体"/>
                                <w:spacing w:val="6"/>
                                <w:sz w:val="28"/>
                                <w:szCs w:val="21"/>
                              </w:rPr>
                              <w:t xml:space="preserve"> (</w:t>
                            </w:r>
                            <w:r>
                              <w:rPr>
                                <w:rFonts w:hint="eastAsia" w:ascii="黑体" w:hAnsi="黑体" w:eastAsia="黑体"/>
                                <w:spacing w:val="6"/>
                                <w:sz w:val="28"/>
                                <w:szCs w:val="21"/>
                                <w:lang w:val="en-US" w:eastAsia="zh-CN"/>
                              </w:rPr>
                              <w:t>送审稿</w:t>
                            </w:r>
                            <w:r>
                              <w:rPr>
                                <w:rFonts w:hint="eastAsia" w:ascii="黑体" w:hAnsi="黑体" w:eastAsia="黑体"/>
                                <w:spacing w:val="6"/>
                                <w:sz w:val="28"/>
                                <w:szCs w:val="21"/>
                              </w:rPr>
                              <w:t>)</w:t>
                            </w:r>
                          </w:p>
                          <w:p w14:paraId="12B59D2D">
                            <w:pPr>
                              <w:pStyle w:val="71"/>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9pt;margin-top:218.8pt;height:409.15pt;width:470pt;mso-position-horizontal-relative:margin;mso-position-vertical-relative:margin;z-index:251659264;mso-width-relative:page;mso-height-relative:page;" fillcolor="#FFFFFF" filled="t" stroked="f" coordsize="21600,21600" o:gfxdata="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J/ljbAAAACwEAAA8AAAAA&#10;AAAAAQAgAAAAIgAAAGRycy9kb3ducmV2LnhtbFBLAQIUABQAAAAIAIdO4kAxTnUEEQIAACwEAAAO&#10;AAAAAAAAAAEAIAAAACoBAABkcnMvZTJvRG9jLnhtbFBLBQYAAAAABgAGAFkBAACtBQAAAAA=&#10;">
                <v:fill on="t" focussize="0,0"/>
                <v:stroke on="f"/>
                <v:imagedata o:title=""/>
                <o:lock v:ext="edit" aspectratio="f"/>
                <v:textbox inset="0mm,0mm,0mm,0mm">
                  <w:txbxContent>
                    <w:p w14:paraId="54204C2F">
                      <w:pPr>
                        <w:jc w:val="center"/>
                        <w:rPr>
                          <w:rFonts w:ascii="黑体" w:eastAsia="黑体"/>
                          <w:sz w:val="52"/>
                        </w:rPr>
                      </w:pPr>
                    </w:p>
                    <w:p w14:paraId="0E6C6EDC">
                      <w:pPr>
                        <w:jc w:val="center"/>
                        <w:rPr>
                          <w:rFonts w:hint="eastAsia" w:ascii="黑体" w:hAnsi="黑体" w:eastAsia="黑体"/>
                          <w:bCs/>
                          <w:sz w:val="52"/>
                          <w:szCs w:val="72"/>
                        </w:rPr>
                      </w:pPr>
                      <w:r>
                        <w:rPr>
                          <w:rFonts w:hint="eastAsia" w:ascii="黑体" w:hAnsi="黑体" w:eastAsia="黑体"/>
                          <w:bCs/>
                          <w:sz w:val="52"/>
                          <w:szCs w:val="72"/>
                        </w:rPr>
                        <w:t>铜、铅、锌原矿和尾矿化学分析方法</w:t>
                      </w:r>
                    </w:p>
                    <w:p w14:paraId="01DFADA3">
                      <w:pPr>
                        <w:jc w:val="center"/>
                        <w:rPr>
                          <w:rFonts w:hint="eastAsia" w:ascii="黑体" w:hAnsi="黑体" w:eastAsia="黑体"/>
                          <w:bCs/>
                          <w:sz w:val="52"/>
                          <w:szCs w:val="72"/>
                        </w:rPr>
                      </w:pPr>
                      <w:r>
                        <w:rPr>
                          <w:rFonts w:hint="eastAsia" w:ascii="黑体" w:hAnsi="黑体" w:eastAsia="黑体"/>
                          <w:bCs/>
                          <w:sz w:val="52"/>
                          <w:szCs w:val="72"/>
                        </w:rPr>
                        <w:t>第6部分：铜、铅、锌、镍、钴、镉、镁</w:t>
                      </w:r>
                      <w:r>
                        <w:rPr>
                          <w:rFonts w:hint="eastAsia" w:ascii="黑体" w:hAnsi="黑体" w:eastAsia="黑体"/>
                          <w:bCs/>
                          <w:sz w:val="52"/>
                          <w:szCs w:val="72"/>
                          <w:lang w:eastAsia="zh-CN"/>
                        </w:rPr>
                        <w:t>、</w:t>
                      </w:r>
                      <w:r>
                        <w:rPr>
                          <w:rFonts w:hint="eastAsia" w:ascii="黑体" w:hAnsi="黑体" w:eastAsia="黑体"/>
                          <w:bCs/>
                          <w:sz w:val="52"/>
                          <w:szCs w:val="72"/>
                        </w:rPr>
                        <w:t>锰、砷和钼含量的测定</w:t>
                      </w:r>
                    </w:p>
                    <w:p w14:paraId="7DED176B">
                      <w:pPr>
                        <w:jc w:val="center"/>
                        <w:rPr>
                          <w:rFonts w:hint="eastAsia" w:ascii="黑体" w:hAnsi="黑体" w:eastAsia="黑体"/>
                          <w:bCs/>
                          <w:sz w:val="52"/>
                          <w:szCs w:val="72"/>
                        </w:rPr>
                      </w:pPr>
                      <w:r>
                        <w:rPr>
                          <w:rFonts w:hint="eastAsia" w:ascii="黑体" w:hAnsi="黑体" w:eastAsia="黑体"/>
                          <w:bCs/>
                          <w:sz w:val="52"/>
                          <w:szCs w:val="72"/>
                        </w:rPr>
                        <w:t>电感耦合等离子体原子发射光谱法</w:t>
                      </w:r>
                    </w:p>
                    <w:p w14:paraId="59A3C450">
                      <w:pPr>
                        <w:jc w:val="center"/>
                        <w:rPr>
                          <w:rFonts w:eastAsia="黑体"/>
                          <w:bCs/>
                          <w:sz w:val="28"/>
                          <w:szCs w:val="28"/>
                        </w:rPr>
                      </w:pPr>
                      <w:r>
                        <w:rPr>
                          <w:rFonts w:eastAsia="黑体"/>
                          <w:bCs/>
                          <w:sz w:val="28"/>
                          <w:szCs w:val="28"/>
                        </w:rPr>
                        <w:t>Methods for chemical analysis of copper</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w:t>
                      </w:r>
                      <w:r>
                        <w:rPr>
                          <w:rFonts w:eastAsia="黑体"/>
                          <w:bCs/>
                          <w:sz w:val="28"/>
                          <w:szCs w:val="28"/>
                        </w:rPr>
                        <w:t>zinc ores and tailings</w:t>
                      </w:r>
                      <w:r>
                        <w:rPr>
                          <w:rFonts w:hint="eastAsia" w:eastAsia="黑体"/>
                          <w:bCs/>
                          <w:sz w:val="28"/>
                          <w:szCs w:val="28"/>
                        </w:rPr>
                        <w:t xml:space="preserve"> </w:t>
                      </w:r>
                      <w:r>
                        <w:rPr>
                          <w:rFonts w:eastAsia="黑体"/>
                          <w:bCs/>
                          <w:sz w:val="28"/>
                          <w:szCs w:val="28"/>
                        </w:rPr>
                        <w:t>—</w:t>
                      </w:r>
                    </w:p>
                    <w:p w14:paraId="25DCB164">
                      <w:pPr>
                        <w:jc w:val="center"/>
                        <w:rPr>
                          <w:rFonts w:eastAsia="黑体"/>
                          <w:bCs/>
                          <w:sz w:val="28"/>
                          <w:szCs w:val="28"/>
                        </w:rPr>
                      </w:pPr>
                      <w:r>
                        <w:rPr>
                          <w:rFonts w:eastAsia="黑体"/>
                          <w:bCs/>
                          <w:sz w:val="28"/>
                          <w:szCs w:val="28"/>
                        </w:rPr>
                        <w:t>Part 6：Determination of copper</w:t>
                      </w:r>
                      <w:r>
                        <w:rPr>
                          <w:rFonts w:hint="eastAsia" w:eastAsia="黑体"/>
                          <w:bCs/>
                          <w:sz w:val="28"/>
                          <w:szCs w:val="28"/>
                        </w:rPr>
                        <w:t xml:space="preserve">, </w:t>
                      </w:r>
                      <w:r>
                        <w:rPr>
                          <w:rFonts w:eastAsia="黑体"/>
                          <w:bCs/>
                          <w:sz w:val="28"/>
                          <w:szCs w:val="28"/>
                        </w:rPr>
                        <w:t>lead</w:t>
                      </w:r>
                      <w:r>
                        <w:rPr>
                          <w:rFonts w:hint="eastAsia" w:eastAsia="黑体"/>
                          <w:bCs/>
                          <w:sz w:val="28"/>
                          <w:szCs w:val="28"/>
                        </w:rPr>
                        <w:t xml:space="preserve">, </w:t>
                      </w:r>
                      <w:r>
                        <w:rPr>
                          <w:rFonts w:eastAsia="黑体"/>
                          <w:bCs/>
                          <w:sz w:val="28"/>
                          <w:szCs w:val="28"/>
                        </w:rPr>
                        <w:t>zinc</w:t>
                      </w:r>
                      <w:r>
                        <w:rPr>
                          <w:rFonts w:hint="eastAsia" w:eastAsia="黑体"/>
                          <w:bCs/>
                          <w:sz w:val="28"/>
                          <w:szCs w:val="28"/>
                        </w:rPr>
                        <w:t xml:space="preserve">, </w:t>
                      </w:r>
                      <w:r>
                        <w:rPr>
                          <w:rFonts w:eastAsia="黑体"/>
                          <w:bCs/>
                          <w:sz w:val="28"/>
                          <w:szCs w:val="28"/>
                        </w:rPr>
                        <w:t>nickel</w:t>
                      </w:r>
                      <w:r>
                        <w:rPr>
                          <w:rFonts w:hint="eastAsia" w:eastAsia="黑体"/>
                          <w:bCs/>
                          <w:sz w:val="28"/>
                          <w:szCs w:val="28"/>
                        </w:rPr>
                        <w:t xml:space="preserve">, </w:t>
                      </w:r>
                      <w:r>
                        <w:rPr>
                          <w:rFonts w:eastAsia="黑体"/>
                          <w:bCs/>
                          <w:sz w:val="28"/>
                          <w:szCs w:val="28"/>
                        </w:rPr>
                        <w:t>cobalt</w:t>
                      </w:r>
                      <w:r>
                        <w:rPr>
                          <w:rFonts w:hint="eastAsia" w:eastAsia="黑体"/>
                          <w:bCs/>
                          <w:sz w:val="28"/>
                          <w:szCs w:val="28"/>
                        </w:rPr>
                        <w:t xml:space="preserve">, </w:t>
                      </w:r>
                      <w:r>
                        <w:rPr>
                          <w:rFonts w:eastAsia="黑体"/>
                          <w:bCs/>
                          <w:sz w:val="28"/>
                          <w:szCs w:val="28"/>
                        </w:rPr>
                        <w:t>cadmium</w:t>
                      </w:r>
                      <w:r>
                        <w:rPr>
                          <w:rFonts w:hint="eastAsia" w:eastAsia="黑体"/>
                          <w:bCs/>
                          <w:sz w:val="28"/>
                          <w:szCs w:val="28"/>
                        </w:rPr>
                        <w:t xml:space="preserve">, </w:t>
                      </w:r>
                      <w:r>
                        <w:rPr>
                          <w:rFonts w:eastAsia="黑体"/>
                          <w:bCs/>
                          <w:sz w:val="28"/>
                          <w:szCs w:val="28"/>
                        </w:rPr>
                        <w:t>magnesium</w:t>
                      </w:r>
                      <w:r>
                        <w:rPr>
                          <w:rFonts w:hint="eastAsia" w:eastAsia="黑体"/>
                          <w:bCs/>
                          <w:sz w:val="28"/>
                          <w:szCs w:val="28"/>
                        </w:rPr>
                        <w:t xml:space="preserve">, </w:t>
                      </w:r>
                      <w:r>
                        <w:rPr>
                          <w:rFonts w:eastAsia="黑体"/>
                          <w:bCs/>
                          <w:sz w:val="28"/>
                          <w:szCs w:val="28"/>
                        </w:rPr>
                        <w:t xml:space="preserve"> manganese</w:t>
                      </w:r>
                      <w:r>
                        <w:rPr>
                          <w:rFonts w:hint="eastAsia" w:eastAsia="黑体"/>
                          <w:bCs/>
                          <w:sz w:val="28"/>
                          <w:szCs w:val="28"/>
                        </w:rPr>
                        <w:t xml:space="preserve">, </w:t>
                      </w:r>
                      <w:r>
                        <w:rPr>
                          <w:rFonts w:eastAsia="黑体"/>
                          <w:bCs/>
                          <w:sz w:val="28"/>
                          <w:szCs w:val="28"/>
                        </w:rPr>
                        <w:t>arsenic</w:t>
                      </w:r>
                      <w:r>
                        <w:rPr>
                          <w:rFonts w:hint="eastAsia" w:eastAsia="黑体"/>
                          <w:bCs/>
                          <w:sz w:val="28"/>
                          <w:szCs w:val="28"/>
                        </w:rPr>
                        <w:t xml:space="preserve"> and </w:t>
                      </w:r>
                      <w:r>
                        <w:rPr>
                          <w:rFonts w:eastAsia="黑体"/>
                          <w:bCs/>
                          <w:sz w:val="28"/>
                          <w:szCs w:val="28"/>
                        </w:rPr>
                        <w:t>molybdenum contents—</w:t>
                      </w:r>
                    </w:p>
                    <w:p w14:paraId="663D31AD">
                      <w:pPr>
                        <w:widowControl/>
                        <w:jc w:val="center"/>
                        <w:rPr>
                          <w:rFonts w:eastAsia="黑体"/>
                          <w:bCs/>
                          <w:sz w:val="28"/>
                          <w:szCs w:val="28"/>
                        </w:rPr>
                      </w:pPr>
                      <w:r>
                        <w:rPr>
                          <w:rFonts w:eastAsia="黑体"/>
                          <w:bCs/>
                          <w:sz w:val="28"/>
                          <w:szCs w:val="28"/>
                        </w:rPr>
                        <w:t>Inductively coupled plasma atomic emission spectrometric method</w:t>
                      </w:r>
                    </w:p>
                    <w:p w14:paraId="16274D0C">
                      <w:pPr>
                        <w:pStyle w:val="84"/>
                        <w:rPr>
                          <w:b/>
                          <w:sz w:val="30"/>
                        </w:rPr>
                      </w:pPr>
                      <w:r>
                        <w:rPr>
                          <w:rFonts w:hint="eastAsia" w:ascii="黑体" w:hAnsi="黑体" w:eastAsia="黑体"/>
                          <w:spacing w:val="6"/>
                          <w:sz w:val="28"/>
                          <w:szCs w:val="21"/>
                        </w:rPr>
                        <w:t xml:space="preserve"> (</w:t>
                      </w:r>
                      <w:r>
                        <w:rPr>
                          <w:rFonts w:hint="eastAsia" w:ascii="黑体" w:hAnsi="黑体" w:eastAsia="黑体"/>
                          <w:spacing w:val="6"/>
                          <w:sz w:val="28"/>
                          <w:szCs w:val="21"/>
                          <w:lang w:val="en-US" w:eastAsia="zh-CN"/>
                        </w:rPr>
                        <w:t>送审稿</w:t>
                      </w:r>
                      <w:r>
                        <w:rPr>
                          <w:rFonts w:hint="eastAsia" w:ascii="黑体" w:hAnsi="黑体" w:eastAsia="黑体"/>
                          <w:spacing w:val="6"/>
                          <w:sz w:val="28"/>
                          <w:szCs w:val="21"/>
                        </w:rPr>
                        <w:t>)</w:t>
                      </w:r>
                    </w:p>
                    <w:p w14:paraId="12B59D2D">
                      <w:pPr>
                        <w:pStyle w:val="71"/>
                      </w:pPr>
                    </w:p>
                  </w:txbxContent>
                </v:textbox>
                <w10:anchorlock/>
              </v:shape>
            </w:pict>
          </mc:Fallback>
        </mc:AlternateContent>
      </w:r>
      <w:bookmarkEnd w:id="0"/>
      <w:bookmarkEnd w:id="1"/>
    </w:p>
    <w:bookmarkEnd w:id="2"/>
    <w:p w14:paraId="5793478B">
      <w:pPr>
        <w:pStyle w:val="60"/>
        <w:tabs>
          <w:tab w:val="clear" w:pos="720"/>
        </w:tabs>
        <w:spacing w:line="340" w:lineRule="exact"/>
        <w:ind w:left="0" w:firstLine="0"/>
      </w:pPr>
      <w:r>
        <w:rPr>
          <w:rFonts w:hint="eastAsia"/>
        </w:rPr>
        <w:t>前    言</w:t>
      </w:r>
    </w:p>
    <w:p w14:paraId="661867AF">
      <w:pPr>
        <w:ind w:left="420" w:leftChars="200" w:firstLine="420" w:firstLineChars="200"/>
        <w:jc w:val="left"/>
      </w:pPr>
      <w:r>
        <w:t>本文件按照GB/T 1.1-2020《标准化工作导则 第1部分：标准化文件的结构和起草规则》的规定起草。</w:t>
      </w:r>
    </w:p>
    <w:p w14:paraId="72D5B640">
      <w:pPr>
        <w:ind w:left="420" w:leftChars="200" w:firstLine="420" w:firstLineChars="200"/>
      </w:pPr>
      <w:r>
        <w:t>本文件是YS/T 1115 《铜、铅、锌原矿和尾矿化学分析方法》的第</w:t>
      </w:r>
      <w:r>
        <w:rPr>
          <w:rFonts w:hint="eastAsia"/>
        </w:rPr>
        <w:t>6</w:t>
      </w:r>
      <w:r>
        <w:t>部分。YS/T 1115已经发布了以下部分：</w:t>
      </w:r>
    </w:p>
    <w:p w14:paraId="7807C51A">
      <w:pPr>
        <w:ind w:left="420" w:leftChars="200" w:firstLine="420" w:firstLineChars="200"/>
      </w:pPr>
      <w:r>
        <w:t>——第1部分：</w:t>
      </w:r>
      <w:r>
        <w:rPr>
          <w:szCs w:val="21"/>
        </w:rPr>
        <w:t>铜含量的测定 碘量法</w:t>
      </w:r>
      <w:r>
        <w:t>；</w:t>
      </w:r>
    </w:p>
    <w:p w14:paraId="697F6A5D">
      <w:pPr>
        <w:ind w:left="420" w:leftChars="200" w:firstLine="420" w:firstLineChars="200"/>
      </w:pPr>
      <w:r>
        <w:t>——第2部分：</w:t>
      </w:r>
      <w:r>
        <w:rPr>
          <w:szCs w:val="21"/>
        </w:rPr>
        <w:t>铅</w:t>
      </w:r>
      <w:r>
        <w:rPr>
          <w:rFonts w:hint="eastAsia"/>
          <w:szCs w:val="21"/>
        </w:rPr>
        <w:t>和</w:t>
      </w:r>
      <w:r>
        <w:rPr>
          <w:szCs w:val="21"/>
        </w:rPr>
        <w:t xml:space="preserve">锌含量的测定 </w:t>
      </w:r>
      <w:r>
        <w:t xml:space="preserve"> </w:t>
      </w:r>
      <w:r>
        <w:rPr>
          <w:szCs w:val="21"/>
        </w:rPr>
        <w:t>Na</w:t>
      </w:r>
      <w:r>
        <w:rPr>
          <w:szCs w:val="21"/>
          <w:vertAlign w:val="subscript"/>
        </w:rPr>
        <w:t>2</w:t>
      </w:r>
      <w:r>
        <w:rPr>
          <w:szCs w:val="21"/>
        </w:rPr>
        <w:t>EDTA</w:t>
      </w:r>
      <w:r>
        <w:t>滴定法；</w:t>
      </w:r>
    </w:p>
    <w:p w14:paraId="08FED154">
      <w:pPr>
        <w:pStyle w:val="116"/>
        <w:spacing w:before="0" w:line="240" w:lineRule="auto"/>
        <w:ind w:firstLine="840" w:firstLineChars="400"/>
        <w:jc w:val="both"/>
        <w:rPr>
          <w:kern w:val="2"/>
          <w:sz w:val="21"/>
        </w:rPr>
      </w:pPr>
      <w:r>
        <w:rPr>
          <w:kern w:val="2"/>
          <w:sz w:val="21"/>
        </w:rPr>
        <w:t>——第3部分：铜、铅、锌、镍、钴、镉、锰、镁</w:t>
      </w:r>
      <w:r>
        <w:rPr>
          <w:rFonts w:hint="eastAsia"/>
          <w:kern w:val="2"/>
          <w:sz w:val="21"/>
        </w:rPr>
        <w:t>和</w:t>
      </w:r>
      <w:r>
        <w:rPr>
          <w:kern w:val="2"/>
          <w:sz w:val="21"/>
        </w:rPr>
        <w:t>银含量的测定 火焰原子吸收光谱法；</w:t>
      </w:r>
    </w:p>
    <w:p w14:paraId="2D0CB063">
      <w:pPr>
        <w:ind w:left="420" w:leftChars="200" w:firstLine="420" w:firstLineChars="200"/>
      </w:pPr>
      <w:r>
        <w:t>——第</w:t>
      </w:r>
      <w:r>
        <w:rPr>
          <w:rFonts w:hint="eastAsia"/>
        </w:rPr>
        <w:t>4</w:t>
      </w:r>
      <w:r>
        <w:t>部分：</w:t>
      </w:r>
      <w:r>
        <w:rPr>
          <w:szCs w:val="21"/>
        </w:rPr>
        <w:t>硫含量的测定 高频红外吸收法、燃烧中和滴定法和硫酸钡重量法</w:t>
      </w:r>
      <w:r>
        <w:t>；</w:t>
      </w:r>
    </w:p>
    <w:p w14:paraId="197431C5">
      <w:pPr>
        <w:ind w:firstLine="840" w:firstLineChars="400"/>
      </w:pPr>
      <w:r>
        <w:t>——第5部分：</w:t>
      </w:r>
      <w:r>
        <w:rPr>
          <w:szCs w:val="21"/>
        </w:rPr>
        <w:t>磷含量的测定 钼蓝分光光度法</w:t>
      </w:r>
      <w:r>
        <w:t>；</w:t>
      </w:r>
    </w:p>
    <w:p w14:paraId="0A1A9013">
      <w:pPr>
        <w:ind w:left="1239" w:leftChars="390" w:hanging="420" w:hangingChars="200"/>
      </w:pPr>
      <w:r>
        <w:t>——第6部分：</w:t>
      </w:r>
      <w:r>
        <w:rPr>
          <w:szCs w:val="21"/>
        </w:rPr>
        <w:t>铜、铅、锌、镍、钴、镉、镁、锰、砷</w:t>
      </w:r>
      <w:r>
        <w:rPr>
          <w:rFonts w:hint="eastAsia"/>
        </w:rPr>
        <w:t>和</w:t>
      </w:r>
      <w:r>
        <w:rPr>
          <w:szCs w:val="21"/>
        </w:rPr>
        <w:t>钼含量的测定 电感耦合等离子体原子发射光谱法</w:t>
      </w:r>
      <w:r>
        <w:t>；</w:t>
      </w:r>
    </w:p>
    <w:p w14:paraId="26C6FC70">
      <w:pPr>
        <w:ind w:left="420" w:leftChars="200" w:firstLine="420" w:firstLineChars="200"/>
        <w:rPr>
          <w:rFonts w:hint="eastAsia"/>
        </w:rPr>
      </w:pPr>
      <w:r>
        <w:rPr>
          <w:rFonts w:hint="eastAsia"/>
        </w:rPr>
        <w:t>——第11部分：钼量的测定 硫氰酸盐分光光度法；</w:t>
      </w:r>
    </w:p>
    <w:p w14:paraId="5AB767D8">
      <w:pPr>
        <w:ind w:left="420" w:leftChars="200" w:firstLine="420" w:firstLineChars="200"/>
        <w:rPr>
          <w:rFonts w:hint="eastAsia"/>
        </w:rPr>
      </w:pPr>
      <w:r>
        <w:rPr>
          <w:rFonts w:hint="eastAsia"/>
        </w:rPr>
        <w:t>——第13部分：氟量的测定 离子选择电极法和离子色谱法；</w:t>
      </w:r>
    </w:p>
    <w:p w14:paraId="19564038">
      <w:pPr>
        <w:ind w:left="420" w:leftChars="200" w:firstLine="420" w:firstLineChars="200"/>
      </w:pPr>
      <w:r>
        <w:rPr>
          <w:rFonts w:hint="eastAsia"/>
        </w:rPr>
        <w:t>——第14部分：砷量的测定 氢化物发生原子荧光光谱法和溴酸钾滴定法。</w:t>
      </w:r>
    </w:p>
    <w:p w14:paraId="0D743D00">
      <w:pPr>
        <w:ind w:left="420" w:leftChars="200" w:firstLine="420" w:firstLineChars="200"/>
      </w:pPr>
      <w:r>
        <w:t>本</w:t>
      </w:r>
      <w:r>
        <w:rPr>
          <w:rFonts w:hint="eastAsia"/>
          <w:lang w:val="en-US" w:eastAsia="zh-CN"/>
        </w:rPr>
        <w:t>文件</w:t>
      </w:r>
      <w:r>
        <w:t>代替</w:t>
      </w:r>
      <w:bookmarkStart w:id="3" w:name="_Hlk174484865"/>
      <w:r>
        <w:t>YS/T 1115.12-2016《</w:t>
      </w:r>
      <w:r>
        <w:rPr>
          <w:rFonts w:eastAsiaTheme="minorEastAsia"/>
          <w:szCs w:val="22"/>
        </w:rPr>
        <w:t>铜原矿和尾矿化学分析方法 第12部分</w:t>
      </w:r>
      <w:r>
        <w:rPr>
          <w:rFonts w:hint="eastAsia" w:eastAsiaTheme="minorEastAsia"/>
          <w:szCs w:val="22"/>
          <w:lang w:eastAsia="zh-CN"/>
        </w:rPr>
        <w:t>：</w:t>
      </w:r>
      <w:r>
        <w:t>铜、铅、锌、镍、钴、镉、镁和锰量的测定 电感耦合等离子体原子发射光谱法》</w:t>
      </w:r>
      <w:bookmarkEnd w:id="3"/>
      <w:r>
        <w:rPr>
          <w:rFonts w:hint="eastAsia"/>
          <w:lang w:val="en-US" w:eastAsia="zh-CN"/>
        </w:rPr>
        <w:t>和YS/T 952-2014《</w:t>
      </w:r>
      <w:r>
        <w:rPr>
          <w:rFonts w:hint="eastAsia"/>
        </w:rPr>
        <w:t>铜钼多金属矿化学分析方法 铜和钼量的测定 电感耦合等离子体原子发射光谱法</w:t>
      </w:r>
      <w:r>
        <w:rPr>
          <w:rFonts w:hint="eastAsia"/>
          <w:lang w:val="en-US" w:eastAsia="zh-CN"/>
        </w:rPr>
        <w:t>》</w:t>
      </w:r>
      <w:r>
        <w:t>。与YS/T 1115.12-2016</w:t>
      </w:r>
      <w:r>
        <w:rPr>
          <w:rFonts w:hint="eastAsia"/>
          <w:lang w:val="en-US" w:eastAsia="zh-CN"/>
        </w:rPr>
        <w:t>和YS/T 952-2014</w:t>
      </w:r>
      <w:r>
        <w:t>相比，除结构调整和编辑性改动外，主要技术变化如下：</w:t>
      </w:r>
    </w:p>
    <w:p w14:paraId="58F40AF3">
      <w:pPr>
        <w:ind w:left="630" w:leftChars="200" w:hanging="210" w:hangingChars="100"/>
        <w:rPr>
          <w:rFonts w:ascii="Times New Roman" w:hAnsi="Times New Roman" w:eastAsia="宋体" w:cs="Times New Roman"/>
          <w:color w:val="auto"/>
          <w:szCs w:val="20"/>
        </w:rPr>
      </w:pPr>
      <w:r>
        <w:t>a)</w:t>
      </w:r>
      <w:r>
        <w:rPr>
          <w:rFonts w:hint="eastAsia"/>
          <w:lang w:val="en-US" w:eastAsia="zh-CN"/>
        </w:rPr>
        <w:t>更改了</w:t>
      </w:r>
      <w:r>
        <w:t>标准范围：适用范围由原来的铜原矿和尾矿调整为铜、铅、锌原矿和尾矿，包括铜钼多金属矿</w:t>
      </w:r>
      <w:r>
        <w:rPr>
          <w:rFonts w:hint="eastAsia"/>
          <w:lang w:eastAsia="zh-CN"/>
        </w:rPr>
        <w:t>；</w:t>
      </w:r>
      <w:r>
        <w:rPr>
          <w:rFonts w:ascii="Times New Roman" w:hAnsi="Times New Roman" w:cs="Times New Roman"/>
        </w:rPr>
        <w:t>元素测定范围：</w:t>
      </w:r>
      <w:r>
        <w:rPr>
          <w:rFonts w:ascii="Times New Roman" w:hAnsi="Times New Roman" w:eastAsia="宋体" w:cs="Times New Roman"/>
          <w:szCs w:val="20"/>
        </w:rPr>
        <w:t>铜由0.010%～2.50%调整为0.005</w:t>
      </w:r>
      <w:r>
        <w:rPr>
          <w:rFonts w:hint="eastAsia" w:cs="Times New Roman"/>
          <w:szCs w:val="20"/>
          <w:lang w:val="en-US" w:eastAsia="zh-CN"/>
        </w:rPr>
        <w:t>0</w:t>
      </w:r>
      <w:r>
        <w:rPr>
          <w:rFonts w:ascii="Times New Roman" w:hAnsi="Times New Roman" w:eastAsia="宋体" w:cs="Times New Roman"/>
          <w:szCs w:val="20"/>
        </w:rPr>
        <w:t>%～5.00%、铅由0.0050%～1.00%调整为0.005</w:t>
      </w:r>
      <w:r>
        <w:rPr>
          <w:rFonts w:hint="eastAsia" w:cs="Times New Roman"/>
          <w:szCs w:val="20"/>
          <w:lang w:val="en-US" w:eastAsia="zh-CN"/>
        </w:rPr>
        <w:t>0</w:t>
      </w:r>
      <w:r>
        <w:rPr>
          <w:rFonts w:ascii="Times New Roman" w:hAnsi="Times New Roman" w:eastAsia="宋体" w:cs="Times New Roman"/>
          <w:szCs w:val="20"/>
        </w:rPr>
        <w:t>～5.00%、锌由0.0050%～1.50%调整为0.0050%～5.00%、镍由0.0050%～0.050%调整为0.005%～0.</w:t>
      </w:r>
      <w:r>
        <w:rPr>
          <w:rFonts w:hint="eastAsia" w:ascii="Times New Roman" w:hAnsi="Times New Roman" w:eastAsia="宋体" w:cs="Times New Roman"/>
          <w:szCs w:val="20"/>
        </w:rPr>
        <w:t>7</w:t>
      </w:r>
      <w:r>
        <w:rPr>
          <w:rFonts w:ascii="Times New Roman" w:hAnsi="Times New Roman" w:eastAsia="宋体" w:cs="Times New Roman"/>
          <w:szCs w:val="20"/>
        </w:rPr>
        <w:t>0%、钴由0.0050%～0.050%调整为0.005</w:t>
      </w:r>
      <w:r>
        <w:rPr>
          <w:rFonts w:hint="eastAsia" w:cs="Times New Roman"/>
          <w:szCs w:val="20"/>
          <w:lang w:val="en-US" w:eastAsia="zh-CN"/>
        </w:rPr>
        <w:t>0</w:t>
      </w:r>
      <w:r>
        <w:rPr>
          <w:rFonts w:ascii="Times New Roman" w:hAnsi="Times New Roman" w:eastAsia="宋体" w:cs="Times New Roman"/>
          <w:szCs w:val="20"/>
        </w:rPr>
        <w:t>%～</w:t>
      </w:r>
      <w:r>
        <w:rPr>
          <w:rFonts w:hint="eastAsia" w:ascii="Times New Roman" w:hAnsi="Times New Roman" w:eastAsia="宋体" w:cs="Times New Roman"/>
          <w:szCs w:val="20"/>
        </w:rPr>
        <w:t>3.00</w:t>
      </w:r>
      <w:r>
        <w:rPr>
          <w:rFonts w:ascii="Times New Roman" w:hAnsi="Times New Roman" w:eastAsia="宋体" w:cs="Times New Roman"/>
          <w:szCs w:val="20"/>
        </w:rPr>
        <w:t>%、镉由0.0050%～0.015%调整为0.0050%～</w:t>
      </w:r>
      <w:r>
        <w:rPr>
          <w:rFonts w:hint="eastAsia" w:ascii="Times New Roman" w:hAnsi="Times New Roman" w:eastAsia="宋体" w:cs="Times New Roman"/>
          <w:szCs w:val="20"/>
        </w:rPr>
        <w:t>0</w:t>
      </w:r>
      <w:r>
        <w:rPr>
          <w:rFonts w:ascii="Times New Roman" w:hAnsi="Times New Roman" w:eastAsia="宋体" w:cs="Times New Roman"/>
          <w:szCs w:val="20"/>
        </w:rPr>
        <w:t>.50%、镁由0.010%～8.00%调整为0.0050%～8.00%、锰由0.0050%～0.</w:t>
      </w:r>
      <w:r>
        <w:rPr>
          <w:rFonts w:hint="eastAsia" w:ascii="Times New Roman" w:hAnsi="Times New Roman" w:eastAsia="宋体" w:cs="Times New Roman"/>
          <w:szCs w:val="20"/>
          <w:lang w:val="en-US" w:eastAsia="zh-CN"/>
        </w:rPr>
        <w:t>5</w:t>
      </w:r>
      <w:r>
        <w:rPr>
          <w:rFonts w:ascii="Times New Roman" w:hAnsi="Times New Roman" w:eastAsia="宋体" w:cs="Times New Roman"/>
          <w:szCs w:val="20"/>
        </w:rPr>
        <w:t>0%调整为0.005</w:t>
      </w:r>
      <w:r>
        <w:rPr>
          <w:rFonts w:hint="eastAsia" w:cs="Times New Roman"/>
          <w:szCs w:val="20"/>
          <w:lang w:val="en-US" w:eastAsia="zh-CN"/>
        </w:rPr>
        <w:t>0</w:t>
      </w:r>
      <w:r>
        <w:rPr>
          <w:rFonts w:ascii="Times New Roman" w:hAnsi="Times New Roman" w:eastAsia="宋体" w:cs="Times New Roman"/>
          <w:szCs w:val="20"/>
        </w:rPr>
        <w:t>%～</w:t>
      </w:r>
      <w:r>
        <w:rPr>
          <w:rFonts w:hint="eastAsia" w:ascii="Times New Roman" w:hAnsi="Times New Roman" w:eastAsia="宋体" w:cs="Times New Roman"/>
          <w:szCs w:val="20"/>
        </w:rPr>
        <w:t>0.60</w:t>
      </w:r>
      <w:r>
        <w:rPr>
          <w:rFonts w:ascii="Times New Roman" w:hAnsi="Times New Roman" w:eastAsia="宋体" w:cs="Times New Roman"/>
          <w:szCs w:val="20"/>
        </w:rPr>
        <w:t>%</w:t>
      </w:r>
      <w:r>
        <w:rPr>
          <w:rFonts w:hint="eastAsia" w:cs="Times New Roman"/>
          <w:color w:val="auto"/>
          <w:szCs w:val="20"/>
          <w:highlight w:val="none"/>
          <w:lang w:eastAsia="zh-CN"/>
        </w:rPr>
        <w:t>（</w:t>
      </w:r>
      <w:r>
        <w:rPr>
          <w:rFonts w:hint="default" w:ascii="Times New Roman" w:hAnsi="Times New Roman" w:cs="Times New Roman"/>
          <w:color w:val="auto"/>
          <w:szCs w:val="21"/>
          <w:highlight w:val="none"/>
        </w:rPr>
        <w:t>见第1章，YS/T 1115.12-2016</w:t>
      </w:r>
      <w:r>
        <w:rPr>
          <w:rFonts w:hint="default" w:ascii="Times New Roman" w:hAnsi="Times New Roman" w:cs="Times New Roman"/>
          <w:color w:val="auto"/>
          <w:szCs w:val="21"/>
          <w:highlight w:val="none"/>
          <w:lang w:val="en-US" w:eastAsia="zh-CN"/>
        </w:rPr>
        <w:t>和</w:t>
      </w:r>
      <w:r>
        <w:rPr>
          <w:rFonts w:hint="default" w:ascii="Times New Roman" w:hAnsi="Times New Roman" w:cs="Times New Roman"/>
          <w:color w:val="auto"/>
          <w:highlight w:val="none"/>
          <w:lang w:val="en-US" w:eastAsia="zh-CN"/>
        </w:rPr>
        <w:t>YS/T 952-</w:t>
      </w:r>
      <w:r>
        <w:rPr>
          <w:rFonts w:hint="eastAsia"/>
          <w:color w:val="auto"/>
          <w:highlight w:val="none"/>
          <w:lang w:val="en-US" w:eastAsia="zh-CN"/>
        </w:rPr>
        <w:t>2014</w:t>
      </w:r>
      <w:r>
        <w:rPr>
          <w:rFonts w:hint="eastAsia" w:ascii="宋体" w:hAnsi="宋体"/>
          <w:color w:val="auto"/>
          <w:szCs w:val="21"/>
          <w:highlight w:val="none"/>
        </w:rPr>
        <w:t>的第1章</w:t>
      </w:r>
      <w:r>
        <w:rPr>
          <w:rFonts w:hint="eastAsia" w:cs="Times New Roman"/>
          <w:color w:val="auto"/>
          <w:szCs w:val="20"/>
          <w:highlight w:val="none"/>
          <w:lang w:eastAsia="zh-CN"/>
        </w:rPr>
        <w:t>）</w:t>
      </w:r>
      <w:r>
        <w:rPr>
          <w:rFonts w:ascii="Times New Roman" w:hAnsi="Times New Roman" w:eastAsia="宋体" w:cs="Times New Roman"/>
          <w:color w:val="auto"/>
          <w:szCs w:val="20"/>
          <w:highlight w:val="none"/>
        </w:rPr>
        <w:t>。</w:t>
      </w:r>
    </w:p>
    <w:p w14:paraId="10FA157B">
      <w:pPr>
        <w:pStyle w:val="57"/>
        <w:ind w:left="630" w:leftChars="200" w:hanging="210" w:hangingChars="100"/>
        <w:jc w:val="left"/>
        <w:rPr>
          <w:rFonts w:hint="eastAsia" w:ascii="Times New Roman" w:hAnsi="Times New Roman" w:cs="Times New Roman"/>
          <w:color w:val="auto"/>
          <w:szCs w:val="21"/>
          <w:highlight w:val="yellow"/>
          <w:lang w:eastAsia="zh-CN"/>
        </w:rPr>
      </w:pPr>
      <w:r>
        <w:rPr>
          <w:rFonts w:hint="eastAsia" w:ascii="Times New Roman" w:hAnsi="Times New Roman" w:cs="Times New Roman"/>
          <w:lang w:val="en-US" w:eastAsia="zh-CN"/>
        </w:rPr>
        <w:t>b</w:t>
      </w:r>
      <w:r>
        <w:rPr>
          <w:rFonts w:ascii="Times New Roman" w:hAnsi="Times New Roman" w:cs="Times New Roman"/>
        </w:rPr>
        <w:t>)</w:t>
      </w:r>
      <w:r>
        <w:rPr>
          <w:rFonts w:ascii="Times New Roman" w:hAnsi="Times New Roman" w:eastAsia="宋体" w:cs="Times New Roman"/>
          <w:szCs w:val="20"/>
        </w:rPr>
        <w:t>增加砷、钼的测定：砷由0.0020%~1.00%调整为0.</w:t>
      </w:r>
      <w:r>
        <w:rPr>
          <w:rFonts w:hint="eastAsia" w:ascii="Times New Roman" w:hAnsi="Times New Roman" w:eastAsia="宋体" w:cs="Times New Roman"/>
          <w:szCs w:val="20"/>
        </w:rPr>
        <w:t>0</w:t>
      </w:r>
      <w:r>
        <w:rPr>
          <w:rFonts w:ascii="Times New Roman" w:hAnsi="Times New Roman" w:eastAsia="宋体" w:cs="Times New Roman"/>
          <w:szCs w:val="20"/>
        </w:rPr>
        <w:t>10%~</w:t>
      </w:r>
      <w:r>
        <w:rPr>
          <w:rFonts w:hint="eastAsia" w:ascii="Times New Roman" w:hAnsi="Times New Roman" w:eastAsia="宋体" w:cs="Times New Roman"/>
          <w:szCs w:val="20"/>
        </w:rPr>
        <w:t>1</w:t>
      </w:r>
      <w:r>
        <w:rPr>
          <w:rFonts w:ascii="Times New Roman" w:hAnsi="Times New Roman" w:eastAsia="宋体" w:cs="Times New Roman"/>
          <w:szCs w:val="20"/>
        </w:rPr>
        <w:t>.</w:t>
      </w:r>
      <w:r>
        <w:rPr>
          <w:rFonts w:hint="eastAsia" w:ascii="Times New Roman" w:hAnsi="Times New Roman" w:eastAsia="宋体" w:cs="Times New Roman"/>
          <w:szCs w:val="20"/>
        </w:rPr>
        <w:t>5</w:t>
      </w:r>
      <w:r>
        <w:rPr>
          <w:rFonts w:ascii="Times New Roman" w:hAnsi="Times New Roman" w:eastAsia="宋体" w:cs="Times New Roman"/>
          <w:szCs w:val="20"/>
        </w:rPr>
        <w:t>0%，钼的范围由</w:t>
      </w:r>
      <w:bookmarkStart w:id="4" w:name="_Hlk174484938"/>
      <w:r>
        <w:rPr>
          <w:rFonts w:ascii="Times New Roman" w:hAnsi="Times New Roman" w:eastAsia="宋体" w:cs="Times New Roman"/>
          <w:szCs w:val="20"/>
        </w:rPr>
        <w:t>YS/T1115.11-2016</w:t>
      </w:r>
      <w:bookmarkEnd w:id="4"/>
      <w:r>
        <w:rPr>
          <w:rFonts w:ascii="Times New Roman" w:hAnsi="Times New Roman" w:eastAsia="宋体" w:cs="Times New Roman"/>
          <w:szCs w:val="20"/>
        </w:rPr>
        <w:t>方法中的0.0030%~0.040%及</w:t>
      </w:r>
      <w:bookmarkStart w:id="5" w:name="_Hlk174484958"/>
      <w:r>
        <w:rPr>
          <w:rFonts w:ascii="Times New Roman" w:hAnsi="Times New Roman" w:eastAsia="宋体" w:cs="Times New Roman"/>
          <w:szCs w:val="20"/>
        </w:rPr>
        <w:t>YS/T952-2014</w:t>
      </w:r>
      <w:bookmarkEnd w:id="5"/>
      <w:r>
        <w:rPr>
          <w:rFonts w:ascii="Times New Roman" w:hAnsi="Times New Roman" w:eastAsia="宋体" w:cs="Times New Roman"/>
          <w:szCs w:val="20"/>
        </w:rPr>
        <w:t>方法中的0.0010%~5.00%合并调整为0.00</w:t>
      </w:r>
      <w:r>
        <w:rPr>
          <w:rFonts w:hint="eastAsia" w:ascii="Times New Roman" w:hAnsi="Times New Roman" w:eastAsia="宋体" w:cs="Times New Roman"/>
          <w:szCs w:val="20"/>
          <w:lang w:val="en-US" w:eastAsia="zh-CN"/>
        </w:rPr>
        <w:t>20</w:t>
      </w:r>
      <w:r>
        <w:rPr>
          <w:rFonts w:ascii="Times New Roman" w:hAnsi="Times New Roman" w:eastAsia="宋体" w:cs="Times New Roman"/>
          <w:szCs w:val="20"/>
        </w:rPr>
        <w:t>%~2.</w:t>
      </w:r>
      <w:r>
        <w:rPr>
          <w:rFonts w:hint="eastAsia" w:ascii="Times New Roman" w:hAnsi="Times New Roman" w:eastAsia="宋体" w:cs="Times New Roman"/>
          <w:szCs w:val="20"/>
        </w:rPr>
        <w:t>5</w:t>
      </w:r>
      <w:r>
        <w:rPr>
          <w:rFonts w:ascii="Times New Roman" w:hAnsi="Times New Roman" w:eastAsia="宋体" w:cs="Times New Roman"/>
          <w:szCs w:val="20"/>
        </w:rPr>
        <w:t>0%</w:t>
      </w:r>
      <w:r>
        <w:rPr>
          <w:rFonts w:hint="eastAsia" w:cs="Times New Roman"/>
          <w:color w:val="auto"/>
          <w:szCs w:val="20"/>
          <w:highlight w:val="none"/>
          <w:lang w:eastAsia="zh-CN"/>
        </w:rPr>
        <w:t>（</w:t>
      </w:r>
      <w:r>
        <w:rPr>
          <w:rFonts w:hint="default" w:ascii="Times New Roman" w:hAnsi="Times New Roman" w:cs="Times New Roman"/>
          <w:color w:val="auto"/>
          <w:szCs w:val="21"/>
          <w:highlight w:val="none"/>
        </w:rPr>
        <w:t>见第1章，YS/T 1115.12-2016</w:t>
      </w:r>
      <w:r>
        <w:rPr>
          <w:rFonts w:hint="default" w:ascii="Times New Roman" w:hAnsi="Times New Roman" w:cs="Times New Roman"/>
          <w:color w:val="auto"/>
          <w:szCs w:val="21"/>
          <w:highlight w:val="none"/>
          <w:lang w:val="en-US" w:eastAsia="zh-CN"/>
        </w:rPr>
        <w:t>和</w:t>
      </w:r>
      <w:r>
        <w:rPr>
          <w:rFonts w:hint="default" w:ascii="Times New Roman" w:hAnsi="Times New Roman" w:cs="Times New Roman"/>
          <w:color w:val="auto"/>
          <w:highlight w:val="none"/>
          <w:lang w:val="en-US" w:eastAsia="zh-CN"/>
        </w:rPr>
        <w:t>YS/T 952-</w:t>
      </w:r>
      <w:r>
        <w:rPr>
          <w:rFonts w:hint="eastAsia"/>
          <w:color w:val="auto"/>
          <w:highlight w:val="none"/>
          <w:lang w:val="en-US" w:eastAsia="zh-CN"/>
        </w:rPr>
        <w:t>2014</w:t>
      </w:r>
      <w:r>
        <w:rPr>
          <w:rFonts w:hint="eastAsia" w:ascii="宋体" w:hAnsi="宋体"/>
          <w:color w:val="auto"/>
          <w:szCs w:val="21"/>
          <w:highlight w:val="none"/>
        </w:rPr>
        <w:t>的第1章</w:t>
      </w:r>
      <w:r>
        <w:rPr>
          <w:rFonts w:hint="eastAsia" w:cs="Times New Roman"/>
          <w:color w:val="auto"/>
          <w:szCs w:val="20"/>
          <w:highlight w:val="none"/>
          <w:lang w:eastAsia="zh-CN"/>
        </w:rPr>
        <w:t>）</w:t>
      </w:r>
      <w:r>
        <w:rPr>
          <w:rFonts w:ascii="Times New Roman" w:hAnsi="Times New Roman" w:eastAsia="宋体" w:cs="Times New Roman"/>
          <w:szCs w:val="20"/>
        </w:rPr>
        <w:t>。</w:t>
      </w:r>
    </w:p>
    <w:p w14:paraId="64CD38ED">
      <w:pPr>
        <w:pStyle w:val="57"/>
        <w:ind w:left="420" w:leftChars="200" w:firstLine="0" w:firstLineChars="0"/>
        <w:rPr>
          <w:rFonts w:ascii="Times New Roman" w:hAnsi="Times New Roman" w:eastAsia="宋体" w:cs="Times New Roman"/>
          <w:szCs w:val="20"/>
          <w:highlight w:val="none"/>
        </w:rPr>
      </w:pPr>
      <w:r>
        <w:rPr>
          <w:rFonts w:hint="eastAsia" w:ascii="Times New Roman" w:hAnsi="Times New Roman" w:cs="Times New Roman"/>
          <w:szCs w:val="21"/>
          <w:lang w:val="en-US" w:eastAsia="zh-CN"/>
        </w:rPr>
        <w:t>c）更改了精密度数据</w:t>
      </w:r>
      <w:r>
        <w:rPr>
          <w:rFonts w:hint="eastAsia" w:ascii="Times New Roman" w:hAnsi="Times New Roman" w:cs="Times New Roman"/>
          <w:color w:val="auto"/>
          <w:szCs w:val="21"/>
          <w:highlight w:val="none"/>
          <w:lang w:val="en-US" w:eastAsia="zh-CN"/>
        </w:rPr>
        <w:t>（见第10章，</w:t>
      </w:r>
      <w:r>
        <w:rPr>
          <w:rFonts w:hint="default" w:ascii="Times New Roman" w:hAnsi="Times New Roman" w:cs="Times New Roman"/>
          <w:color w:val="auto"/>
          <w:szCs w:val="21"/>
          <w:highlight w:val="none"/>
        </w:rPr>
        <w:t>YS/T 1115.12-2016</w:t>
      </w:r>
      <w:r>
        <w:rPr>
          <w:rFonts w:hint="default" w:ascii="Times New Roman" w:hAnsi="Times New Roman" w:cs="Times New Roman"/>
          <w:color w:val="auto"/>
          <w:szCs w:val="21"/>
          <w:highlight w:val="none"/>
          <w:lang w:val="en-US" w:eastAsia="zh-CN"/>
        </w:rPr>
        <w:t>和</w:t>
      </w:r>
      <w:r>
        <w:rPr>
          <w:rFonts w:hint="default" w:ascii="Times New Roman" w:hAnsi="Times New Roman" w:cs="Times New Roman"/>
          <w:color w:val="auto"/>
          <w:highlight w:val="none"/>
          <w:lang w:val="en-US" w:eastAsia="zh-CN"/>
        </w:rPr>
        <w:t>YS/T 952-</w:t>
      </w:r>
      <w:r>
        <w:rPr>
          <w:rFonts w:hint="eastAsia"/>
          <w:color w:val="auto"/>
          <w:highlight w:val="none"/>
          <w:lang w:val="en-US" w:eastAsia="zh-CN"/>
        </w:rPr>
        <w:t>2014</w:t>
      </w:r>
      <w:r>
        <w:rPr>
          <w:rFonts w:hint="eastAsia" w:ascii="宋体" w:hAnsi="宋体"/>
          <w:color w:val="auto"/>
          <w:szCs w:val="21"/>
          <w:highlight w:val="none"/>
        </w:rPr>
        <w:t>的</w:t>
      </w:r>
      <w:r>
        <w:rPr>
          <w:rFonts w:hint="eastAsia" w:hAnsi="宋体"/>
          <w:color w:val="auto"/>
          <w:szCs w:val="21"/>
          <w:highlight w:val="none"/>
          <w:lang w:val="en-US" w:eastAsia="zh-CN"/>
        </w:rPr>
        <w:t>第</w:t>
      </w:r>
      <w:r>
        <w:rPr>
          <w:rFonts w:hint="eastAsia" w:ascii="Times New Roman" w:hAnsi="Times New Roman" w:cs="Times New Roman"/>
          <w:color w:val="auto"/>
          <w:szCs w:val="21"/>
          <w:highlight w:val="none"/>
          <w:lang w:val="en-US" w:eastAsia="zh-CN"/>
        </w:rPr>
        <w:t>8章）</w:t>
      </w:r>
      <w:r>
        <w:rPr>
          <w:rFonts w:ascii="Times New Roman" w:hAnsi="Times New Roman" w:cs="Times New Roman"/>
          <w:szCs w:val="21"/>
          <w:highlight w:val="none"/>
        </w:rPr>
        <w:t>。</w:t>
      </w:r>
    </w:p>
    <w:p w14:paraId="26416A86">
      <w:pPr>
        <w:snapToGrid w:val="0"/>
        <w:ind w:firstLine="420" w:firstLineChars="200"/>
      </w:pPr>
      <w:r>
        <w:t>请注意本文件的某些内容可能涉及专利。本文件的发布机构不承担识别专利的责任。</w:t>
      </w:r>
    </w:p>
    <w:p w14:paraId="63FB8533">
      <w:pPr>
        <w:snapToGrid w:val="0"/>
        <w:ind w:firstLine="420" w:firstLineChars="200"/>
      </w:pPr>
      <w:r>
        <w:t>本文件由全国有色金属标准化技术委员会（SAC/TC 243）提出并归口。</w:t>
      </w:r>
    </w:p>
    <w:p w14:paraId="05B4718B">
      <w:pPr>
        <w:pStyle w:val="57"/>
        <w:ind w:firstLine="420" w:firstLineChars="200"/>
        <w:rPr>
          <w:rFonts w:hint="eastAsia" w:hAnsi="宋体"/>
        </w:rPr>
      </w:pPr>
      <w:r>
        <w:rPr>
          <w:rFonts w:hAnsi="宋体"/>
        </w:rPr>
        <w:t>本</w:t>
      </w:r>
      <w:r>
        <w:rPr>
          <w:rFonts w:hint="eastAsia" w:hAnsi="宋体"/>
        </w:rPr>
        <w:t>文件</w:t>
      </w:r>
      <w:r>
        <w:rPr>
          <w:rFonts w:hAnsi="宋体"/>
        </w:rPr>
        <w:t>起草</w:t>
      </w:r>
      <w:r>
        <w:rPr>
          <w:rFonts w:hint="eastAsia" w:hAnsi="宋体"/>
        </w:rPr>
        <w:t>单位：</w:t>
      </w:r>
      <w:r>
        <w:rPr>
          <w:rFonts w:hint="eastAsia" w:hAnsi="宋体"/>
          <w:color w:val="auto"/>
        </w:rPr>
        <w:t>北矿检测技术股份有限公司、深圳市中金岭南有色金属股份有限公司</w:t>
      </w:r>
      <w:r>
        <w:rPr>
          <w:rFonts w:hint="eastAsia" w:ascii="宋体" w:hAnsi="宋体"/>
          <w:color w:val="auto"/>
          <w:lang w:val="en-US" w:eastAsia="zh-CN"/>
        </w:rPr>
        <w:t>韶关冶炼厂</w:t>
      </w:r>
      <w:r>
        <w:rPr>
          <w:rFonts w:hint="eastAsia" w:hAnsi="宋体"/>
          <w:color w:val="auto"/>
        </w:rPr>
        <w:t>、铜陵有色金属集团控股有限公司、中国有色桂林矿产地质研究院有限公司、紫金铜业有限公司、国际（北京）检验认证有限公司、金川集团股份有限公司、</w:t>
      </w:r>
      <w:r>
        <w:rPr>
          <w:rFonts w:hint="eastAsia" w:ascii="宋体" w:hAnsi="宋体" w:eastAsia="宋体" w:cs="Times New Roman"/>
          <w:color w:val="auto"/>
          <w:kern w:val="2"/>
          <w:sz w:val="21"/>
          <w:szCs w:val="21"/>
          <w:lang w:val="en-US" w:eastAsia="zh-CN" w:bidi="ar-SA"/>
        </w:rPr>
        <w:t>云南铜业股份有限公司、</w:t>
      </w:r>
      <w:r>
        <w:rPr>
          <w:rFonts w:hint="eastAsia" w:hAnsi="宋体"/>
          <w:color w:val="auto"/>
        </w:rPr>
        <w:t>郴州市产商品质量监督检验所、株洲冶炼集团股份有限公司、</w:t>
      </w:r>
      <w:r>
        <w:rPr>
          <w:rFonts w:hint="eastAsia" w:ascii="宋体" w:hAnsi="宋体" w:eastAsia="宋体" w:cs="Times New Roman"/>
          <w:color w:val="auto"/>
          <w:kern w:val="2"/>
          <w:sz w:val="21"/>
          <w:szCs w:val="21"/>
          <w:lang w:val="en-US" w:eastAsia="zh-CN" w:bidi="ar-SA"/>
        </w:rPr>
        <w:t>北方铜业股份有限公司</w:t>
      </w:r>
      <w:r>
        <w:rPr>
          <w:rFonts w:hint="eastAsia" w:ascii="宋体" w:hAnsi="宋体"/>
          <w:color w:val="auto"/>
          <w:lang w:val="en-US" w:eastAsia="zh-CN"/>
        </w:rPr>
        <w:t>、</w:t>
      </w:r>
      <w:r>
        <w:rPr>
          <w:rFonts w:hint="eastAsia" w:hAnsi="宋体"/>
          <w:color w:val="auto"/>
          <w:lang w:val="en-US" w:eastAsia="zh-CN"/>
        </w:rPr>
        <w:t>江西铜业铅锌金属有限公司</w:t>
      </w:r>
      <w:r>
        <w:rPr>
          <w:rFonts w:hint="eastAsia" w:hAnsi="宋体"/>
          <w:color w:val="auto"/>
        </w:rPr>
        <w:t>、云南华联锌铟股份有限公司、</w:t>
      </w:r>
      <w:r>
        <w:rPr>
          <w:rFonts w:hint="eastAsia" w:ascii="宋体" w:hAnsi="宋体"/>
          <w:color w:val="auto"/>
          <w:lang w:val="en-US" w:eastAsia="zh-CN"/>
        </w:rPr>
        <w:t>广西国华计量检测有限公司河池分公司</w:t>
      </w:r>
      <w:r>
        <w:rPr>
          <w:rFonts w:hint="eastAsia" w:ascii="宋体" w:hAnsi="宋体"/>
          <w:color w:val="auto"/>
        </w:rPr>
        <w:t>、</w:t>
      </w:r>
      <w:r>
        <w:rPr>
          <w:rFonts w:hint="eastAsia" w:hAnsi="宋体"/>
          <w:color w:val="auto"/>
        </w:rPr>
        <w:t>葫芦岛锌业股份有限公司</w:t>
      </w:r>
    </w:p>
    <w:p w14:paraId="4CBA30E2">
      <w:pPr>
        <w:pStyle w:val="57"/>
        <w:ind w:firstLine="420" w:firstLineChars="200"/>
        <w:rPr>
          <w:rFonts w:hint="eastAsia" w:hAnsi="宋体"/>
          <w:lang w:val="en-US" w:eastAsia="zh-CN"/>
        </w:rPr>
      </w:pPr>
      <w:r>
        <w:rPr>
          <w:rFonts w:hAnsi="宋体"/>
        </w:rPr>
        <w:t>本</w:t>
      </w:r>
      <w:r>
        <w:rPr>
          <w:rFonts w:hint="eastAsia" w:hAnsi="宋体"/>
        </w:rPr>
        <w:t>文件主要</w:t>
      </w:r>
      <w:r>
        <w:rPr>
          <w:rFonts w:hAnsi="宋体"/>
        </w:rPr>
        <w:t>起草人：</w:t>
      </w:r>
      <w:r>
        <w:rPr>
          <w:rFonts w:hint="eastAsia" w:hAnsi="宋体"/>
          <w:lang w:val="en-US" w:eastAsia="zh-CN"/>
        </w:rPr>
        <w:t>苏春风、孙计先、阮桂色、廖桂平、郭燕瑶、xxx、xxx、唐碧玉、蒋田英、胡梅花、黄路路、</w:t>
      </w:r>
      <w:r>
        <w:rPr>
          <w:rFonts w:hint="default" w:hAnsi="宋体"/>
          <w:lang w:val="en-US" w:eastAsia="zh-CN"/>
        </w:rPr>
        <w:t>胡梦桥</w:t>
      </w:r>
      <w:r>
        <w:rPr>
          <w:rFonts w:hint="eastAsia" w:hAnsi="宋体"/>
          <w:lang w:val="en-US" w:eastAsia="zh-CN"/>
        </w:rPr>
        <w:t>、白灵、任利华、李剑、郑文英、杨华东、 谢磊、杨月、罗兰、张燕、xxx、xxx、颜忠国、陆雪梅、蒙英宁、常乃文、李秀丽。</w:t>
      </w:r>
    </w:p>
    <w:p w14:paraId="4608558A">
      <w:pPr>
        <w:ind w:firstLine="420" w:firstLineChars="200"/>
        <w:rPr>
          <w:rFonts w:hint="eastAsia" w:ascii="宋体" w:hAnsi="宋体"/>
          <w:szCs w:val="21"/>
        </w:rPr>
      </w:pPr>
      <w:r>
        <w:rPr>
          <w:rFonts w:ascii="宋体" w:hAnsi="宋体"/>
          <w:szCs w:val="21"/>
        </w:rPr>
        <w:t>本</w:t>
      </w:r>
      <w:r>
        <w:rPr>
          <w:rFonts w:hint="eastAsia" w:ascii="宋体" w:hAnsi="宋体"/>
          <w:szCs w:val="21"/>
        </w:rPr>
        <w:t>文件及其所代替文件的历次版本发布情况为：</w:t>
      </w:r>
    </w:p>
    <w:p w14:paraId="2DC3EC7F">
      <w:pPr>
        <w:ind w:firstLine="840" w:firstLineChars="400"/>
        <w:rPr>
          <w:rFonts w:hint="eastAsia" w:ascii="宋体" w:hAnsi="宋体"/>
          <w:szCs w:val="21"/>
        </w:rPr>
      </w:pPr>
      <w:r>
        <w:rPr>
          <w:rFonts w:hint="eastAsia" w:ascii="宋体" w:hAnsi="宋体"/>
          <w:szCs w:val="21"/>
        </w:rPr>
        <w:t>——</w:t>
      </w:r>
      <w:r>
        <w:rPr>
          <w:rFonts w:hint="eastAsia" w:ascii="宋体" w:hAnsi="宋体"/>
          <w:szCs w:val="21"/>
          <w:highlight w:val="none"/>
        </w:rPr>
        <w:t>本文件</w:t>
      </w:r>
      <w:r>
        <w:rPr>
          <w:rFonts w:hint="eastAsia" w:ascii="宋体" w:hAnsi="宋体"/>
          <w:szCs w:val="21"/>
          <w:highlight w:val="none"/>
          <w:lang w:val="en-US" w:eastAsia="zh-CN"/>
        </w:rPr>
        <w:t>分别</w:t>
      </w:r>
      <w:r>
        <w:rPr>
          <w:rFonts w:hint="eastAsia" w:ascii="宋体" w:hAnsi="宋体"/>
          <w:szCs w:val="21"/>
          <w:highlight w:val="none"/>
        </w:rPr>
        <w:t>于2016年</w:t>
      </w:r>
      <w:r>
        <w:rPr>
          <w:rFonts w:hint="eastAsia" w:ascii="宋体" w:hAnsi="宋体"/>
          <w:szCs w:val="21"/>
          <w:highlight w:val="none"/>
          <w:lang w:eastAsia="zh-CN"/>
        </w:rPr>
        <w:t>、</w:t>
      </w:r>
      <w:r>
        <w:rPr>
          <w:rFonts w:hint="eastAsia" w:ascii="宋体" w:hAnsi="宋体"/>
          <w:szCs w:val="21"/>
          <w:highlight w:val="none"/>
          <w:lang w:val="en-US" w:eastAsia="zh-CN"/>
        </w:rPr>
        <w:t>2014年</w:t>
      </w:r>
      <w:r>
        <w:rPr>
          <w:rFonts w:hint="eastAsia" w:ascii="宋体" w:hAnsi="宋体"/>
          <w:szCs w:val="21"/>
          <w:highlight w:val="none"/>
        </w:rPr>
        <w:t>首次发布；</w:t>
      </w:r>
    </w:p>
    <w:p w14:paraId="558ECAC0">
      <w:pPr>
        <w:ind w:firstLine="840" w:firstLineChars="400"/>
        <w:rPr>
          <w:rFonts w:hint="eastAsia" w:ascii="宋体" w:hAnsi="宋体"/>
          <w:szCs w:val="21"/>
        </w:rPr>
      </w:pPr>
      <w:r>
        <w:rPr>
          <w:rFonts w:hint="eastAsia" w:ascii="宋体" w:hAnsi="宋体"/>
          <w:szCs w:val="21"/>
        </w:rPr>
        <w:t>——本次为第一次修订。</w:t>
      </w:r>
    </w:p>
    <w:p w14:paraId="11AD5CE8">
      <w:pPr>
        <w:rPr>
          <w:rFonts w:hint="eastAsia"/>
        </w:rPr>
      </w:pPr>
      <w:r>
        <w:rPr>
          <w:rFonts w:hint="eastAsia"/>
        </w:rPr>
        <w:br w:type="page"/>
      </w:r>
    </w:p>
    <w:p w14:paraId="7AD99038">
      <w:pPr>
        <w:pStyle w:val="60"/>
        <w:tabs>
          <w:tab w:val="center" w:pos="4153"/>
          <w:tab w:val="center" w:pos="4818"/>
          <w:tab w:val="left" w:pos="7234"/>
          <w:tab w:val="left" w:pos="8610"/>
          <w:tab w:val="right" w:pos="9637"/>
          <w:tab w:val="clear" w:pos="720"/>
        </w:tabs>
      </w:pPr>
      <w:r>
        <w:rPr>
          <w:rFonts w:hint="eastAsia"/>
        </w:rPr>
        <w:t>引　言</w:t>
      </w:r>
    </w:p>
    <w:p w14:paraId="54600751">
      <w:pPr>
        <w:ind w:firstLine="420" w:firstLineChars="200"/>
        <w:jc w:val="left"/>
        <w:rPr>
          <w:szCs w:val="21"/>
        </w:rPr>
      </w:pPr>
      <w:r>
        <w:rPr>
          <w:rFonts w:hint="eastAsia"/>
          <w:szCs w:val="21"/>
        </w:rPr>
        <w:t>铜、铅、锌原矿主要用于冶金行业，作为冶金行业的原材料，原矿以及经选矿分离后的相应尾矿中除</w:t>
      </w:r>
      <w:r>
        <w:rPr>
          <w:rFonts w:hint="eastAsia"/>
          <w:szCs w:val="21"/>
          <w:highlight w:val="none"/>
        </w:rPr>
        <w:t>铜</w:t>
      </w:r>
      <w:r>
        <w:rPr>
          <w:rFonts w:hint="eastAsia"/>
          <w:szCs w:val="21"/>
          <w:highlight w:val="none"/>
          <w:lang w:eastAsia="zh-CN"/>
        </w:rPr>
        <w:t>、</w:t>
      </w:r>
      <w:r>
        <w:rPr>
          <w:rFonts w:hint="eastAsia"/>
          <w:szCs w:val="21"/>
          <w:highlight w:val="none"/>
          <w:lang w:val="en-US" w:eastAsia="zh-CN"/>
        </w:rPr>
        <w:t>铅、锌</w:t>
      </w:r>
      <w:r>
        <w:rPr>
          <w:rFonts w:hint="eastAsia"/>
          <w:szCs w:val="21"/>
        </w:rPr>
        <w:t>外，还存在多种金属元素，包括有益元素如Au、Ag、Ni、Co等；有害元素如As、Sb、Cr、Cd等。为落实“国家标准化发展纲要”，深化标准化改革创新，优化存量标准结构，以着力提升标准质量效益，并统筹标准制定与实施，将YS/T 1115-2016《铜原矿和尾矿化学分析方法（共14部分）》、YS/T 53-2010《铜、铅、锌原矿和尾矿化学分析方法（共3部分）》及YS/T 952-2014《铜钼多金属矿化学分析方法 铜和钼量的测定 电感耦合等离子体原子发射光谱法》进行整合修订，形成新的《铜、铅、锌原矿和尾矿化学分析方法》系列标准。</w:t>
      </w:r>
    </w:p>
    <w:p w14:paraId="26A990BB">
      <w:pPr>
        <w:ind w:firstLine="420" w:firstLineChars="200"/>
        <w:jc w:val="left"/>
        <w:rPr>
          <w:szCs w:val="21"/>
        </w:rPr>
      </w:pPr>
      <w:r>
        <w:rPr>
          <w:rFonts w:hint="eastAsia"/>
          <w:szCs w:val="21"/>
        </w:rPr>
        <w:t xml:space="preserve">YS/T </w:t>
      </w:r>
      <w:r>
        <w:rPr>
          <w:rFonts w:hint="eastAsia"/>
          <w:szCs w:val="21"/>
          <w:lang w:val="en-US" w:eastAsia="zh-CN"/>
        </w:rPr>
        <w:t>1115</w:t>
      </w:r>
      <w:r>
        <w:rPr>
          <w:rFonts w:hint="eastAsia"/>
          <w:szCs w:val="21"/>
        </w:rPr>
        <w:t>《铜、铅、锌原矿和尾矿化学分析方法》由</w:t>
      </w:r>
      <w:r>
        <w:rPr>
          <w:rFonts w:hint="eastAsia"/>
          <w:szCs w:val="21"/>
          <w:lang w:val="en-US" w:eastAsia="zh-CN"/>
        </w:rPr>
        <w:t>10</w:t>
      </w:r>
      <w:r>
        <w:rPr>
          <w:rFonts w:hint="eastAsia"/>
          <w:szCs w:val="21"/>
        </w:rPr>
        <w:t>个部分组成，本文件为第</w:t>
      </w:r>
      <w:r>
        <w:rPr>
          <w:szCs w:val="21"/>
        </w:rPr>
        <w:t>6</w:t>
      </w:r>
      <w:r>
        <w:rPr>
          <w:rFonts w:hint="eastAsia"/>
          <w:szCs w:val="21"/>
        </w:rPr>
        <w:t>部分：</w:t>
      </w:r>
    </w:p>
    <w:p w14:paraId="3E10F167">
      <w:pPr>
        <w:ind w:firstLine="420" w:firstLineChars="200"/>
        <w:jc w:val="left"/>
        <w:rPr>
          <w:szCs w:val="21"/>
        </w:rPr>
      </w:pPr>
      <w:r>
        <w:rPr>
          <w:rFonts w:hint="eastAsia"/>
          <w:szCs w:val="21"/>
        </w:rPr>
        <w:t>——第1部分：铜含量的测定 碘量法；</w:t>
      </w:r>
    </w:p>
    <w:p w14:paraId="0205D4F7">
      <w:pPr>
        <w:ind w:firstLine="420" w:firstLineChars="200"/>
        <w:jc w:val="left"/>
        <w:rPr>
          <w:szCs w:val="21"/>
        </w:rPr>
      </w:pPr>
      <w:r>
        <w:rPr>
          <w:rFonts w:hint="eastAsia"/>
          <w:szCs w:val="21"/>
        </w:rPr>
        <w:t>——第2部分：铅和锌含量的测定  Na</w:t>
      </w:r>
      <w:r>
        <w:rPr>
          <w:rFonts w:hint="eastAsia"/>
          <w:szCs w:val="21"/>
          <w:vertAlign w:val="subscript"/>
        </w:rPr>
        <w:t>2</w:t>
      </w:r>
      <w:r>
        <w:rPr>
          <w:rFonts w:hint="eastAsia"/>
          <w:szCs w:val="21"/>
        </w:rPr>
        <w:t>EDTA滴定法；</w:t>
      </w:r>
    </w:p>
    <w:p w14:paraId="217C4B87">
      <w:pPr>
        <w:ind w:firstLine="420" w:firstLineChars="200"/>
        <w:jc w:val="left"/>
        <w:rPr>
          <w:szCs w:val="21"/>
        </w:rPr>
      </w:pPr>
      <w:r>
        <w:rPr>
          <w:rFonts w:hint="eastAsia"/>
          <w:szCs w:val="21"/>
        </w:rPr>
        <w:t>——第3部分：铜、铅、锌、镍、钴、镉、锰、镁和银含量的测定 火焰原子吸收光谱法；</w:t>
      </w:r>
    </w:p>
    <w:p w14:paraId="7D5B1073">
      <w:pPr>
        <w:ind w:firstLine="420" w:firstLineChars="200"/>
        <w:jc w:val="left"/>
        <w:rPr>
          <w:szCs w:val="21"/>
        </w:rPr>
      </w:pPr>
      <w:r>
        <w:rPr>
          <w:rFonts w:hint="eastAsia"/>
          <w:szCs w:val="21"/>
        </w:rPr>
        <w:t>——第4部分：硫含量的测定 高频红外吸收法、燃烧中和滴定法和硫酸钡重量法；</w:t>
      </w:r>
    </w:p>
    <w:p w14:paraId="6DECA251">
      <w:pPr>
        <w:ind w:firstLine="420" w:firstLineChars="200"/>
        <w:jc w:val="left"/>
        <w:rPr>
          <w:szCs w:val="21"/>
        </w:rPr>
      </w:pPr>
      <w:r>
        <w:rPr>
          <w:rFonts w:hint="eastAsia"/>
          <w:szCs w:val="21"/>
        </w:rPr>
        <w:t>——第5部分：磷含量的测定 钼蓝分光光度法；</w:t>
      </w:r>
    </w:p>
    <w:p w14:paraId="385A445B">
      <w:pPr>
        <w:ind w:left="819" w:leftChars="190" w:hanging="420" w:hangingChars="200"/>
        <w:jc w:val="left"/>
        <w:rPr>
          <w:rFonts w:hint="eastAsia"/>
          <w:szCs w:val="21"/>
        </w:rPr>
      </w:pPr>
      <w:r>
        <w:rPr>
          <w:rFonts w:hint="eastAsia"/>
          <w:szCs w:val="21"/>
        </w:rPr>
        <w:t>——第6部分：铜、铅、锌、镍、钴、镉、镁、锰、砷和钼含量的测定 电感耦合等离子体原子发射光谱法；</w:t>
      </w:r>
    </w:p>
    <w:p w14:paraId="6E4FD226">
      <w:pPr>
        <w:ind w:firstLine="420" w:firstLineChars="200"/>
        <w:rPr>
          <w:szCs w:val="20"/>
        </w:rPr>
      </w:pPr>
      <w:r>
        <w:rPr>
          <w:rFonts w:hint="eastAsia"/>
          <w:szCs w:val="21"/>
        </w:rPr>
        <w:t>——</w:t>
      </w:r>
      <w:r>
        <w:rPr>
          <w:rFonts w:hint="eastAsia"/>
          <w:szCs w:val="20"/>
        </w:rPr>
        <w:t>第</w:t>
      </w:r>
      <w:r>
        <w:rPr>
          <w:szCs w:val="20"/>
        </w:rPr>
        <w:t>7</w:t>
      </w:r>
      <w:r>
        <w:rPr>
          <w:rFonts w:hint="eastAsia"/>
          <w:szCs w:val="20"/>
        </w:rPr>
        <w:t>部分：钼含量的测定 硫氰酸盐分光光度法；</w:t>
      </w:r>
    </w:p>
    <w:p w14:paraId="4F6DF02C">
      <w:pPr>
        <w:ind w:firstLine="420" w:firstLineChars="200"/>
        <w:rPr>
          <w:szCs w:val="20"/>
        </w:rPr>
      </w:pPr>
      <w:r>
        <w:rPr>
          <w:rFonts w:hint="eastAsia"/>
          <w:szCs w:val="21"/>
        </w:rPr>
        <w:t>——</w:t>
      </w:r>
      <w:r>
        <w:rPr>
          <w:rFonts w:hint="eastAsia"/>
          <w:szCs w:val="20"/>
        </w:rPr>
        <w:t>第</w:t>
      </w:r>
      <w:r>
        <w:rPr>
          <w:szCs w:val="20"/>
        </w:rPr>
        <w:t>8</w:t>
      </w:r>
      <w:r>
        <w:rPr>
          <w:rFonts w:hint="eastAsia"/>
          <w:szCs w:val="20"/>
        </w:rPr>
        <w:t>部分：氟含量的测定 离子选择电极法和离子色谱法；</w:t>
      </w:r>
    </w:p>
    <w:p w14:paraId="64F2842C">
      <w:pPr>
        <w:ind w:firstLine="420" w:firstLineChars="200"/>
        <w:rPr>
          <w:rFonts w:hint="eastAsia" w:eastAsia="宋体"/>
          <w:szCs w:val="20"/>
          <w:lang w:eastAsia="zh-CN"/>
        </w:rPr>
      </w:pPr>
      <w:r>
        <w:rPr>
          <w:rFonts w:hint="eastAsia"/>
          <w:szCs w:val="21"/>
        </w:rPr>
        <w:t>——</w:t>
      </w:r>
      <w:r>
        <w:rPr>
          <w:rFonts w:hint="eastAsia"/>
          <w:szCs w:val="20"/>
        </w:rPr>
        <w:t>第</w:t>
      </w:r>
      <w:r>
        <w:rPr>
          <w:szCs w:val="20"/>
        </w:rPr>
        <w:t>9</w:t>
      </w:r>
      <w:r>
        <w:rPr>
          <w:rFonts w:hint="eastAsia"/>
          <w:szCs w:val="20"/>
        </w:rPr>
        <w:t>部分：砷含量的测定 氢化物发生原子荧光光谱法和溴酸钾滴定法</w:t>
      </w:r>
      <w:r>
        <w:rPr>
          <w:rFonts w:hint="eastAsia"/>
          <w:szCs w:val="20"/>
          <w:lang w:eastAsia="zh-CN"/>
        </w:rPr>
        <w:t>；</w:t>
      </w:r>
    </w:p>
    <w:p w14:paraId="7B787A2A">
      <w:pPr>
        <w:ind w:left="819" w:leftChars="190" w:hanging="420" w:hangingChars="200"/>
        <w:rPr>
          <w:rFonts w:hint="eastAsia"/>
          <w:szCs w:val="20"/>
          <w:lang w:eastAsia="zh-CN"/>
        </w:rPr>
      </w:pPr>
      <w:r>
        <w:rPr>
          <w:rFonts w:hint="eastAsia"/>
          <w:szCs w:val="20"/>
        </w:rPr>
        <w:t>——第1</w:t>
      </w:r>
      <w:r>
        <w:rPr>
          <w:szCs w:val="20"/>
        </w:rPr>
        <w:t>0</w:t>
      </w:r>
      <w:r>
        <w:rPr>
          <w:rFonts w:hint="eastAsia"/>
          <w:szCs w:val="20"/>
        </w:rPr>
        <w:t>部分：金、银、钼、砷、钨、铋、镓、锗、铟、硒、碲</w:t>
      </w:r>
      <w:r>
        <w:rPr>
          <w:rFonts w:hint="eastAsia"/>
          <w:szCs w:val="20"/>
          <w:lang w:val="en-US" w:eastAsia="zh-CN"/>
        </w:rPr>
        <w:t>和</w:t>
      </w:r>
      <w:r>
        <w:rPr>
          <w:rFonts w:hint="eastAsia"/>
          <w:szCs w:val="20"/>
        </w:rPr>
        <w:t>铊含量的测定 电感耦合等离子体质谱法</w:t>
      </w:r>
      <w:r>
        <w:rPr>
          <w:rFonts w:hint="eastAsia"/>
          <w:szCs w:val="20"/>
          <w:lang w:eastAsia="zh-CN"/>
        </w:rPr>
        <w:t>。</w:t>
      </w:r>
    </w:p>
    <w:p w14:paraId="00E6A725">
      <w:pPr>
        <w:ind w:firstLine="420" w:firstLineChars="200"/>
        <w:jc w:val="left"/>
        <w:rPr>
          <w:szCs w:val="21"/>
        </w:rPr>
      </w:pPr>
      <w:r>
        <w:rPr>
          <w:rFonts w:hint="eastAsia"/>
          <w:szCs w:val="21"/>
        </w:rPr>
        <w:t>本文件修订将适用范围拓展至</w:t>
      </w:r>
      <w:r>
        <w:rPr>
          <w:rFonts w:hint="eastAsia"/>
        </w:rPr>
        <w:t>铜、</w:t>
      </w:r>
      <w:r>
        <w:t>铅、锌原矿和尾矿</w:t>
      </w:r>
      <w:r>
        <w:rPr>
          <w:rFonts w:hint="eastAsia"/>
        </w:rPr>
        <w:t>（含</w:t>
      </w:r>
      <w:r>
        <w:t>铜钼多金属矿</w:t>
      </w:r>
      <w:r>
        <w:rPr>
          <w:rFonts w:hint="eastAsia"/>
        </w:rPr>
        <w:t>）</w:t>
      </w:r>
      <w:r>
        <w:rPr>
          <w:rFonts w:hint="eastAsia"/>
          <w:szCs w:val="21"/>
        </w:rPr>
        <w:t>，能够统一和规范行业内铜、铅、锌原矿和尾矿中铜、铅、锌、镍、钴、镉、镁、锰、砷和钼含量通过电感耦合等离子体原子发射光谱法的测定，对指导相关生产和检测具有重要意义。</w:t>
      </w:r>
    </w:p>
    <w:p w14:paraId="4BB48C8F">
      <w:pPr>
        <w:ind w:firstLine="420" w:firstLineChars="200"/>
        <w:jc w:val="left"/>
        <w:rPr>
          <w:szCs w:val="21"/>
        </w:rPr>
      </w:pPr>
    </w:p>
    <w:p w14:paraId="4350EBD4">
      <w:pPr>
        <w:ind w:firstLine="420" w:firstLineChars="200"/>
        <w:rPr>
          <w:rFonts w:hint="eastAsia" w:ascii="宋体" w:hAnsi="宋体"/>
          <w:szCs w:val="21"/>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p>
    <w:p w14:paraId="3D6FD299">
      <w:pPr>
        <w:jc w:val="center"/>
        <w:rPr>
          <w:rFonts w:hint="eastAsia" w:ascii="黑体" w:hAnsi="黑体" w:eastAsia="黑体"/>
          <w:bCs/>
          <w:color w:val="000000"/>
          <w:sz w:val="32"/>
          <w:szCs w:val="32"/>
        </w:rPr>
      </w:pPr>
      <w:bookmarkStart w:id="6" w:name="OLE_LINK2"/>
      <w:r>
        <w:rPr>
          <w:rFonts w:hint="eastAsia" w:ascii="黑体" w:hAnsi="黑体" w:eastAsia="黑体"/>
          <w:bCs/>
          <w:color w:val="000000"/>
          <w:sz w:val="32"/>
          <w:szCs w:val="32"/>
        </w:rPr>
        <w:t>铜、铅、锌原矿和尾矿</w:t>
      </w:r>
      <w:r>
        <w:rPr>
          <w:rFonts w:ascii="黑体" w:hAnsi="黑体" w:eastAsia="黑体"/>
          <w:bCs/>
          <w:color w:val="000000"/>
          <w:sz w:val="32"/>
          <w:szCs w:val="32"/>
        </w:rPr>
        <w:t>化学分析方法</w:t>
      </w:r>
    </w:p>
    <w:bookmarkEnd w:id="6"/>
    <w:p w14:paraId="7CE23E63">
      <w:pPr>
        <w:jc w:val="center"/>
        <w:rPr>
          <w:rFonts w:hint="eastAsia" w:ascii="黑体" w:hAnsi="黑体" w:eastAsia="黑体"/>
          <w:bCs/>
          <w:color w:val="000000"/>
          <w:sz w:val="32"/>
          <w:szCs w:val="32"/>
        </w:rPr>
      </w:pPr>
      <w:bookmarkStart w:id="7" w:name="_Toc64357460"/>
      <w:bookmarkStart w:id="8" w:name="_Toc64690970"/>
      <w:bookmarkStart w:id="9" w:name="_Toc66237952"/>
      <w:bookmarkStart w:id="10" w:name="_Toc66237719"/>
      <w:bookmarkStart w:id="11" w:name="_Toc66238156"/>
      <w:bookmarkStart w:id="12" w:name="_Toc64356953"/>
      <w:bookmarkStart w:id="13" w:name="_Toc64356031"/>
      <w:bookmarkStart w:id="14" w:name="_Toc64356674"/>
      <w:r>
        <w:rPr>
          <w:rFonts w:ascii="黑体" w:hAnsi="黑体" w:eastAsia="黑体"/>
          <w:bCs/>
          <w:color w:val="000000"/>
          <w:sz w:val="32"/>
          <w:szCs w:val="32"/>
        </w:rPr>
        <w:t>第6部分：铜、</w:t>
      </w:r>
      <w:r>
        <w:rPr>
          <w:rFonts w:hint="eastAsia" w:ascii="黑体" w:hAnsi="黑体" w:eastAsia="黑体"/>
          <w:bCs/>
          <w:color w:val="000000"/>
          <w:sz w:val="32"/>
          <w:szCs w:val="32"/>
        </w:rPr>
        <w:t>铅</w:t>
      </w:r>
      <w:r>
        <w:rPr>
          <w:rFonts w:ascii="黑体" w:hAnsi="黑体" w:eastAsia="黑体"/>
          <w:bCs/>
          <w:color w:val="000000"/>
          <w:sz w:val="32"/>
          <w:szCs w:val="32"/>
        </w:rPr>
        <w:t>、</w:t>
      </w:r>
      <w:r>
        <w:rPr>
          <w:rFonts w:hint="eastAsia" w:ascii="黑体" w:hAnsi="黑体" w:eastAsia="黑体"/>
          <w:bCs/>
          <w:color w:val="000000"/>
          <w:sz w:val="32"/>
          <w:szCs w:val="32"/>
        </w:rPr>
        <w:t>锌</w:t>
      </w:r>
      <w:r>
        <w:rPr>
          <w:rFonts w:ascii="黑体" w:hAnsi="黑体" w:eastAsia="黑体"/>
          <w:bCs/>
          <w:color w:val="000000"/>
          <w:sz w:val="32"/>
          <w:szCs w:val="32"/>
        </w:rPr>
        <w:t>、镍、</w:t>
      </w:r>
      <w:r>
        <w:rPr>
          <w:rFonts w:hint="eastAsia" w:ascii="黑体" w:hAnsi="黑体" w:eastAsia="黑体"/>
          <w:bCs/>
          <w:color w:val="000000"/>
          <w:sz w:val="32"/>
          <w:szCs w:val="32"/>
        </w:rPr>
        <w:t>钴、镉、镁、锰、砷和钼含</w:t>
      </w:r>
      <w:r>
        <w:rPr>
          <w:rFonts w:ascii="黑体" w:hAnsi="黑体" w:eastAsia="黑体"/>
          <w:bCs/>
          <w:color w:val="000000"/>
          <w:sz w:val="32"/>
          <w:szCs w:val="32"/>
        </w:rPr>
        <w:t xml:space="preserve">量的测定  </w:t>
      </w:r>
    </w:p>
    <w:p w14:paraId="04F8B799">
      <w:pPr>
        <w:jc w:val="center"/>
        <w:rPr>
          <w:rFonts w:hint="eastAsia" w:ascii="黑体" w:hAnsi="黑体" w:eastAsia="黑体"/>
          <w:bCs/>
          <w:color w:val="000000"/>
          <w:sz w:val="32"/>
          <w:szCs w:val="32"/>
        </w:rPr>
      </w:pPr>
      <w:r>
        <w:rPr>
          <w:rFonts w:ascii="黑体" w:hAnsi="黑体" w:eastAsia="黑体"/>
          <w:bCs/>
          <w:color w:val="000000"/>
          <w:sz w:val="32"/>
          <w:szCs w:val="32"/>
        </w:rPr>
        <w:t>电感耦合等离子体原子发射光谱法</w:t>
      </w:r>
    </w:p>
    <w:p w14:paraId="25BBC9D8">
      <w:pPr>
        <w:spacing w:line="360" w:lineRule="auto"/>
        <w:rPr>
          <w:rFonts w:hint="eastAsia" w:ascii="黑体" w:hAnsi="黑体" w:eastAsia="黑体"/>
          <w:bCs/>
          <w:color w:val="000000"/>
          <w:szCs w:val="21"/>
        </w:rPr>
      </w:pPr>
      <w:r>
        <w:rPr>
          <w:rFonts w:ascii="黑体" w:hAnsi="黑体" w:eastAsia="黑体"/>
          <w:bCs/>
          <w:color w:val="000000"/>
          <w:szCs w:val="21"/>
        </w:rPr>
        <w:t>1  范围</w:t>
      </w:r>
      <w:bookmarkEnd w:id="7"/>
      <w:bookmarkEnd w:id="8"/>
      <w:bookmarkEnd w:id="9"/>
      <w:bookmarkEnd w:id="10"/>
      <w:bookmarkEnd w:id="11"/>
      <w:bookmarkEnd w:id="12"/>
      <w:bookmarkEnd w:id="13"/>
      <w:bookmarkEnd w:id="14"/>
    </w:p>
    <w:p w14:paraId="0F4B34F7">
      <w:pPr>
        <w:adjustRightInd w:val="0"/>
        <w:snapToGrid w:val="0"/>
        <w:ind w:firstLine="444" w:firstLineChars="200"/>
        <w:rPr>
          <w:spacing w:val="6"/>
        </w:rPr>
      </w:pPr>
      <w:r>
        <w:rPr>
          <w:spacing w:val="6"/>
        </w:rPr>
        <w:t>本文件</w:t>
      </w:r>
      <w:r>
        <w:rPr>
          <w:rFonts w:hint="eastAsia"/>
          <w:strike w:val="0"/>
          <w:dstrike w:val="0"/>
          <w:color w:val="auto"/>
          <w:spacing w:val="6"/>
          <w:lang w:val="en-US" w:eastAsia="zh-CN"/>
        </w:rPr>
        <w:t>描述</w:t>
      </w:r>
      <w:r>
        <w:rPr>
          <w:spacing w:val="6"/>
        </w:rPr>
        <w:t>了</w:t>
      </w:r>
      <w:r>
        <w:rPr>
          <w:rFonts w:hint="eastAsia"/>
          <w:spacing w:val="6"/>
        </w:rPr>
        <w:t>电感耦合等离子体原子发射光谱法</w:t>
      </w:r>
      <w:r>
        <w:rPr>
          <w:rFonts w:hint="eastAsia"/>
          <w:spacing w:val="6"/>
          <w:lang w:val="en-US" w:eastAsia="zh-CN"/>
        </w:rPr>
        <w:t>测定</w:t>
      </w:r>
      <w:r>
        <w:rPr>
          <w:spacing w:val="6"/>
        </w:rPr>
        <w:t>铜、铅、锌原矿和尾矿（包括铜钼多金属矿）中</w:t>
      </w:r>
      <w:r>
        <w:rPr>
          <w:szCs w:val="21"/>
        </w:rPr>
        <w:t>铜、铅、锌、镍、钴、镉、镁、锰、砷、钼含</w:t>
      </w:r>
      <w:r>
        <w:rPr>
          <w:spacing w:val="6"/>
        </w:rPr>
        <w:t>量的方法。</w:t>
      </w:r>
    </w:p>
    <w:p w14:paraId="2F62ED0C">
      <w:pPr>
        <w:pStyle w:val="57"/>
        <w:ind w:firstLine="444"/>
        <w:rPr>
          <w:rFonts w:ascii="Times New Roman"/>
          <w:szCs w:val="21"/>
        </w:rPr>
      </w:pPr>
      <w:r>
        <w:rPr>
          <w:rFonts w:ascii="Times New Roman" w:hAnsi="Times New Roman" w:cs="Times New Roman"/>
          <w:spacing w:val="6"/>
        </w:rPr>
        <w:t>本文件适用于铜、铅、锌原矿和尾矿（包括铜钼多金属矿）中</w:t>
      </w:r>
      <w:r>
        <w:rPr>
          <w:rFonts w:ascii="Times New Roman" w:hAnsi="Times New Roman" w:cs="Times New Roman"/>
          <w:szCs w:val="21"/>
        </w:rPr>
        <w:t>铜、铅、锌、镍、钴、镉、镁、锰、砷、钼含</w:t>
      </w:r>
      <w:r>
        <w:rPr>
          <w:rFonts w:ascii="Times New Roman" w:hAnsi="Times New Roman" w:cs="Times New Roman"/>
          <w:spacing w:val="6"/>
        </w:rPr>
        <w:t>量的测定。</w:t>
      </w:r>
      <w:r>
        <w:rPr>
          <w:rFonts w:ascii="Times New Roman" w:hAnsi="Times New Roman" w:cs="Times New Roman"/>
          <w:szCs w:val="21"/>
        </w:rPr>
        <w:t>测定范围见表1。</w:t>
      </w:r>
    </w:p>
    <w:p w14:paraId="17D5EEA9">
      <w:pPr>
        <w:jc w:val="center"/>
        <w:rPr>
          <w:rFonts w:hint="eastAsia" w:ascii="黑体" w:hAnsi="黑体" w:eastAsia="黑体"/>
          <w:bCs/>
          <w:color w:val="000000"/>
          <w:szCs w:val="21"/>
        </w:rPr>
      </w:pPr>
      <w:r>
        <w:rPr>
          <w:rFonts w:ascii="黑体" w:hAnsi="黑体" w:eastAsia="黑体"/>
          <w:bCs/>
          <w:color w:val="000000"/>
          <w:szCs w:val="21"/>
        </w:rPr>
        <w:t>表1</w:t>
      </w:r>
      <w:r>
        <w:rPr>
          <w:rFonts w:hint="eastAsia" w:ascii="黑体" w:hAnsi="黑体" w:eastAsia="黑体"/>
          <w:bCs/>
          <w:color w:val="000000"/>
          <w:szCs w:val="21"/>
        </w:rPr>
        <w:t xml:space="preserve"> </w:t>
      </w:r>
      <w:r>
        <w:rPr>
          <w:rFonts w:ascii="黑体" w:hAnsi="黑体" w:eastAsia="黑体"/>
          <w:bCs/>
          <w:color w:val="000000"/>
          <w:szCs w:val="21"/>
        </w:rPr>
        <w:t>测定范围</w:t>
      </w:r>
    </w:p>
    <w:tbl>
      <w:tblPr>
        <w:tblStyle w:val="36"/>
        <w:tblW w:w="95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92"/>
        <w:gridCol w:w="2393"/>
        <w:gridCol w:w="2393"/>
        <w:gridCol w:w="2393"/>
      </w:tblGrid>
      <w:tr w14:paraId="50092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vAlign w:val="center"/>
          </w:tcPr>
          <w:p w14:paraId="17BE5C46">
            <w:pPr>
              <w:pStyle w:val="26"/>
              <w:spacing w:before="100" w:beforeAutospacing="1" w:after="100" w:afterAutospacing="1" w:line="240" w:lineRule="atLeast"/>
              <w:ind w:left="0" w:leftChars="0"/>
              <w:jc w:val="center"/>
              <w:rPr>
                <w:sz w:val="18"/>
                <w:szCs w:val="18"/>
              </w:rPr>
            </w:pPr>
            <w:r>
              <w:rPr>
                <w:sz w:val="18"/>
                <w:szCs w:val="18"/>
              </w:rPr>
              <w:t>元   素</w:t>
            </w:r>
          </w:p>
        </w:tc>
        <w:tc>
          <w:tcPr>
            <w:tcW w:w="2393" w:type="dxa"/>
            <w:shd w:val="clear" w:color="auto" w:fill="auto"/>
            <w:vAlign w:val="center"/>
          </w:tcPr>
          <w:p w14:paraId="07324350">
            <w:pPr>
              <w:pStyle w:val="57"/>
              <w:widowControl w:val="0"/>
              <w:spacing w:line="240" w:lineRule="exact"/>
              <w:ind w:firstLine="0" w:firstLineChars="0"/>
              <w:jc w:val="center"/>
              <w:rPr>
                <w:rFonts w:hint="eastAsia" w:ascii="Times New Roman" w:hAnsi="Times New Roman" w:cs="Times New Roman"/>
                <w:strike w:val="0"/>
                <w:dstrike w:val="0"/>
                <w:color w:val="auto"/>
                <w:sz w:val="18"/>
                <w:szCs w:val="18"/>
                <w:u w:val="single" w:color="FFFFFF" w:themeColor="background1"/>
                <w:vertAlign w:val="baseline"/>
                <w:lang w:val="en-US" w:eastAsia="zh-CN"/>
              </w:rPr>
            </w:pPr>
            <w:r>
              <w:rPr>
                <w:rFonts w:ascii="Times New Roman" w:hAnsi="Times New Roman" w:cs="Times New Roman"/>
                <w:i/>
                <w:strike/>
                <w:dstrike w:val="0"/>
                <w:sz w:val="18"/>
                <w:szCs w:val="18"/>
                <w:u w:val="single" w:color="FFFFFF" w:themeColor="background1"/>
              </w:rPr>
              <w:t>w</w:t>
            </w:r>
            <w:r>
              <w:rPr>
                <w:rFonts w:ascii="Times New Roman" w:hAnsi="Times New Roman" w:cs="Times New Roman"/>
                <w:strike/>
                <w:dstrike w:val="0"/>
                <w:sz w:val="18"/>
                <w:szCs w:val="18"/>
                <w:u w:val="single" w:color="FFFFFF" w:themeColor="background1"/>
                <w:vertAlign w:val="subscript"/>
              </w:rPr>
              <w:t>x</w:t>
            </w:r>
            <w:r>
              <w:rPr>
                <w:rFonts w:hint="eastAsia" w:ascii="Times New Roman" w:hAnsi="Times New Roman" w:cs="Times New Roman"/>
                <w:strike w:val="0"/>
                <w:dstrike w:val="0"/>
                <w:color w:val="auto"/>
                <w:sz w:val="18"/>
                <w:szCs w:val="18"/>
                <w:u w:val="single" w:color="FFFFFF" w:themeColor="background1"/>
                <w:vertAlign w:val="baseline"/>
                <w:lang w:val="en-US" w:eastAsia="zh-CN"/>
              </w:rPr>
              <w:t>质量分数</w:t>
            </w:r>
          </w:p>
          <w:p w14:paraId="20C1A342">
            <w:pPr>
              <w:pStyle w:val="57"/>
              <w:widowControl w:val="0"/>
              <w:spacing w:line="240" w:lineRule="exact"/>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2393" w:type="dxa"/>
            <w:vAlign w:val="center"/>
          </w:tcPr>
          <w:p w14:paraId="7534E54A">
            <w:pPr>
              <w:pStyle w:val="26"/>
              <w:spacing w:before="100" w:beforeAutospacing="1" w:after="100" w:afterAutospacing="1" w:line="240" w:lineRule="atLeast"/>
              <w:ind w:left="0" w:leftChars="0"/>
              <w:jc w:val="center"/>
              <w:rPr>
                <w:sz w:val="18"/>
                <w:szCs w:val="18"/>
              </w:rPr>
            </w:pPr>
            <w:r>
              <w:rPr>
                <w:sz w:val="18"/>
                <w:szCs w:val="18"/>
              </w:rPr>
              <w:t>元   素</w:t>
            </w:r>
          </w:p>
        </w:tc>
        <w:tc>
          <w:tcPr>
            <w:tcW w:w="2393" w:type="dxa"/>
            <w:vAlign w:val="center"/>
          </w:tcPr>
          <w:p w14:paraId="319DF71C">
            <w:pPr>
              <w:pStyle w:val="57"/>
              <w:widowControl w:val="0"/>
              <w:spacing w:line="240" w:lineRule="exact"/>
              <w:ind w:firstLine="0" w:firstLineChars="0"/>
              <w:jc w:val="center"/>
              <w:rPr>
                <w:rFonts w:hint="eastAsia" w:ascii="Times New Roman" w:hAnsi="Times New Roman" w:cs="Times New Roman"/>
                <w:strike w:val="0"/>
                <w:dstrike w:val="0"/>
                <w:color w:val="auto"/>
                <w:sz w:val="18"/>
                <w:szCs w:val="18"/>
                <w:u w:val="single" w:color="FFFFFF" w:themeColor="background1"/>
                <w:vertAlign w:val="baseline"/>
                <w:lang w:val="en-US" w:eastAsia="zh-CN"/>
              </w:rPr>
            </w:pPr>
            <w:r>
              <w:rPr>
                <w:rFonts w:ascii="Times New Roman" w:hAnsi="Times New Roman" w:cs="Times New Roman"/>
                <w:i/>
                <w:strike/>
                <w:dstrike w:val="0"/>
                <w:sz w:val="18"/>
                <w:szCs w:val="18"/>
              </w:rPr>
              <w:t>w</w:t>
            </w:r>
            <w:r>
              <w:rPr>
                <w:rFonts w:ascii="Times New Roman" w:hAnsi="Times New Roman" w:cs="Times New Roman"/>
                <w:strike/>
                <w:dstrike w:val="0"/>
                <w:color w:val="auto"/>
                <w:sz w:val="18"/>
                <w:szCs w:val="18"/>
                <w:vertAlign w:val="subscript"/>
              </w:rPr>
              <w:t>x</w:t>
            </w:r>
            <w:r>
              <w:rPr>
                <w:rFonts w:hint="eastAsia" w:ascii="Times New Roman" w:hAnsi="Times New Roman" w:cs="Times New Roman"/>
                <w:strike w:val="0"/>
                <w:dstrike w:val="0"/>
                <w:color w:val="auto"/>
                <w:sz w:val="18"/>
                <w:szCs w:val="18"/>
                <w:u w:val="single" w:color="FFFFFF" w:themeColor="background1"/>
                <w:vertAlign w:val="baseline"/>
                <w:lang w:val="en-US" w:eastAsia="zh-CN"/>
              </w:rPr>
              <w:t>质量分数</w:t>
            </w:r>
          </w:p>
          <w:p w14:paraId="121253A6">
            <w:pPr>
              <w:pStyle w:val="57"/>
              <w:widowControl w:val="0"/>
              <w:spacing w:line="240" w:lineRule="exact"/>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r>
      <w:tr w14:paraId="76226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tcPr>
          <w:p w14:paraId="6DCCA4AC">
            <w:pPr>
              <w:pStyle w:val="26"/>
              <w:spacing w:before="100" w:beforeAutospacing="1" w:after="100" w:afterAutospacing="1" w:line="240" w:lineRule="atLeast"/>
              <w:ind w:left="0" w:leftChars="0"/>
              <w:jc w:val="center"/>
              <w:rPr>
                <w:sz w:val="18"/>
                <w:szCs w:val="18"/>
              </w:rPr>
            </w:pPr>
            <w:r>
              <w:rPr>
                <w:sz w:val="18"/>
                <w:szCs w:val="18"/>
              </w:rPr>
              <w:t>Cu</w:t>
            </w:r>
          </w:p>
        </w:tc>
        <w:tc>
          <w:tcPr>
            <w:tcW w:w="2393" w:type="dxa"/>
            <w:shd w:val="clear" w:color="auto" w:fill="auto"/>
            <w:vAlign w:val="center"/>
          </w:tcPr>
          <w:p w14:paraId="3608E163">
            <w:pPr>
              <w:pStyle w:val="26"/>
              <w:tabs>
                <w:tab w:val="left" w:pos="2214"/>
              </w:tabs>
              <w:spacing w:before="100" w:beforeAutospacing="1" w:after="100" w:afterAutospacing="1" w:line="240" w:lineRule="atLeast"/>
              <w:ind w:left="0" w:leftChars="0"/>
              <w:jc w:val="center"/>
              <w:rPr>
                <w:sz w:val="18"/>
                <w:szCs w:val="18"/>
              </w:rPr>
            </w:pPr>
            <w:r>
              <w:rPr>
                <w:sz w:val="18"/>
                <w:szCs w:val="18"/>
              </w:rPr>
              <w:t>0.0</w:t>
            </w:r>
            <w:r>
              <w:rPr>
                <w:rFonts w:hint="eastAsia"/>
                <w:sz w:val="18"/>
                <w:szCs w:val="18"/>
              </w:rPr>
              <w:t>05</w:t>
            </w:r>
            <w:r>
              <w:rPr>
                <w:sz w:val="18"/>
                <w:szCs w:val="18"/>
              </w:rPr>
              <w:t>0～5.00</w:t>
            </w:r>
          </w:p>
        </w:tc>
        <w:tc>
          <w:tcPr>
            <w:tcW w:w="2393" w:type="dxa"/>
          </w:tcPr>
          <w:p w14:paraId="2433EDB3">
            <w:pPr>
              <w:pStyle w:val="26"/>
              <w:spacing w:before="100" w:beforeAutospacing="1" w:after="100" w:afterAutospacing="1" w:line="240" w:lineRule="atLeast"/>
              <w:ind w:left="0" w:leftChars="0"/>
              <w:jc w:val="center"/>
              <w:rPr>
                <w:sz w:val="18"/>
                <w:szCs w:val="18"/>
              </w:rPr>
            </w:pPr>
            <w:r>
              <w:rPr>
                <w:sz w:val="18"/>
                <w:szCs w:val="18"/>
              </w:rPr>
              <w:t>Cd</w:t>
            </w:r>
          </w:p>
        </w:tc>
        <w:tc>
          <w:tcPr>
            <w:tcW w:w="2393" w:type="dxa"/>
            <w:vAlign w:val="center"/>
          </w:tcPr>
          <w:p w14:paraId="387A4BA7">
            <w:pPr>
              <w:pStyle w:val="26"/>
              <w:tabs>
                <w:tab w:val="left" w:pos="2214"/>
              </w:tabs>
              <w:spacing w:before="100" w:beforeAutospacing="1" w:after="100" w:afterAutospacing="1" w:line="240" w:lineRule="atLeast"/>
              <w:ind w:left="0" w:leftChars="0"/>
              <w:jc w:val="center"/>
              <w:rPr>
                <w:sz w:val="18"/>
                <w:szCs w:val="18"/>
              </w:rPr>
            </w:pPr>
            <w:r>
              <w:rPr>
                <w:sz w:val="18"/>
                <w:szCs w:val="18"/>
              </w:rPr>
              <w:t>0.0050～</w:t>
            </w:r>
            <w:r>
              <w:rPr>
                <w:rFonts w:hint="eastAsia"/>
                <w:sz w:val="18"/>
                <w:szCs w:val="18"/>
              </w:rPr>
              <w:t>0.</w:t>
            </w:r>
            <w:r>
              <w:rPr>
                <w:sz w:val="18"/>
                <w:szCs w:val="18"/>
              </w:rPr>
              <w:t>50</w:t>
            </w:r>
          </w:p>
        </w:tc>
      </w:tr>
      <w:tr w14:paraId="61A8F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tcPr>
          <w:p w14:paraId="697774BC">
            <w:pPr>
              <w:pStyle w:val="26"/>
              <w:spacing w:before="100" w:beforeAutospacing="1" w:after="100" w:afterAutospacing="1" w:line="240" w:lineRule="atLeast"/>
              <w:ind w:left="0" w:leftChars="0"/>
              <w:jc w:val="center"/>
              <w:rPr>
                <w:sz w:val="18"/>
                <w:szCs w:val="18"/>
              </w:rPr>
            </w:pPr>
            <w:r>
              <w:rPr>
                <w:sz w:val="18"/>
                <w:szCs w:val="18"/>
              </w:rPr>
              <w:t>Pb</w:t>
            </w:r>
          </w:p>
        </w:tc>
        <w:tc>
          <w:tcPr>
            <w:tcW w:w="2393" w:type="dxa"/>
            <w:shd w:val="clear" w:color="auto" w:fill="auto"/>
            <w:vAlign w:val="center"/>
          </w:tcPr>
          <w:p w14:paraId="2A109549">
            <w:pPr>
              <w:pStyle w:val="26"/>
              <w:tabs>
                <w:tab w:val="left" w:pos="2214"/>
              </w:tabs>
              <w:spacing w:before="100" w:beforeAutospacing="1" w:after="100" w:afterAutospacing="1" w:line="240" w:lineRule="atLeast"/>
              <w:ind w:left="0" w:leftChars="0"/>
              <w:jc w:val="center"/>
              <w:rPr>
                <w:sz w:val="18"/>
                <w:szCs w:val="18"/>
              </w:rPr>
            </w:pPr>
            <w:r>
              <w:rPr>
                <w:sz w:val="18"/>
                <w:szCs w:val="18"/>
              </w:rPr>
              <w:t>0.0050～5.00</w:t>
            </w:r>
          </w:p>
        </w:tc>
        <w:tc>
          <w:tcPr>
            <w:tcW w:w="2393" w:type="dxa"/>
          </w:tcPr>
          <w:p w14:paraId="2D2F1B22">
            <w:pPr>
              <w:pStyle w:val="26"/>
              <w:spacing w:before="100" w:beforeAutospacing="1" w:after="100" w:afterAutospacing="1" w:line="240" w:lineRule="atLeast"/>
              <w:ind w:left="0" w:leftChars="0"/>
              <w:jc w:val="center"/>
              <w:rPr>
                <w:sz w:val="18"/>
                <w:szCs w:val="18"/>
              </w:rPr>
            </w:pPr>
            <w:r>
              <w:rPr>
                <w:sz w:val="18"/>
                <w:szCs w:val="18"/>
              </w:rPr>
              <w:t>Mg</w:t>
            </w:r>
          </w:p>
        </w:tc>
        <w:tc>
          <w:tcPr>
            <w:tcW w:w="2393" w:type="dxa"/>
            <w:vAlign w:val="center"/>
          </w:tcPr>
          <w:p w14:paraId="0BF7116D">
            <w:pPr>
              <w:pStyle w:val="26"/>
              <w:tabs>
                <w:tab w:val="left" w:pos="2214"/>
              </w:tabs>
              <w:spacing w:before="100" w:beforeAutospacing="1" w:after="100" w:afterAutospacing="1" w:line="240" w:lineRule="atLeast"/>
              <w:ind w:left="0" w:leftChars="0"/>
              <w:jc w:val="center"/>
              <w:rPr>
                <w:sz w:val="18"/>
                <w:szCs w:val="18"/>
              </w:rPr>
            </w:pPr>
            <w:r>
              <w:rPr>
                <w:sz w:val="18"/>
                <w:szCs w:val="18"/>
              </w:rPr>
              <w:t>0.005</w:t>
            </w:r>
            <w:r>
              <w:rPr>
                <w:rFonts w:hint="eastAsia"/>
                <w:sz w:val="18"/>
                <w:szCs w:val="18"/>
              </w:rPr>
              <w:t>0</w:t>
            </w:r>
            <w:r>
              <w:rPr>
                <w:sz w:val="18"/>
                <w:szCs w:val="18"/>
              </w:rPr>
              <w:t>～8.00</w:t>
            </w:r>
          </w:p>
        </w:tc>
      </w:tr>
      <w:tr w14:paraId="5D97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tcPr>
          <w:p w14:paraId="4F63EB78">
            <w:pPr>
              <w:pStyle w:val="26"/>
              <w:spacing w:before="100" w:beforeAutospacing="1" w:after="100" w:afterAutospacing="1" w:line="240" w:lineRule="atLeast"/>
              <w:ind w:left="0" w:leftChars="0"/>
              <w:jc w:val="center"/>
              <w:rPr>
                <w:sz w:val="18"/>
                <w:szCs w:val="18"/>
              </w:rPr>
            </w:pPr>
            <w:r>
              <w:rPr>
                <w:sz w:val="18"/>
                <w:szCs w:val="18"/>
              </w:rPr>
              <w:t>Zn</w:t>
            </w:r>
          </w:p>
        </w:tc>
        <w:tc>
          <w:tcPr>
            <w:tcW w:w="2393" w:type="dxa"/>
            <w:shd w:val="clear" w:color="auto" w:fill="auto"/>
            <w:vAlign w:val="center"/>
          </w:tcPr>
          <w:p w14:paraId="00620635">
            <w:pPr>
              <w:pStyle w:val="26"/>
              <w:tabs>
                <w:tab w:val="left" w:pos="2214"/>
              </w:tabs>
              <w:spacing w:before="100" w:beforeAutospacing="1" w:after="100" w:afterAutospacing="1" w:line="240" w:lineRule="atLeast"/>
              <w:ind w:left="0" w:leftChars="0"/>
              <w:jc w:val="center"/>
              <w:rPr>
                <w:sz w:val="18"/>
                <w:szCs w:val="18"/>
              </w:rPr>
            </w:pPr>
            <w:r>
              <w:rPr>
                <w:sz w:val="18"/>
                <w:szCs w:val="18"/>
              </w:rPr>
              <w:t>0.0050～5.00</w:t>
            </w:r>
          </w:p>
        </w:tc>
        <w:tc>
          <w:tcPr>
            <w:tcW w:w="2393" w:type="dxa"/>
          </w:tcPr>
          <w:p w14:paraId="4C92A539">
            <w:pPr>
              <w:pStyle w:val="26"/>
              <w:spacing w:before="100" w:beforeAutospacing="1" w:after="100" w:afterAutospacing="1" w:line="240" w:lineRule="atLeast"/>
              <w:ind w:left="0" w:leftChars="0"/>
              <w:jc w:val="center"/>
              <w:rPr>
                <w:sz w:val="18"/>
                <w:szCs w:val="18"/>
              </w:rPr>
            </w:pPr>
            <w:r>
              <w:rPr>
                <w:sz w:val="18"/>
                <w:szCs w:val="18"/>
              </w:rPr>
              <w:t>Mn</w:t>
            </w:r>
          </w:p>
        </w:tc>
        <w:tc>
          <w:tcPr>
            <w:tcW w:w="2393" w:type="dxa"/>
            <w:vAlign w:val="center"/>
          </w:tcPr>
          <w:p w14:paraId="6145443D">
            <w:pPr>
              <w:pStyle w:val="26"/>
              <w:tabs>
                <w:tab w:val="left" w:pos="2214"/>
              </w:tabs>
              <w:spacing w:before="100" w:beforeAutospacing="1" w:after="100" w:afterAutospacing="1" w:line="240" w:lineRule="atLeast"/>
              <w:ind w:left="0" w:leftChars="0"/>
              <w:jc w:val="center"/>
              <w:rPr>
                <w:sz w:val="18"/>
                <w:szCs w:val="18"/>
              </w:rPr>
            </w:pPr>
            <w:r>
              <w:rPr>
                <w:sz w:val="18"/>
                <w:szCs w:val="18"/>
              </w:rPr>
              <w:t>0.0050～</w:t>
            </w:r>
            <w:r>
              <w:rPr>
                <w:rFonts w:hint="eastAsia"/>
                <w:sz w:val="18"/>
                <w:szCs w:val="18"/>
              </w:rPr>
              <w:t>0.60</w:t>
            </w:r>
          </w:p>
        </w:tc>
      </w:tr>
      <w:tr w14:paraId="28FEC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tcPr>
          <w:p w14:paraId="395EC0AF">
            <w:pPr>
              <w:pStyle w:val="26"/>
              <w:spacing w:before="100" w:beforeAutospacing="1" w:after="100" w:afterAutospacing="1" w:line="240" w:lineRule="atLeast"/>
              <w:ind w:left="0" w:leftChars="0"/>
              <w:jc w:val="center"/>
              <w:rPr>
                <w:sz w:val="18"/>
                <w:szCs w:val="18"/>
              </w:rPr>
            </w:pPr>
            <w:r>
              <w:rPr>
                <w:sz w:val="18"/>
                <w:szCs w:val="18"/>
              </w:rPr>
              <w:t>Ni</w:t>
            </w:r>
          </w:p>
        </w:tc>
        <w:tc>
          <w:tcPr>
            <w:tcW w:w="2393" w:type="dxa"/>
            <w:shd w:val="clear" w:color="auto" w:fill="auto"/>
            <w:vAlign w:val="center"/>
          </w:tcPr>
          <w:p w14:paraId="2AA3342D">
            <w:pPr>
              <w:pStyle w:val="26"/>
              <w:tabs>
                <w:tab w:val="left" w:pos="2214"/>
              </w:tabs>
              <w:spacing w:before="100" w:beforeAutospacing="1" w:after="100" w:afterAutospacing="1" w:line="240" w:lineRule="atLeast"/>
              <w:ind w:left="0" w:leftChars="0"/>
              <w:jc w:val="center"/>
              <w:rPr>
                <w:sz w:val="18"/>
                <w:szCs w:val="18"/>
              </w:rPr>
            </w:pPr>
            <w:r>
              <w:rPr>
                <w:sz w:val="18"/>
                <w:szCs w:val="18"/>
              </w:rPr>
              <w:t>0.0050～0.</w:t>
            </w:r>
            <w:r>
              <w:rPr>
                <w:rFonts w:hint="eastAsia"/>
                <w:sz w:val="18"/>
                <w:szCs w:val="18"/>
              </w:rPr>
              <w:t>7</w:t>
            </w:r>
            <w:r>
              <w:rPr>
                <w:sz w:val="18"/>
                <w:szCs w:val="18"/>
              </w:rPr>
              <w:t>0</w:t>
            </w:r>
          </w:p>
        </w:tc>
        <w:tc>
          <w:tcPr>
            <w:tcW w:w="2393" w:type="dxa"/>
          </w:tcPr>
          <w:p w14:paraId="32B62569">
            <w:pPr>
              <w:pStyle w:val="26"/>
              <w:spacing w:before="100" w:beforeAutospacing="1" w:after="100" w:afterAutospacing="1" w:line="240" w:lineRule="atLeast"/>
              <w:ind w:left="0" w:leftChars="0"/>
              <w:jc w:val="center"/>
              <w:rPr>
                <w:sz w:val="18"/>
                <w:szCs w:val="18"/>
              </w:rPr>
            </w:pPr>
            <w:r>
              <w:rPr>
                <w:sz w:val="18"/>
                <w:szCs w:val="18"/>
              </w:rPr>
              <w:t>As</w:t>
            </w:r>
          </w:p>
        </w:tc>
        <w:tc>
          <w:tcPr>
            <w:tcW w:w="2393" w:type="dxa"/>
            <w:vAlign w:val="center"/>
          </w:tcPr>
          <w:p w14:paraId="5A0601BE">
            <w:pPr>
              <w:pStyle w:val="26"/>
              <w:tabs>
                <w:tab w:val="left" w:pos="2214"/>
              </w:tabs>
              <w:spacing w:before="100" w:beforeAutospacing="1" w:after="100" w:afterAutospacing="1" w:line="240" w:lineRule="atLeast"/>
              <w:ind w:left="0" w:leftChars="0"/>
              <w:jc w:val="center"/>
              <w:rPr>
                <w:sz w:val="18"/>
                <w:szCs w:val="18"/>
              </w:rPr>
            </w:pPr>
            <w:r>
              <w:rPr>
                <w:sz w:val="18"/>
                <w:szCs w:val="18"/>
              </w:rPr>
              <w:t>0.</w:t>
            </w:r>
            <w:r>
              <w:rPr>
                <w:rFonts w:hint="eastAsia"/>
                <w:sz w:val="18"/>
                <w:szCs w:val="18"/>
              </w:rPr>
              <w:t>0</w:t>
            </w:r>
            <w:r>
              <w:rPr>
                <w:sz w:val="18"/>
                <w:szCs w:val="18"/>
              </w:rPr>
              <w:t>10～</w:t>
            </w:r>
            <w:r>
              <w:rPr>
                <w:rFonts w:hint="eastAsia"/>
                <w:sz w:val="18"/>
                <w:szCs w:val="18"/>
              </w:rPr>
              <w:t>1</w:t>
            </w:r>
            <w:r>
              <w:rPr>
                <w:sz w:val="18"/>
                <w:szCs w:val="18"/>
              </w:rPr>
              <w:t>.</w:t>
            </w:r>
            <w:r>
              <w:rPr>
                <w:rFonts w:hint="eastAsia"/>
                <w:sz w:val="18"/>
                <w:szCs w:val="18"/>
              </w:rPr>
              <w:t>5</w:t>
            </w:r>
            <w:r>
              <w:rPr>
                <w:sz w:val="18"/>
                <w:szCs w:val="18"/>
              </w:rPr>
              <w:t>0</w:t>
            </w:r>
          </w:p>
        </w:tc>
      </w:tr>
      <w:tr w14:paraId="050DB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2392" w:type="dxa"/>
            <w:shd w:val="clear" w:color="auto" w:fill="auto"/>
          </w:tcPr>
          <w:p w14:paraId="3830791E">
            <w:pPr>
              <w:pStyle w:val="26"/>
              <w:spacing w:before="100" w:beforeAutospacing="1" w:after="100" w:afterAutospacing="1" w:line="240" w:lineRule="atLeast"/>
              <w:ind w:left="0" w:leftChars="0"/>
              <w:jc w:val="center"/>
              <w:rPr>
                <w:sz w:val="18"/>
                <w:szCs w:val="18"/>
              </w:rPr>
            </w:pPr>
            <w:r>
              <w:rPr>
                <w:sz w:val="18"/>
                <w:szCs w:val="18"/>
              </w:rPr>
              <w:t>Co</w:t>
            </w:r>
          </w:p>
        </w:tc>
        <w:tc>
          <w:tcPr>
            <w:tcW w:w="2393" w:type="dxa"/>
            <w:shd w:val="clear" w:color="auto" w:fill="auto"/>
            <w:vAlign w:val="center"/>
          </w:tcPr>
          <w:p w14:paraId="30E9361F">
            <w:pPr>
              <w:pStyle w:val="26"/>
              <w:tabs>
                <w:tab w:val="left" w:pos="2214"/>
              </w:tabs>
              <w:spacing w:before="100" w:beforeAutospacing="1" w:after="100" w:afterAutospacing="1" w:line="240" w:lineRule="atLeast"/>
              <w:ind w:left="0" w:leftChars="0"/>
              <w:jc w:val="center"/>
              <w:rPr>
                <w:sz w:val="18"/>
                <w:szCs w:val="18"/>
              </w:rPr>
            </w:pPr>
            <w:r>
              <w:rPr>
                <w:sz w:val="18"/>
                <w:szCs w:val="18"/>
              </w:rPr>
              <w:t>0.0050～</w:t>
            </w:r>
            <w:r>
              <w:rPr>
                <w:rFonts w:hint="eastAsia"/>
                <w:sz w:val="18"/>
                <w:szCs w:val="18"/>
              </w:rPr>
              <w:t>3.00</w:t>
            </w:r>
          </w:p>
        </w:tc>
        <w:tc>
          <w:tcPr>
            <w:tcW w:w="2393" w:type="dxa"/>
          </w:tcPr>
          <w:p w14:paraId="1CFF5031">
            <w:pPr>
              <w:pStyle w:val="26"/>
              <w:spacing w:before="100" w:beforeAutospacing="1" w:after="100" w:afterAutospacing="1" w:line="240" w:lineRule="atLeast"/>
              <w:ind w:left="0" w:leftChars="0"/>
              <w:jc w:val="center"/>
              <w:rPr>
                <w:sz w:val="18"/>
                <w:szCs w:val="18"/>
              </w:rPr>
            </w:pPr>
            <w:r>
              <w:rPr>
                <w:sz w:val="18"/>
                <w:szCs w:val="18"/>
              </w:rPr>
              <w:t>Mo</w:t>
            </w:r>
          </w:p>
        </w:tc>
        <w:tc>
          <w:tcPr>
            <w:tcW w:w="2393" w:type="dxa"/>
            <w:vAlign w:val="center"/>
          </w:tcPr>
          <w:p w14:paraId="0B9C5B85">
            <w:pPr>
              <w:pStyle w:val="26"/>
              <w:tabs>
                <w:tab w:val="left" w:pos="2214"/>
              </w:tabs>
              <w:spacing w:before="100" w:beforeAutospacing="1" w:after="100" w:afterAutospacing="1" w:line="240" w:lineRule="atLeast"/>
              <w:ind w:left="0" w:leftChars="0"/>
              <w:jc w:val="center"/>
              <w:rPr>
                <w:sz w:val="18"/>
                <w:szCs w:val="18"/>
              </w:rPr>
            </w:pPr>
            <w:r>
              <w:rPr>
                <w:color w:val="auto"/>
                <w:sz w:val="18"/>
                <w:szCs w:val="18"/>
              </w:rPr>
              <w:t>0.00</w:t>
            </w:r>
            <w:r>
              <w:rPr>
                <w:rFonts w:hint="eastAsia"/>
                <w:color w:val="auto"/>
                <w:sz w:val="18"/>
                <w:szCs w:val="18"/>
                <w:lang w:val="en-US" w:eastAsia="zh-CN"/>
              </w:rPr>
              <w:t>2</w:t>
            </w:r>
            <w:r>
              <w:rPr>
                <w:color w:val="auto"/>
                <w:sz w:val="18"/>
                <w:szCs w:val="18"/>
              </w:rPr>
              <w:t>0～2.</w:t>
            </w:r>
            <w:r>
              <w:rPr>
                <w:rFonts w:hint="eastAsia"/>
                <w:color w:val="auto"/>
                <w:sz w:val="18"/>
                <w:szCs w:val="18"/>
              </w:rPr>
              <w:t>5</w:t>
            </w:r>
            <w:r>
              <w:rPr>
                <w:color w:val="auto"/>
                <w:sz w:val="18"/>
                <w:szCs w:val="18"/>
              </w:rPr>
              <w:t>0</w:t>
            </w:r>
          </w:p>
        </w:tc>
      </w:tr>
    </w:tbl>
    <w:p w14:paraId="141161B4">
      <w:pPr>
        <w:widowControl/>
        <w:spacing w:before="156" w:beforeLines="50" w:after="156" w:afterLines="50"/>
        <w:rPr>
          <w:rFonts w:ascii="黑体" w:eastAsia="黑体"/>
          <w:bCs/>
          <w:szCs w:val="21"/>
        </w:rPr>
      </w:pPr>
      <w:r>
        <w:rPr>
          <w:rFonts w:hint="eastAsia" w:ascii="黑体" w:eastAsia="黑体"/>
          <w:bCs/>
          <w:szCs w:val="21"/>
        </w:rPr>
        <w:t>2 规范性引用文件</w:t>
      </w:r>
    </w:p>
    <w:p w14:paraId="075A528F">
      <w:pPr>
        <w:ind w:firstLine="420" w:firstLineChars="200"/>
        <w:rPr>
          <w:rFonts w:hint="eastAsia" w:ascii="宋体" w:hAnsi="宋体"/>
          <w:bCs/>
          <w:color w:val="000000"/>
          <w:szCs w:val="21"/>
        </w:rPr>
      </w:pPr>
      <w:r>
        <w:rPr>
          <w:rFonts w:hint="eastAsia" w:ascii="宋体" w:hAnsi="宋体"/>
          <w:bCs/>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67017C">
      <w:pPr>
        <w:ind w:firstLine="420" w:firstLineChars="200"/>
        <w:rPr>
          <w:rFonts w:hint="eastAsia" w:ascii="宋体" w:hAnsi="宋体"/>
          <w:bCs/>
          <w:szCs w:val="21"/>
        </w:rPr>
      </w:pPr>
      <w:r>
        <w:rPr>
          <w:rFonts w:ascii="宋体" w:hAnsi="宋体"/>
          <w:bCs/>
          <w:szCs w:val="21"/>
        </w:rPr>
        <w:t>GB/T 6682</w:t>
      </w:r>
      <w:r>
        <w:rPr>
          <w:rFonts w:hint="eastAsia" w:ascii="宋体" w:hAnsi="宋体"/>
          <w:bCs/>
          <w:szCs w:val="21"/>
        </w:rPr>
        <w:t>分析实验室用水规格和试验方法。</w:t>
      </w:r>
    </w:p>
    <w:p w14:paraId="5BCFE051">
      <w:pPr>
        <w:widowControl/>
        <w:spacing w:before="156" w:beforeLines="50" w:after="156" w:afterLines="50"/>
        <w:rPr>
          <w:rFonts w:ascii="黑体" w:eastAsia="黑体"/>
          <w:bCs/>
          <w:szCs w:val="21"/>
        </w:rPr>
      </w:pPr>
      <w:r>
        <w:rPr>
          <w:rFonts w:hint="eastAsia" w:ascii="黑体" w:eastAsia="黑体"/>
          <w:bCs/>
          <w:szCs w:val="21"/>
        </w:rPr>
        <w:t>3  术语和定义</w:t>
      </w:r>
    </w:p>
    <w:p w14:paraId="6B414C9C">
      <w:pPr>
        <w:ind w:firstLine="420" w:firstLineChars="200"/>
        <w:rPr>
          <w:rFonts w:hint="eastAsia" w:ascii="黑体" w:hAnsi="黑体" w:eastAsia="黑体"/>
          <w:bCs/>
          <w:color w:val="000000"/>
          <w:szCs w:val="21"/>
        </w:rPr>
      </w:pPr>
      <w:r>
        <w:rPr>
          <w:rFonts w:hint="eastAsia" w:ascii="宋体" w:hAnsi="宋体"/>
          <w:bCs/>
          <w:szCs w:val="21"/>
        </w:rPr>
        <w:t>本文件没有需要界定的术语和定义。</w:t>
      </w:r>
    </w:p>
    <w:p w14:paraId="201AB56D">
      <w:pPr>
        <w:spacing w:before="156" w:beforeLines="50" w:line="360" w:lineRule="auto"/>
        <w:rPr>
          <w:rFonts w:hint="eastAsia" w:ascii="黑体" w:hAnsi="黑体" w:eastAsia="黑体"/>
          <w:b/>
          <w:szCs w:val="21"/>
        </w:rPr>
      </w:pPr>
      <w:r>
        <w:rPr>
          <w:rFonts w:hint="eastAsia" w:ascii="黑体" w:hAnsi="黑体" w:eastAsia="黑体"/>
          <w:bCs/>
          <w:color w:val="000000"/>
          <w:szCs w:val="21"/>
        </w:rPr>
        <w:t>4</w:t>
      </w:r>
      <w:r>
        <w:rPr>
          <w:rFonts w:ascii="黑体" w:hAnsi="黑体" w:eastAsia="黑体"/>
          <w:bCs/>
          <w:color w:val="000000"/>
          <w:szCs w:val="21"/>
        </w:rPr>
        <w:t xml:space="preserve">  </w:t>
      </w:r>
      <w:r>
        <w:rPr>
          <w:rFonts w:hint="eastAsia" w:ascii="黑体" w:hAnsi="黑体" w:eastAsia="黑体"/>
          <w:bCs/>
          <w:color w:val="000000"/>
          <w:szCs w:val="21"/>
        </w:rPr>
        <w:t>原理</w:t>
      </w:r>
    </w:p>
    <w:p w14:paraId="008CD969">
      <w:pPr>
        <w:ind w:firstLine="420" w:firstLineChars="200"/>
      </w:pPr>
      <w:r>
        <w:t>试料</w:t>
      </w:r>
      <w:r>
        <w:rPr>
          <w:rFonts w:hint="eastAsia"/>
        </w:rPr>
        <w:t>经</w:t>
      </w:r>
      <w:r>
        <w:t>硝酸、盐酸、氢氟酸和高氯酸分解</w:t>
      </w:r>
      <w:r>
        <w:rPr>
          <w:rFonts w:hint="eastAsia"/>
          <w:lang w:eastAsia="zh-CN"/>
        </w:rPr>
        <w:t>，</w:t>
      </w:r>
      <w:r>
        <w:rPr>
          <w:rFonts w:hint="eastAsia"/>
        </w:rPr>
        <w:t>盐酸溶解盐类，</w:t>
      </w:r>
      <w:r>
        <w:t>在稀</w:t>
      </w:r>
      <w:r>
        <w:rPr>
          <w:rFonts w:hint="eastAsia"/>
        </w:rPr>
        <w:t>盐酸</w:t>
      </w:r>
      <w:r>
        <w:t>介质中，于电感耦合等离子</w:t>
      </w:r>
      <w:r>
        <w:rPr>
          <w:rFonts w:ascii="Times New Roman" w:hAnsi="Times New Roman" w:eastAsia="宋体" w:cs="Times New Roman"/>
        </w:rPr>
        <w:t>体原子发射光谱仪选定的各元素波长处</w:t>
      </w:r>
      <w:r>
        <w:rPr>
          <w:rFonts w:hint="eastAsia" w:ascii="Times New Roman" w:hAnsi="Times New Roman" w:eastAsia="宋体" w:cs="Times New Roman"/>
        </w:rPr>
        <w:t>，</w:t>
      </w:r>
      <w:r>
        <w:rPr>
          <w:rFonts w:ascii="Times New Roman" w:hAnsi="Times New Roman" w:eastAsia="宋体" w:cs="Times New Roman"/>
        </w:rPr>
        <w:t>测定其发射强度，</w:t>
      </w:r>
      <w:r>
        <w:rPr>
          <w:rFonts w:hint="eastAsia" w:ascii="Times New Roman" w:hAnsi="Times New Roman" w:eastAsia="宋体" w:cs="Times New Roman"/>
        </w:rPr>
        <w:t>用工作曲线法</w:t>
      </w:r>
      <w:r>
        <w:rPr>
          <w:rFonts w:ascii="Times New Roman" w:hAnsi="Times New Roman" w:eastAsia="宋体" w:cs="Times New Roman"/>
        </w:rPr>
        <w:t>计算各元素的质量分数。</w:t>
      </w:r>
    </w:p>
    <w:p w14:paraId="2A18EB37">
      <w:pPr>
        <w:spacing w:line="360" w:lineRule="auto"/>
        <w:rPr>
          <w:rFonts w:hint="eastAsia" w:ascii="黑体" w:hAnsi="黑体" w:eastAsia="黑体"/>
          <w:bCs/>
          <w:color w:val="000000"/>
          <w:szCs w:val="21"/>
        </w:rPr>
      </w:pPr>
      <w:r>
        <w:rPr>
          <w:rFonts w:hint="eastAsia" w:ascii="黑体" w:hAnsi="黑体" w:eastAsia="黑体"/>
          <w:bCs/>
          <w:color w:val="000000"/>
          <w:szCs w:val="21"/>
        </w:rPr>
        <w:t>5</w:t>
      </w:r>
      <w:r>
        <w:rPr>
          <w:rFonts w:ascii="黑体" w:hAnsi="黑体" w:eastAsia="黑体"/>
          <w:bCs/>
          <w:color w:val="000000"/>
          <w:szCs w:val="21"/>
        </w:rPr>
        <w:t xml:space="preserve">  试剂</w:t>
      </w:r>
    </w:p>
    <w:p w14:paraId="0C46C013">
      <w:pPr>
        <w:ind w:firstLine="420" w:firstLineChars="200"/>
        <w:rPr>
          <w:rFonts w:hint="eastAsia" w:hAnsi="宋体"/>
          <w:szCs w:val="21"/>
        </w:rPr>
      </w:pPr>
      <w:r>
        <w:t>除非另有说明，</w:t>
      </w:r>
      <w:r>
        <w:rPr>
          <w:rFonts w:hAnsi="宋体"/>
          <w:szCs w:val="21"/>
        </w:rPr>
        <w:t>分析中仅使用确认为</w:t>
      </w:r>
      <w:r>
        <w:rPr>
          <w:rFonts w:hint="eastAsia" w:hAnsi="宋体"/>
          <w:szCs w:val="21"/>
        </w:rPr>
        <w:t>分析</w:t>
      </w:r>
      <w:r>
        <w:rPr>
          <w:rFonts w:hAnsi="宋体"/>
          <w:szCs w:val="21"/>
        </w:rPr>
        <w:t>纯的试剂。</w:t>
      </w:r>
    </w:p>
    <w:p w14:paraId="34A104C2">
      <w:pPr>
        <w:rPr>
          <w:rFonts w:hint="eastAsia" w:hAnsi="宋体" w:eastAsia="宋体"/>
          <w:szCs w:val="21"/>
          <w:lang w:eastAsia="zh-CN"/>
        </w:rPr>
      </w:pPr>
      <w:r>
        <w:rPr>
          <w:rFonts w:hint="eastAsia" w:ascii="黑体" w:hAnsi="黑体" w:eastAsia="黑体" w:cs="黑体"/>
          <w:szCs w:val="21"/>
        </w:rPr>
        <w:t xml:space="preserve">5.1 </w:t>
      </w:r>
      <w:r>
        <w:rPr>
          <w:rFonts w:hint="eastAsia" w:hAnsi="宋体"/>
          <w:szCs w:val="21"/>
        </w:rPr>
        <w:t xml:space="preserve"> 水</w:t>
      </w:r>
      <w:r>
        <w:rPr>
          <w:szCs w:val="21"/>
        </w:rPr>
        <w:t>，GB/T 6682，</w:t>
      </w:r>
      <w:r>
        <w:rPr>
          <w:rFonts w:hint="eastAsia" w:hAnsi="宋体"/>
          <w:szCs w:val="21"/>
        </w:rPr>
        <w:t>二级</w:t>
      </w:r>
      <w:r>
        <w:rPr>
          <w:rFonts w:hint="eastAsia" w:hAnsi="宋体"/>
          <w:szCs w:val="21"/>
          <w:lang w:val="en-US" w:eastAsia="zh-CN"/>
        </w:rPr>
        <w:t>及以上</w:t>
      </w:r>
      <w:r>
        <w:rPr>
          <w:rFonts w:hint="eastAsia" w:hAnsi="宋体"/>
          <w:szCs w:val="21"/>
        </w:rPr>
        <w:t>。</w:t>
      </w:r>
    </w:p>
    <w:p w14:paraId="62639A24">
      <w:pPr>
        <w:rPr>
          <w:rFonts w:hint="eastAsia" w:ascii="宋体" w:hAnsi="宋体"/>
        </w:rPr>
      </w:pPr>
      <w:r>
        <w:rPr>
          <w:rFonts w:ascii="黑体" w:hAnsi="黑体" w:eastAsia="黑体"/>
        </w:rPr>
        <w:t>5.</w:t>
      </w:r>
      <w:r>
        <w:rPr>
          <w:rFonts w:hint="eastAsia" w:ascii="黑体" w:hAnsi="黑体" w:eastAsia="黑体"/>
          <w:lang w:val="en-US" w:eastAsia="zh-CN"/>
        </w:rPr>
        <w:t>2</w:t>
      </w:r>
      <w:r>
        <w:t xml:space="preserve">  </w:t>
      </w:r>
      <w:r>
        <w:rPr>
          <w:rFonts w:ascii="宋体" w:hAnsi="宋体"/>
        </w:rPr>
        <w:t>盐酸</w:t>
      </w:r>
      <w:r>
        <w:t>（</w:t>
      </w:r>
      <w:r>
        <w:rPr>
          <w:i/>
          <w:iCs/>
        </w:rPr>
        <w:t xml:space="preserve">ρ </w:t>
      </w:r>
      <w:r>
        <w:rPr>
          <w:rFonts w:hint="eastAsia"/>
          <w:i/>
          <w:iCs/>
          <w:lang w:val="en-US" w:eastAsia="zh-CN"/>
        </w:rPr>
        <w:t>=</w:t>
      </w:r>
      <w:r>
        <w:t>1.19 g</w:t>
      </w:r>
      <w:r>
        <w:rPr>
          <w:rFonts w:eastAsiaTheme="minorEastAsia"/>
        </w:rPr>
        <w:t>/</w:t>
      </w:r>
      <w:r>
        <w:t>mL）。</w:t>
      </w:r>
    </w:p>
    <w:p w14:paraId="2C947B17">
      <w:pPr>
        <w:rPr>
          <w:rFonts w:hint="eastAsia" w:ascii="宋体" w:hAnsi="宋体"/>
        </w:rPr>
      </w:pPr>
      <w:r>
        <w:rPr>
          <w:rFonts w:ascii="黑体" w:hAnsi="黑体" w:eastAsia="黑体"/>
        </w:rPr>
        <w:t>5.</w:t>
      </w:r>
      <w:r>
        <w:rPr>
          <w:rFonts w:hint="eastAsia" w:ascii="黑体" w:hAnsi="黑体" w:eastAsia="黑体"/>
          <w:lang w:val="en-US" w:eastAsia="zh-CN"/>
        </w:rPr>
        <w:t>3</w:t>
      </w:r>
      <w:r>
        <w:t xml:space="preserve"> </w:t>
      </w:r>
      <w:r>
        <w:rPr>
          <w:color w:val="FF0000"/>
        </w:rPr>
        <w:t xml:space="preserve"> </w:t>
      </w:r>
      <w:r>
        <w:rPr>
          <w:rFonts w:ascii="宋体" w:hAnsi="宋体"/>
        </w:rPr>
        <w:t>硝酸</w:t>
      </w:r>
      <w:r>
        <w:t>（</w:t>
      </w:r>
      <w:r>
        <w:rPr>
          <w:i/>
          <w:iCs/>
        </w:rPr>
        <w:t xml:space="preserve">ρ </w:t>
      </w:r>
      <w:r>
        <w:rPr>
          <w:rFonts w:hint="eastAsia"/>
          <w:i/>
          <w:iCs/>
          <w:lang w:val="en-US" w:eastAsia="zh-CN"/>
        </w:rPr>
        <w:t>=</w:t>
      </w:r>
      <w:r>
        <w:t>1.42 g</w:t>
      </w:r>
      <w:r>
        <w:rPr>
          <w:rFonts w:eastAsiaTheme="minorEastAsia"/>
        </w:rPr>
        <w:t>/</w:t>
      </w:r>
      <w:r>
        <w:t>mL）。</w:t>
      </w:r>
    </w:p>
    <w:p w14:paraId="2B7A14CC">
      <w:r>
        <w:rPr>
          <w:rFonts w:ascii="黑体" w:hAnsi="黑体" w:eastAsia="黑体"/>
        </w:rPr>
        <w:t>5.</w:t>
      </w:r>
      <w:r>
        <w:rPr>
          <w:rFonts w:hint="eastAsia" w:ascii="黑体" w:hAnsi="黑体" w:eastAsia="黑体"/>
          <w:lang w:val="en-US" w:eastAsia="zh-CN"/>
        </w:rPr>
        <w:t>4</w:t>
      </w:r>
      <w:r>
        <w:t xml:space="preserve">  </w:t>
      </w:r>
      <w:r>
        <w:rPr>
          <w:rFonts w:ascii="宋体" w:hAnsi="宋体"/>
        </w:rPr>
        <w:t>氢氟酸</w:t>
      </w:r>
      <w:r>
        <w:t>（</w:t>
      </w:r>
      <w:r>
        <w:rPr>
          <w:i/>
          <w:iCs/>
        </w:rPr>
        <w:t xml:space="preserve">ρ </w:t>
      </w:r>
      <w:r>
        <w:rPr>
          <w:rFonts w:hint="eastAsia"/>
          <w:i/>
          <w:iCs/>
          <w:lang w:val="en-US" w:eastAsia="zh-CN"/>
        </w:rPr>
        <w:t>=</w:t>
      </w:r>
      <w:r>
        <w:t xml:space="preserve"> 1.15 g</w:t>
      </w:r>
      <w:r>
        <w:rPr>
          <w:rFonts w:eastAsiaTheme="minorEastAsia"/>
        </w:rPr>
        <w:t>/</w:t>
      </w:r>
      <w:r>
        <w:t>mL）。</w:t>
      </w:r>
    </w:p>
    <w:p w14:paraId="548CE223">
      <w:r>
        <w:rPr>
          <w:rFonts w:ascii="黑体" w:hAnsi="黑体" w:eastAsia="黑体"/>
        </w:rPr>
        <w:t>5.</w:t>
      </w:r>
      <w:r>
        <w:rPr>
          <w:rFonts w:hint="eastAsia" w:ascii="黑体" w:hAnsi="黑体" w:eastAsia="黑体"/>
          <w:lang w:val="en-US" w:eastAsia="zh-CN"/>
        </w:rPr>
        <w:t>5</w:t>
      </w:r>
      <w:r>
        <w:t xml:space="preserve">  </w:t>
      </w:r>
      <w:r>
        <w:rPr>
          <w:rFonts w:ascii="宋体" w:hAnsi="宋体"/>
        </w:rPr>
        <w:t>高氯酸</w:t>
      </w:r>
      <w:r>
        <w:t>（</w:t>
      </w:r>
      <w:r>
        <w:rPr>
          <w:i/>
          <w:iCs/>
        </w:rPr>
        <w:t xml:space="preserve">ρ </w:t>
      </w:r>
      <w:r>
        <w:rPr>
          <w:rFonts w:hint="eastAsia"/>
          <w:i/>
          <w:iCs/>
          <w:lang w:val="en-US" w:eastAsia="zh-CN"/>
        </w:rPr>
        <w:t>=</w:t>
      </w:r>
      <w:r>
        <w:t xml:space="preserve"> 1.67 g</w:t>
      </w:r>
      <w:r>
        <w:rPr>
          <w:rFonts w:eastAsiaTheme="minorEastAsia"/>
        </w:rPr>
        <w:t>/</w:t>
      </w:r>
      <w:r>
        <w:t>mL）。</w:t>
      </w:r>
    </w:p>
    <w:p w14:paraId="41E61846">
      <w:r>
        <w:rPr>
          <w:rFonts w:ascii="黑体" w:hAnsi="黑体" w:eastAsia="黑体"/>
        </w:rPr>
        <w:t>5.</w:t>
      </w:r>
      <w:r>
        <w:rPr>
          <w:rFonts w:hint="eastAsia" w:ascii="黑体" w:hAnsi="黑体" w:eastAsia="黑体"/>
          <w:lang w:val="en-US" w:eastAsia="zh-CN"/>
        </w:rPr>
        <w:t>6</w:t>
      </w:r>
      <w:r>
        <w:t xml:space="preserve">  盐酸（1+1）</w:t>
      </w:r>
      <w:r>
        <w:rPr>
          <w:rFonts w:ascii="宋体" w:hAnsi="宋体"/>
        </w:rPr>
        <w:t>。</w:t>
      </w:r>
    </w:p>
    <w:p w14:paraId="5A80D0AC">
      <w:r>
        <w:rPr>
          <w:rFonts w:ascii="黑体" w:hAnsi="黑体" w:eastAsia="黑体"/>
        </w:rPr>
        <w:t>5.</w:t>
      </w:r>
      <w:r>
        <w:rPr>
          <w:rFonts w:hint="eastAsia" w:ascii="黑体" w:hAnsi="黑体" w:eastAsia="黑体"/>
          <w:lang w:val="en-US" w:eastAsia="zh-CN"/>
        </w:rPr>
        <w:t>7</w:t>
      </w:r>
      <w:r>
        <w:t xml:space="preserve">  铜标准贮存溶液：称取1.0000 g金属铜（</w:t>
      </w:r>
      <w:r>
        <w:rPr>
          <w:i/>
        </w:rPr>
        <w:t>w</w:t>
      </w:r>
      <w:r>
        <w:rPr>
          <w:vertAlign w:val="subscript"/>
        </w:rPr>
        <w:t>Cu</w:t>
      </w:r>
      <w:r>
        <w:rPr>
          <w:rFonts w:hint="eastAsia" w:ascii="黑体" w:hAnsi="黑体" w:eastAsia="黑体" w:cs="黑体"/>
        </w:rPr>
        <w:t>≥</w:t>
      </w:r>
      <w:r>
        <w:t>99.99%），置于300 mL烧杯中，盖上表</w:t>
      </w:r>
      <w:r>
        <w:rPr>
          <w:rFonts w:hint="eastAsia"/>
          <w:lang w:val="en-US" w:eastAsia="zh-CN"/>
        </w:rPr>
        <w:t>面</w:t>
      </w:r>
      <w:r>
        <w:t>皿，缓慢加入50 mL硝酸（</w:t>
      </w:r>
      <w:r>
        <w:rPr>
          <w:rFonts w:hint="eastAsia"/>
          <w:lang w:val="en-US" w:eastAsia="zh-CN"/>
        </w:rPr>
        <w:t>1+1</w:t>
      </w:r>
      <w:r>
        <w:t>），低温</w:t>
      </w:r>
      <w:r>
        <w:rPr>
          <w:rFonts w:hint="eastAsia"/>
          <w:lang w:val="en-US" w:eastAsia="zh-CN"/>
        </w:rPr>
        <w:t>加热</w:t>
      </w:r>
      <w:r>
        <w:t>溶解，驱除氮的氧化物，取下冷却至室温，用水洗涤表</w:t>
      </w:r>
      <w:r>
        <w:rPr>
          <w:rFonts w:hint="eastAsia"/>
          <w:lang w:val="en-US" w:eastAsia="zh-CN"/>
        </w:rPr>
        <w:t>面</w:t>
      </w:r>
      <w:r>
        <w:t>皿及杯壁，移入1000 mL容量瓶中，补加50 mL硝酸（</w:t>
      </w:r>
      <w:r>
        <w:rPr>
          <w:rFonts w:hint="eastAsia"/>
          <w:lang w:val="en-US" w:eastAsia="zh-CN"/>
        </w:rPr>
        <w:t>1+1</w:t>
      </w:r>
      <w:r>
        <w:t>），用水稀释至刻度，混匀。此溶液1 mL含1 mg铜</w:t>
      </w:r>
      <w:r>
        <w:rPr>
          <w:rFonts w:hint="eastAsia"/>
          <w:lang w:eastAsia="zh-CN"/>
        </w:rPr>
        <w:t>。</w:t>
      </w:r>
    </w:p>
    <w:p w14:paraId="502FC2F3">
      <w:r>
        <w:rPr>
          <w:rFonts w:ascii="黑体" w:hAnsi="黑体" w:eastAsia="黑体"/>
        </w:rPr>
        <w:t>5.</w:t>
      </w:r>
      <w:r>
        <w:rPr>
          <w:rFonts w:hint="eastAsia" w:ascii="黑体" w:hAnsi="黑体" w:eastAsia="黑体"/>
          <w:lang w:val="en-US" w:eastAsia="zh-CN"/>
        </w:rPr>
        <w:t>8</w:t>
      </w:r>
      <w:r>
        <w:t xml:space="preserve">  铅标准贮存溶液：称取1.0000 g金属铅（</w:t>
      </w:r>
      <w:r>
        <w:rPr>
          <w:i/>
        </w:rPr>
        <w:t>w</w:t>
      </w:r>
      <w:r>
        <w:rPr>
          <w:vertAlign w:val="subscript"/>
        </w:rPr>
        <w:t>Pb</w:t>
      </w:r>
      <w:r>
        <w:rPr>
          <w:rFonts w:hint="eastAsia" w:ascii="宋体" w:hAnsi="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w:t>
      </w:r>
      <w:r>
        <w:rPr>
          <w:rFonts w:hint="eastAsia"/>
          <w:lang w:val="en-US" w:eastAsia="zh-CN"/>
        </w:rPr>
        <w:t xml:space="preserve"> </w:t>
      </w:r>
      <w:r>
        <w:t>mL硝酸（</w:t>
      </w:r>
      <w:r>
        <w:rPr>
          <w:rFonts w:hint="eastAsia"/>
          <w:lang w:val="en-US" w:eastAsia="zh-CN"/>
        </w:rPr>
        <w:t>1+1</w:t>
      </w:r>
      <w:r>
        <w:t>），用水稀释至刻度，混匀。此溶液1 mL含1 mg铅。</w:t>
      </w:r>
    </w:p>
    <w:p w14:paraId="34AF6208">
      <w:r>
        <w:rPr>
          <w:rFonts w:ascii="黑体" w:hAnsi="黑体" w:eastAsia="黑体"/>
        </w:rPr>
        <w:t>5.</w:t>
      </w:r>
      <w:r>
        <w:rPr>
          <w:rFonts w:hint="eastAsia" w:ascii="黑体" w:hAnsi="黑体" w:eastAsia="黑体"/>
          <w:lang w:val="en-US" w:eastAsia="zh-CN"/>
        </w:rPr>
        <w:t>9</w:t>
      </w:r>
      <w:r>
        <w:t xml:space="preserve">  锌标准贮存溶液：称取1.0000 g金属锌（</w:t>
      </w:r>
      <w:r>
        <w:rPr>
          <w:i/>
        </w:rPr>
        <w:t>w</w:t>
      </w:r>
      <w:r>
        <w:rPr>
          <w:vertAlign w:val="subscript"/>
        </w:rPr>
        <w:t>Zn</w:t>
      </w:r>
      <w:r>
        <w:rPr>
          <w:rFonts w:hint="eastAsia" w:ascii="宋体" w:hAnsi="宋体" w:eastAsia="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 mL硝酸（</w:t>
      </w:r>
      <w:r>
        <w:rPr>
          <w:rFonts w:hint="eastAsia"/>
          <w:lang w:val="en-US" w:eastAsia="zh-CN"/>
        </w:rPr>
        <w:t>1+1</w:t>
      </w:r>
      <w:r>
        <w:t>），用水稀释至刻度，混匀。此溶液1 mL含1 mg锌。</w:t>
      </w:r>
    </w:p>
    <w:p w14:paraId="6B60AC38">
      <w:r>
        <w:rPr>
          <w:rFonts w:ascii="黑体" w:hAnsi="黑体" w:eastAsia="黑体"/>
        </w:rPr>
        <w:t>5</w:t>
      </w:r>
      <w:r>
        <w:rPr>
          <w:rFonts w:hint="eastAsia" w:ascii="黑体" w:hAnsi="黑体" w:eastAsia="黑体"/>
        </w:rPr>
        <w:t>.1</w:t>
      </w:r>
      <w:r>
        <w:rPr>
          <w:rFonts w:hint="eastAsia" w:ascii="黑体" w:hAnsi="黑体" w:eastAsia="黑体"/>
          <w:lang w:val="en-US" w:eastAsia="zh-CN"/>
        </w:rPr>
        <w:t>0</w:t>
      </w:r>
      <w:r>
        <w:t xml:space="preserve">  镍标准贮存溶液：称取1.0000 g金属镍（</w:t>
      </w:r>
      <w:r>
        <w:rPr>
          <w:i/>
        </w:rPr>
        <w:t>w</w:t>
      </w:r>
      <w:r>
        <w:rPr>
          <w:vertAlign w:val="subscript"/>
        </w:rPr>
        <w:t>Ni</w:t>
      </w:r>
      <w:r>
        <w:rPr>
          <w:rFonts w:hint="eastAsia" w:ascii="宋体" w:hAnsi="宋体" w:eastAsia="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 mL硝酸（</w:t>
      </w:r>
      <w:r>
        <w:rPr>
          <w:rFonts w:hint="eastAsia"/>
          <w:lang w:val="en-US" w:eastAsia="zh-CN"/>
        </w:rPr>
        <w:t>1+1</w:t>
      </w:r>
      <w:r>
        <w:t>），用水稀释至刻度，混匀。此溶液1 mL含1 mg镍。</w:t>
      </w:r>
    </w:p>
    <w:p w14:paraId="251A2FDC">
      <w:r>
        <w:rPr>
          <w:rFonts w:ascii="黑体" w:hAnsi="黑体" w:eastAsia="黑体"/>
        </w:rPr>
        <w:t>5.</w:t>
      </w:r>
      <w:r>
        <w:rPr>
          <w:rFonts w:hint="eastAsia" w:ascii="黑体" w:hAnsi="黑体" w:eastAsia="黑体"/>
        </w:rPr>
        <w:t>1</w:t>
      </w:r>
      <w:r>
        <w:rPr>
          <w:rFonts w:hint="eastAsia" w:ascii="黑体" w:hAnsi="黑体" w:eastAsia="黑体"/>
          <w:lang w:val="en-US" w:eastAsia="zh-CN"/>
        </w:rPr>
        <w:t>1</w:t>
      </w:r>
      <w:r>
        <w:t xml:space="preserve">  钴标准贮存溶液：称取1.0000 g金属钴（</w:t>
      </w:r>
      <w:r>
        <w:rPr>
          <w:i/>
        </w:rPr>
        <w:t>w</w:t>
      </w:r>
      <w:r>
        <w:rPr>
          <w:vertAlign w:val="subscript"/>
        </w:rPr>
        <w:t>Co</w:t>
      </w:r>
      <w:r>
        <w:rPr>
          <w:rFonts w:hint="eastAsia" w:ascii="宋体" w:hAnsi="宋体" w:eastAsia="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 mL硝酸（</w:t>
      </w:r>
      <w:r>
        <w:rPr>
          <w:rFonts w:hint="eastAsia"/>
          <w:lang w:val="en-US" w:eastAsia="zh-CN"/>
        </w:rPr>
        <w:t>1+1</w:t>
      </w:r>
      <w:r>
        <w:t>），用水稀释至刻度，混匀。此溶液1 mL含1 mg钴。</w:t>
      </w:r>
    </w:p>
    <w:p w14:paraId="0958DB55">
      <w:r>
        <w:rPr>
          <w:rFonts w:ascii="黑体" w:hAnsi="黑体" w:eastAsia="黑体"/>
        </w:rPr>
        <w:t>5.</w:t>
      </w:r>
      <w:r>
        <w:rPr>
          <w:rFonts w:hint="eastAsia" w:ascii="黑体" w:hAnsi="黑体" w:eastAsia="黑体"/>
        </w:rPr>
        <w:t>1</w:t>
      </w:r>
      <w:r>
        <w:rPr>
          <w:rFonts w:hint="eastAsia" w:ascii="黑体" w:hAnsi="黑体" w:eastAsia="黑体"/>
          <w:lang w:val="en-US" w:eastAsia="zh-CN"/>
        </w:rPr>
        <w:t>2</w:t>
      </w:r>
      <w:r>
        <w:t xml:space="preserve">  镉标准贮存溶液：称取1.0000 g金属镉（</w:t>
      </w:r>
      <w:r>
        <w:rPr>
          <w:i/>
        </w:rPr>
        <w:t>w</w:t>
      </w:r>
      <w:r>
        <w:rPr>
          <w:vertAlign w:val="subscript"/>
        </w:rPr>
        <w:t>Cd</w:t>
      </w:r>
      <w:r>
        <w:rPr>
          <w:rFonts w:hint="eastAsia" w:ascii="宋体" w:hAnsi="宋体" w:eastAsia="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 mL硝酸（</w:t>
      </w:r>
      <w:r>
        <w:rPr>
          <w:rFonts w:hint="eastAsia"/>
          <w:lang w:val="en-US" w:eastAsia="zh-CN"/>
        </w:rPr>
        <w:t>1+1</w:t>
      </w:r>
      <w:r>
        <w:t>），用水稀释至刻度，混匀。此溶液1 mL含1 mg镉。</w:t>
      </w:r>
    </w:p>
    <w:p w14:paraId="36AC86E2">
      <w:r>
        <w:rPr>
          <w:rFonts w:ascii="黑体" w:hAnsi="黑体" w:eastAsia="黑体"/>
        </w:rPr>
        <w:t>5.</w:t>
      </w:r>
      <w:r>
        <w:rPr>
          <w:rFonts w:hint="eastAsia" w:ascii="黑体" w:hAnsi="黑体" w:eastAsia="黑体"/>
        </w:rPr>
        <w:t>1</w:t>
      </w:r>
      <w:r>
        <w:rPr>
          <w:rFonts w:hint="eastAsia" w:ascii="黑体" w:hAnsi="黑体" w:eastAsia="黑体"/>
          <w:lang w:val="en-US" w:eastAsia="zh-CN"/>
        </w:rPr>
        <w:t>3</w:t>
      </w:r>
      <w:r>
        <w:t xml:space="preserve">  镁标准贮存溶液：称取1.6584 g氧化镁（</w:t>
      </w:r>
      <w:r>
        <w:rPr>
          <w:i/>
        </w:rPr>
        <w:t>w</w:t>
      </w:r>
      <w:r>
        <w:rPr>
          <w:vertAlign w:val="subscript"/>
        </w:rPr>
        <w:t>MgO</w:t>
      </w:r>
      <w:r>
        <w:rPr>
          <w:rFonts w:hint="eastAsia" w:ascii="宋体" w:hAnsi="宋体" w:eastAsia="宋体" w:cs="宋体"/>
        </w:rPr>
        <w:t>≥</w:t>
      </w:r>
      <w:r>
        <w:t>99.99%，预先于800 ℃灼烧至恒重），置于300 mL烧杯中，盖上</w:t>
      </w:r>
      <w:r>
        <w:rPr>
          <w:rFonts w:hint="eastAsia"/>
          <w:lang w:eastAsia="zh-CN"/>
        </w:rPr>
        <w:t>表面皿</w:t>
      </w:r>
      <w:r>
        <w:t>，缓慢加入40 mL盐酸（5.</w:t>
      </w:r>
      <w:r>
        <w:rPr>
          <w:rFonts w:hint="eastAsia"/>
          <w:lang w:val="en-US" w:eastAsia="zh-CN"/>
        </w:rPr>
        <w:t>6</w:t>
      </w:r>
      <w:r>
        <w:t>），低温溶解，取下冷却至室温，用水洗涤</w:t>
      </w:r>
      <w:r>
        <w:rPr>
          <w:rFonts w:hint="eastAsia"/>
          <w:lang w:eastAsia="zh-CN"/>
        </w:rPr>
        <w:t>表面皿</w:t>
      </w:r>
      <w:r>
        <w:t>及杯壁，移入1000 mL容量瓶中，补加60 mL盐酸（5.</w:t>
      </w:r>
      <w:r>
        <w:rPr>
          <w:rFonts w:hint="eastAsia"/>
          <w:lang w:val="en-US" w:eastAsia="zh-CN"/>
        </w:rPr>
        <w:t>6</w:t>
      </w:r>
      <w:r>
        <w:t>），用水稀释至刻度，混匀。此溶液1 mL含1 mg镁。</w:t>
      </w:r>
    </w:p>
    <w:p w14:paraId="560C1140">
      <w:r>
        <w:rPr>
          <w:rFonts w:hint="eastAsia"/>
          <w:b/>
          <w:bCs/>
          <w:color w:val="auto"/>
          <w:lang w:val="en-US" w:eastAsia="zh-CN"/>
        </w:rPr>
        <w:t>5.14</w:t>
      </w:r>
      <w:r>
        <w:t xml:space="preserve"> 锰标准贮存溶液：称取1.0000 g金属锰（</w:t>
      </w:r>
      <w:r>
        <w:rPr>
          <w:i/>
        </w:rPr>
        <w:t>w</w:t>
      </w:r>
      <w:r>
        <w:rPr>
          <w:vertAlign w:val="subscript"/>
        </w:rPr>
        <w:t>Mn</w:t>
      </w:r>
      <w:r>
        <w:rPr>
          <w:rFonts w:hint="eastAsia" w:ascii="宋体" w:hAnsi="宋体" w:eastAsia="宋体" w:cs="宋体"/>
        </w:rPr>
        <w:t>≥</w:t>
      </w:r>
      <w:r>
        <w:t>99.99%），置于300 mL烧杯中，盖上</w:t>
      </w:r>
      <w:r>
        <w:rPr>
          <w:rFonts w:hint="eastAsia"/>
          <w:lang w:eastAsia="zh-CN"/>
        </w:rPr>
        <w:t>表面皿</w:t>
      </w:r>
      <w:r>
        <w:t>，缓慢加入50 mL硝酸（</w:t>
      </w:r>
      <w:r>
        <w:rPr>
          <w:rFonts w:hint="eastAsia"/>
          <w:lang w:val="en-US" w:eastAsia="zh-CN"/>
        </w:rPr>
        <w:t>1+1</w:t>
      </w:r>
      <w:r>
        <w:t>），低温</w:t>
      </w:r>
      <w:r>
        <w:rPr>
          <w:rFonts w:hint="eastAsia"/>
          <w:lang w:val="en-US" w:eastAsia="zh-CN"/>
        </w:rPr>
        <w:t>加热</w:t>
      </w:r>
      <w:r>
        <w:t>溶解，驱除氮的氧化物，取下冷却至室温，用水洗涤</w:t>
      </w:r>
      <w:r>
        <w:rPr>
          <w:rFonts w:hint="eastAsia"/>
          <w:lang w:eastAsia="zh-CN"/>
        </w:rPr>
        <w:t>表面皿</w:t>
      </w:r>
      <w:r>
        <w:t>及杯壁，移入1000 mL容量瓶中，补加50 mL硝酸（</w:t>
      </w:r>
      <w:r>
        <w:rPr>
          <w:rFonts w:hint="eastAsia"/>
          <w:lang w:val="en-US" w:eastAsia="zh-CN"/>
        </w:rPr>
        <w:t>1+1</w:t>
      </w:r>
      <w:r>
        <w:t>），用水稀释至刻度，混匀。此溶液1 mL含1 mg锰。</w:t>
      </w:r>
    </w:p>
    <w:p w14:paraId="0C49C9D8">
      <w:r>
        <w:rPr>
          <w:rFonts w:ascii="黑体" w:hAnsi="黑体" w:eastAsia="黑体"/>
        </w:rPr>
        <w:t>5.</w:t>
      </w:r>
      <w:r>
        <w:rPr>
          <w:rFonts w:hint="eastAsia" w:ascii="黑体" w:hAnsi="黑体" w:eastAsia="黑体"/>
        </w:rPr>
        <w:t>1</w:t>
      </w:r>
      <w:r>
        <w:rPr>
          <w:rFonts w:hint="eastAsia" w:ascii="黑体" w:hAnsi="黑体" w:eastAsia="黑体"/>
          <w:lang w:val="en-US" w:eastAsia="zh-CN"/>
        </w:rPr>
        <w:t>5</w:t>
      </w:r>
      <w:r>
        <w:rPr>
          <w:rFonts w:hint="eastAsia" w:ascii="黑体" w:hAnsi="黑体" w:eastAsia="黑体"/>
        </w:rPr>
        <w:t xml:space="preserve">  </w:t>
      </w:r>
      <w:r>
        <w:t>砷标准贮存溶液：称取1.3200 g三氧化二砷(</w:t>
      </w:r>
      <w:r>
        <w:rPr>
          <w:i/>
        </w:rPr>
        <w:t>w</w:t>
      </w:r>
      <w:r>
        <w:rPr>
          <w:vertAlign w:val="subscript"/>
        </w:rPr>
        <w:t>As2O3</w:t>
      </w:r>
      <w:r>
        <w:t xml:space="preserve"> </w:t>
      </w:r>
      <w:r>
        <w:rPr>
          <w:rFonts w:hint="eastAsia" w:ascii="宋体" w:hAnsi="宋体" w:eastAsia="宋体" w:cs="宋体"/>
        </w:rPr>
        <w:t>≥</w:t>
      </w:r>
      <w:r>
        <w:t>99.99%</w:t>
      </w:r>
      <w:r>
        <w:rPr>
          <w:rFonts w:hint="eastAsia"/>
          <w:lang w:eastAsia="zh-CN"/>
        </w:rPr>
        <w:t>，</w:t>
      </w:r>
      <w:r>
        <w:rPr>
          <w:rFonts w:hint="eastAsia"/>
          <w:color w:val="auto"/>
          <w:lang w:val="en-US" w:eastAsia="zh-CN"/>
        </w:rPr>
        <w:t>预先在110 ℃~120 ℃烘干2 h，于干燥器中冷却至室温）</w:t>
      </w:r>
      <w:r>
        <w:t>置于400 mL塑料烧杯中，加入10 mL氢氧化钠溶液（100g/L），低温加热溶解，冷却，用水稀释至约200 mL，将溶液移入1000 mL容量瓶中，用水稀释至刻度，混匀。此溶液1 mL含l mg砷。</w:t>
      </w:r>
    </w:p>
    <w:p w14:paraId="2C1DB8F1">
      <w:r>
        <w:rPr>
          <w:rFonts w:ascii="黑体" w:hAnsi="黑体" w:eastAsia="黑体"/>
        </w:rPr>
        <w:t>5.</w:t>
      </w:r>
      <w:r>
        <w:rPr>
          <w:rFonts w:hint="eastAsia" w:ascii="黑体" w:hAnsi="黑体" w:eastAsia="黑体"/>
        </w:rPr>
        <w:t>1</w:t>
      </w:r>
      <w:r>
        <w:rPr>
          <w:rFonts w:hint="eastAsia" w:ascii="黑体" w:hAnsi="黑体" w:eastAsia="黑体"/>
          <w:lang w:val="en-US" w:eastAsia="zh-CN"/>
        </w:rPr>
        <w:t>6</w:t>
      </w:r>
      <w:r>
        <w:rPr>
          <w:rFonts w:hint="eastAsia" w:ascii="黑体" w:hAnsi="黑体" w:eastAsia="黑体"/>
        </w:rPr>
        <w:t xml:space="preserve"> </w:t>
      </w:r>
      <w:r>
        <w:rPr>
          <w:szCs w:val="21"/>
        </w:rPr>
        <w:t>钼标准贮存溶液：称取1.5003</w:t>
      </w:r>
      <w:r>
        <w:t xml:space="preserve"> g</w:t>
      </w:r>
      <w:r>
        <w:rPr>
          <w:rFonts w:hint="eastAsia"/>
          <w:color w:val="auto"/>
          <w:lang w:val="en-US" w:eastAsia="zh-CN"/>
        </w:rPr>
        <w:t>预先在500 ℃马弗炉中灼烧20 min并于干燥器中冷却至室温的</w:t>
      </w:r>
      <w:r>
        <w:rPr>
          <w:color w:val="auto"/>
          <w:szCs w:val="21"/>
        </w:rPr>
        <w:t>三氧化钼(</w:t>
      </w:r>
      <w:r>
        <w:rPr>
          <w:i/>
          <w:color w:val="auto"/>
          <w:sz w:val="24"/>
        </w:rPr>
        <w:t>w</w:t>
      </w:r>
      <w:r>
        <w:rPr>
          <w:color w:val="auto"/>
          <w:szCs w:val="21"/>
          <w:vertAlign w:val="subscript"/>
        </w:rPr>
        <w:t>MoO</w:t>
      </w:r>
      <w:r>
        <w:rPr>
          <w:rFonts w:hint="eastAsia"/>
          <w:color w:val="auto"/>
          <w:szCs w:val="21"/>
          <w:vertAlign w:val="subscript"/>
          <w:lang w:val="en-US" w:eastAsia="zh-CN"/>
        </w:rPr>
        <w:t>3</w:t>
      </w:r>
      <w:r>
        <w:rPr>
          <w:rFonts w:hint="eastAsia" w:ascii="宋体" w:hAnsi="宋体" w:eastAsia="宋体" w:cs="宋体"/>
        </w:rPr>
        <w:t>≥</w:t>
      </w:r>
      <w:r>
        <w:rPr>
          <w:color w:val="auto"/>
          <w:szCs w:val="21"/>
        </w:rPr>
        <w:t>99.99%)，置于烧杯中，加</w:t>
      </w:r>
      <w:r>
        <w:rPr>
          <w:szCs w:val="21"/>
        </w:rPr>
        <w:t>入1</w:t>
      </w:r>
      <w:r>
        <w:t xml:space="preserve"> g</w:t>
      </w:r>
      <w:r>
        <w:rPr>
          <w:szCs w:val="21"/>
        </w:rPr>
        <w:t>氢氧化钠及少许水，</w:t>
      </w:r>
      <w:r>
        <w:rPr>
          <w:rFonts w:hint="eastAsia"/>
          <w:lang w:val="en-US" w:eastAsia="zh-CN"/>
        </w:rPr>
        <w:t>低温</w:t>
      </w:r>
      <w:r>
        <w:rPr>
          <w:szCs w:val="21"/>
        </w:rPr>
        <w:t>加热溶解，加水至500</w:t>
      </w:r>
      <w:r>
        <w:t xml:space="preserve"> mL</w:t>
      </w:r>
      <w:r>
        <w:rPr>
          <w:szCs w:val="21"/>
        </w:rPr>
        <w:t>，再加入5</w:t>
      </w:r>
      <w:r>
        <w:t xml:space="preserve"> mL</w:t>
      </w:r>
      <w:r>
        <w:rPr>
          <w:szCs w:val="21"/>
        </w:rPr>
        <w:t xml:space="preserve">硫酸，冷却后，移入1000 </w:t>
      </w:r>
      <w:r>
        <w:t>mL</w:t>
      </w:r>
      <w:r>
        <w:rPr>
          <w:szCs w:val="21"/>
        </w:rPr>
        <w:t>容量瓶中，用水稀释至刻度，混匀。此溶液1</w:t>
      </w:r>
      <w:r>
        <w:t xml:space="preserve"> mL</w:t>
      </w:r>
      <w:r>
        <w:rPr>
          <w:szCs w:val="21"/>
        </w:rPr>
        <w:t>含1</w:t>
      </w:r>
      <w:r>
        <w:t xml:space="preserve"> mg</w:t>
      </w:r>
      <w:r>
        <w:rPr>
          <w:szCs w:val="21"/>
        </w:rPr>
        <w:t>钼。</w:t>
      </w:r>
    </w:p>
    <w:p w14:paraId="786D6593">
      <w:r>
        <w:rPr>
          <w:rFonts w:ascii="黑体" w:hAnsi="黑体" w:eastAsia="黑体"/>
        </w:rPr>
        <w:t>5.</w:t>
      </w:r>
      <w:r>
        <w:rPr>
          <w:rFonts w:hint="eastAsia" w:ascii="黑体" w:hAnsi="黑体" w:eastAsia="黑体"/>
          <w:lang w:val="en-US" w:eastAsia="zh-CN"/>
        </w:rPr>
        <w:t>17</w:t>
      </w:r>
      <w:r>
        <w:t xml:space="preserve">  混合标准溶液：分别移取10.00 mL</w:t>
      </w:r>
      <w:r>
        <w:rPr>
          <w:rFonts w:hint="eastAsia"/>
          <w:lang w:val="en-US" w:eastAsia="zh-CN"/>
        </w:rPr>
        <w:t>单元素</w:t>
      </w:r>
      <w:r>
        <w:t>标准贮存溶液（5.</w:t>
      </w:r>
      <w:r>
        <w:rPr>
          <w:rFonts w:hint="eastAsia"/>
          <w:lang w:val="en-US" w:eastAsia="zh-CN"/>
        </w:rPr>
        <w:t>7</w:t>
      </w:r>
      <w:r>
        <w:rPr>
          <w:szCs w:val="21"/>
        </w:rPr>
        <w:t>~</w:t>
      </w:r>
      <w:r>
        <w:t>5.1</w:t>
      </w:r>
      <w:r>
        <w:rPr>
          <w:rFonts w:hint="eastAsia"/>
          <w:lang w:val="en-US" w:eastAsia="zh-CN"/>
        </w:rPr>
        <w:t>6</w:t>
      </w:r>
      <w:r>
        <w:rPr>
          <w:rFonts w:hint="eastAsia" w:ascii="Times New Roman" w:hAnsi="Times New Roman" w:cs="Times New Roman"/>
          <w:lang w:val="en-US" w:eastAsia="zh-CN"/>
        </w:rPr>
        <w:t>，</w:t>
      </w:r>
      <w:r>
        <w:rPr>
          <w:rFonts w:hint="eastAsia" w:ascii="Times New Roman" w:hAnsi="Times New Roman" w:cs="Times New Roman"/>
          <w:sz w:val="21"/>
          <w:szCs w:val="20"/>
          <w:lang w:val="en-US" w:eastAsia="zh-CN"/>
        </w:rPr>
        <w:t>也可使用国家有证标准贮存溶液</w:t>
      </w:r>
      <w:r>
        <w:t>）置于200 mL容量瓶中，加入20 mL</w:t>
      </w:r>
      <w:r>
        <w:rPr>
          <w:rFonts w:hint="eastAsia"/>
        </w:rPr>
        <w:t>盐酸</w:t>
      </w:r>
      <w:r>
        <w:t>（5.</w:t>
      </w:r>
      <w:r>
        <w:rPr>
          <w:rFonts w:hint="eastAsia"/>
          <w:lang w:val="en-US" w:eastAsia="zh-CN"/>
        </w:rPr>
        <w:t>6</w:t>
      </w:r>
      <w:r>
        <w:t>），用水稀释至刻度，混匀。此溶液1 mL</w:t>
      </w:r>
      <w:r>
        <w:rPr>
          <w:szCs w:val="21"/>
        </w:rPr>
        <w:t xml:space="preserve">分别含50 </w:t>
      </w:r>
      <w:r>
        <w:rPr>
          <w:szCs w:val="21"/>
        </w:rPr>
        <w:sym w:font="Symbol" w:char="F06D"/>
      </w:r>
      <w:r>
        <w:rPr>
          <w:szCs w:val="21"/>
        </w:rPr>
        <w:t>g</w:t>
      </w:r>
      <w:r>
        <w:t>铜、铅、锌、镍、钴、镉、镁、锰、砷、钼。</w:t>
      </w:r>
    </w:p>
    <w:p w14:paraId="3ADB5A8C">
      <w:pPr>
        <w:spacing w:line="360" w:lineRule="auto"/>
        <w:rPr>
          <w:rFonts w:hint="eastAsia" w:ascii="黑体" w:hAnsi="黑体" w:eastAsia="黑体"/>
          <w:bCs/>
          <w:color w:val="000000"/>
          <w:szCs w:val="21"/>
        </w:rPr>
      </w:pPr>
      <w:r>
        <w:rPr>
          <w:rFonts w:hint="eastAsia" w:ascii="黑体" w:hAnsi="黑体" w:eastAsia="黑体"/>
          <w:bCs/>
          <w:color w:val="000000"/>
          <w:szCs w:val="21"/>
        </w:rPr>
        <w:t>6</w:t>
      </w:r>
      <w:r>
        <w:rPr>
          <w:rFonts w:ascii="黑体" w:hAnsi="黑体" w:eastAsia="黑体"/>
          <w:bCs/>
          <w:color w:val="000000"/>
          <w:szCs w:val="21"/>
        </w:rPr>
        <w:t xml:space="preserve">  仪器</w:t>
      </w:r>
    </w:p>
    <w:p w14:paraId="6B8DF6A3">
      <w:pPr>
        <w:adjustRightInd w:val="0"/>
        <w:snapToGrid w:val="0"/>
        <w:rPr>
          <w:spacing w:val="6"/>
        </w:rPr>
      </w:pPr>
      <w:r>
        <w:rPr>
          <w:rFonts w:hint="eastAsia" w:ascii="黑体" w:eastAsia="黑体"/>
          <w:spacing w:val="6"/>
        </w:rPr>
        <w:t xml:space="preserve">  </w:t>
      </w:r>
      <w:r>
        <w:rPr>
          <w:rFonts w:hint="eastAsia" w:ascii="黑体" w:eastAsia="黑体"/>
          <w:spacing w:val="6"/>
          <w:lang w:val="en-US" w:eastAsia="zh-CN"/>
        </w:rPr>
        <w:t xml:space="preserve"> </w:t>
      </w:r>
      <w:r>
        <w:rPr>
          <w:spacing w:val="6"/>
        </w:rPr>
        <w:t>电感耦合等离子体原子发射光谱仪。</w:t>
      </w:r>
    </w:p>
    <w:p w14:paraId="469DCDB5">
      <w:pPr>
        <w:snapToGrid w:val="0"/>
        <w:ind w:firstLine="525" w:firstLineChars="250"/>
      </w:pPr>
      <w:r>
        <w:rPr>
          <w:kern w:val="0"/>
          <w:szCs w:val="21"/>
        </w:rPr>
        <w:t>——</w:t>
      </w:r>
      <w:r>
        <w:t>仪器的实际分辨率：</w:t>
      </w:r>
      <w:r>
        <w:rPr>
          <w:rFonts w:eastAsiaTheme="minorEastAsia"/>
        </w:rPr>
        <w:t xml:space="preserve">200 </w:t>
      </w:r>
      <w:r>
        <w:t>nm处光谱分辨率应小于</w:t>
      </w:r>
      <w:r>
        <w:rPr>
          <w:rFonts w:eastAsiaTheme="minorEastAsia"/>
        </w:rPr>
        <w:t xml:space="preserve">0.01 </w:t>
      </w:r>
      <w:r>
        <w:t>nm。</w:t>
      </w:r>
    </w:p>
    <w:p w14:paraId="3F3DDCD8">
      <w:pPr>
        <w:snapToGrid w:val="0"/>
        <w:ind w:left="399" w:leftChars="190" w:firstLine="105" w:firstLineChars="50"/>
        <w:rPr>
          <w:spacing w:val="6"/>
        </w:rPr>
      </w:pPr>
      <w:r>
        <w:rPr>
          <w:kern w:val="0"/>
          <w:szCs w:val="21"/>
        </w:rPr>
        <w:t>——</w:t>
      </w:r>
      <w:r>
        <w:t>仪器的短期稳定性：测量</w:t>
      </w:r>
      <w:r>
        <w:rPr>
          <w:rFonts w:eastAsiaTheme="minorEastAsia"/>
        </w:rPr>
        <w:t>11</w:t>
      </w:r>
      <w:r>
        <w:t>次</w:t>
      </w:r>
      <w:r>
        <w:rPr>
          <w:rFonts w:hint="eastAsia"/>
          <w:lang w:val="en-US" w:eastAsia="zh-CN"/>
        </w:rPr>
        <w:t>最小浓度</w:t>
      </w:r>
      <w:r>
        <w:t>标准溶液中各元素的</w:t>
      </w:r>
      <w:r>
        <w:rPr>
          <w:rFonts w:hint="eastAsia"/>
        </w:rPr>
        <w:t>发射</w:t>
      </w:r>
      <w:r>
        <w:t>强</w:t>
      </w:r>
      <w:r>
        <w:rPr>
          <w:rFonts w:hint="eastAsia"/>
        </w:rPr>
        <w:t>度</w:t>
      </w:r>
      <w:r>
        <w:t>，计算其标准偏差，其相对标准偏差应小于</w:t>
      </w:r>
      <w:r>
        <w:rPr>
          <w:rFonts w:hint="eastAsia"/>
          <w:lang w:val="en-US" w:eastAsia="zh-CN"/>
        </w:rPr>
        <w:t>2.5</w:t>
      </w:r>
      <w:r>
        <w:t>%。</w:t>
      </w:r>
    </w:p>
    <w:p w14:paraId="113A44DC">
      <w:pPr>
        <w:adjustRightInd w:val="0"/>
        <w:snapToGrid w:val="0"/>
        <w:rPr>
          <w:spacing w:val="6"/>
        </w:rPr>
      </w:pPr>
      <w:r>
        <w:rPr>
          <w:rFonts w:hint="eastAsia" w:ascii="黑体" w:eastAsia="黑体"/>
          <w:spacing w:val="6"/>
        </w:rPr>
        <w:t xml:space="preserve"> </w:t>
      </w:r>
      <w:r>
        <w:rPr>
          <w:rFonts w:hint="eastAsia" w:ascii="黑体" w:eastAsia="黑体"/>
          <w:bCs/>
          <w:color w:val="000000"/>
          <w:szCs w:val="21"/>
        </w:rPr>
        <w:t xml:space="preserve"> </w:t>
      </w:r>
      <w:r>
        <w:rPr>
          <w:rFonts w:hint="eastAsia" w:ascii="黑体" w:eastAsia="黑体"/>
          <w:bCs/>
          <w:color w:val="000000"/>
          <w:szCs w:val="21"/>
          <w:lang w:val="en-US" w:eastAsia="zh-CN"/>
        </w:rPr>
        <w:t xml:space="preserve"> </w:t>
      </w:r>
      <w:r>
        <w:rPr>
          <w:spacing w:val="6"/>
        </w:rPr>
        <w:t>各元素的推荐分析谱线见表</w:t>
      </w:r>
      <w:r>
        <w:rPr>
          <w:rFonts w:eastAsiaTheme="minorEastAsia"/>
          <w:spacing w:val="6"/>
        </w:rPr>
        <w:t>2</w:t>
      </w:r>
      <w:r>
        <w:rPr>
          <w:spacing w:val="6"/>
        </w:rPr>
        <w:t>。</w:t>
      </w:r>
    </w:p>
    <w:p w14:paraId="0F02EDA9">
      <w:pPr>
        <w:jc w:val="center"/>
        <w:rPr>
          <w:rFonts w:eastAsia="黑体"/>
          <w:bCs/>
          <w:color w:val="000000"/>
          <w:szCs w:val="21"/>
        </w:rPr>
      </w:pPr>
      <w:r>
        <w:rPr>
          <w:rFonts w:eastAsia="黑体"/>
          <w:bCs/>
          <w:color w:val="000000"/>
          <w:szCs w:val="21"/>
        </w:rPr>
        <w:t>表2</w:t>
      </w:r>
      <w:r>
        <w:rPr>
          <w:rFonts w:hint="eastAsia" w:eastAsia="黑体"/>
          <w:bCs/>
          <w:color w:val="000000"/>
          <w:szCs w:val="21"/>
        </w:rPr>
        <w:t xml:space="preserve"> 各</w:t>
      </w:r>
      <w:r>
        <w:rPr>
          <w:rFonts w:eastAsia="黑体"/>
          <w:bCs/>
          <w:color w:val="000000"/>
          <w:szCs w:val="21"/>
        </w:rPr>
        <w:t>元素的推荐</w:t>
      </w:r>
      <w:r>
        <w:rPr>
          <w:rFonts w:hint="eastAsia" w:eastAsia="黑体"/>
          <w:bCs/>
          <w:color w:val="000000"/>
          <w:szCs w:val="21"/>
        </w:rPr>
        <w:t>分析谱线</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827"/>
        <w:gridCol w:w="827"/>
        <w:gridCol w:w="827"/>
        <w:gridCol w:w="827"/>
        <w:gridCol w:w="827"/>
        <w:gridCol w:w="827"/>
        <w:gridCol w:w="827"/>
        <w:gridCol w:w="798"/>
        <w:gridCol w:w="798"/>
        <w:gridCol w:w="796"/>
      </w:tblGrid>
      <w:tr w14:paraId="576C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14:paraId="07F3A3F1">
            <w:pPr>
              <w:spacing w:line="300" w:lineRule="auto"/>
              <w:jc w:val="center"/>
              <w:rPr>
                <w:bCs/>
                <w:color w:val="000000"/>
                <w:sz w:val="18"/>
                <w:szCs w:val="18"/>
              </w:rPr>
            </w:pPr>
            <w:r>
              <w:rPr>
                <w:bCs/>
                <w:color w:val="000000"/>
                <w:kern w:val="0"/>
                <w:sz w:val="18"/>
                <w:szCs w:val="18"/>
              </w:rPr>
              <w:t>元素</w:t>
            </w:r>
          </w:p>
        </w:tc>
        <w:tc>
          <w:tcPr>
            <w:tcW w:w="432" w:type="pct"/>
            <w:vAlign w:val="center"/>
          </w:tcPr>
          <w:p w14:paraId="7C857746">
            <w:pPr>
              <w:spacing w:line="300" w:lineRule="auto"/>
              <w:jc w:val="center"/>
              <w:rPr>
                <w:bCs/>
                <w:color w:val="000000"/>
                <w:sz w:val="18"/>
                <w:szCs w:val="18"/>
              </w:rPr>
            </w:pPr>
            <w:r>
              <w:rPr>
                <w:bCs/>
                <w:color w:val="000000"/>
                <w:kern w:val="0"/>
                <w:sz w:val="18"/>
                <w:szCs w:val="18"/>
              </w:rPr>
              <w:t>Cu</w:t>
            </w:r>
          </w:p>
        </w:tc>
        <w:tc>
          <w:tcPr>
            <w:tcW w:w="432" w:type="pct"/>
            <w:vAlign w:val="center"/>
          </w:tcPr>
          <w:p w14:paraId="2C23EC9A">
            <w:pPr>
              <w:spacing w:line="300" w:lineRule="auto"/>
              <w:jc w:val="center"/>
              <w:rPr>
                <w:bCs/>
                <w:color w:val="000000"/>
                <w:sz w:val="18"/>
                <w:szCs w:val="18"/>
              </w:rPr>
            </w:pPr>
            <w:r>
              <w:rPr>
                <w:bCs/>
                <w:color w:val="000000"/>
                <w:kern w:val="0"/>
                <w:sz w:val="18"/>
                <w:szCs w:val="18"/>
              </w:rPr>
              <w:t>Pb</w:t>
            </w:r>
          </w:p>
        </w:tc>
        <w:tc>
          <w:tcPr>
            <w:tcW w:w="432" w:type="pct"/>
            <w:vAlign w:val="center"/>
          </w:tcPr>
          <w:p w14:paraId="6982C075">
            <w:pPr>
              <w:spacing w:line="300" w:lineRule="auto"/>
              <w:jc w:val="center"/>
              <w:rPr>
                <w:bCs/>
                <w:color w:val="000000"/>
                <w:sz w:val="18"/>
                <w:szCs w:val="18"/>
              </w:rPr>
            </w:pPr>
            <w:r>
              <w:rPr>
                <w:bCs/>
                <w:color w:val="000000"/>
                <w:kern w:val="0"/>
                <w:sz w:val="18"/>
                <w:szCs w:val="18"/>
              </w:rPr>
              <w:t>Zn</w:t>
            </w:r>
          </w:p>
        </w:tc>
        <w:tc>
          <w:tcPr>
            <w:tcW w:w="432" w:type="pct"/>
            <w:vAlign w:val="center"/>
          </w:tcPr>
          <w:p w14:paraId="159BB1E4">
            <w:pPr>
              <w:spacing w:line="300" w:lineRule="auto"/>
              <w:jc w:val="center"/>
              <w:rPr>
                <w:bCs/>
                <w:color w:val="000000"/>
                <w:sz w:val="18"/>
                <w:szCs w:val="18"/>
              </w:rPr>
            </w:pPr>
            <w:r>
              <w:rPr>
                <w:bCs/>
                <w:color w:val="000000"/>
                <w:kern w:val="0"/>
                <w:sz w:val="18"/>
                <w:szCs w:val="18"/>
              </w:rPr>
              <w:t>Ni</w:t>
            </w:r>
          </w:p>
        </w:tc>
        <w:tc>
          <w:tcPr>
            <w:tcW w:w="432" w:type="pct"/>
            <w:vAlign w:val="center"/>
          </w:tcPr>
          <w:p w14:paraId="30AE88FB">
            <w:pPr>
              <w:spacing w:line="300" w:lineRule="auto"/>
              <w:jc w:val="center"/>
              <w:rPr>
                <w:bCs/>
                <w:color w:val="000000"/>
                <w:sz w:val="18"/>
                <w:szCs w:val="18"/>
              </w:rPr>
            </w:pPr>
            <w:r>
              <w:rPr>
                <w:bCs/>
                <w:color w:val="000000"/>
                <w:kern w:val="0"/>
                <w:sz w:val="18"/>
                <w:szCs w:val="18"/>
              </w:rPr>
              <w:t>Co</w:t>
            </w:r>
          </w:p>
        </w:tc>
        <w:tc>
          <w:tcPr>
            <w:tcW w:w="432" w:type="pct"/>
            <w:vAlign w:val="center"/>
          </w:tcPr>
          <w:p w14:paraId="1AC420CD">
            <w:pPr>
              <w:spacing w:line="300" w:lineRule="auto"/>
              <w:jc w:val="center"/>
              <w:rPr>
                <w:bCs/>
                <w:color w:val="000000"/>
                <w:sz w:val="18"/>
                <w:szCs w:val="18"/>
              </w:rPr>
            </w:pPr>
            <w:r>
              <w:rPr>
                <w:bCs/>
                <w:color w:val="000000"/>
                <w:kern w:val="0"/>
                <w:sz w:val="18"/>
                <w:szCs w:val="18"/>
              </w:rPr>
              <w:t>Cd</w:t>
            </w:r>
          </w:p>
        </w:tc>
        <w:tc>
          <w:tcPr>
            <w:tcW w:w="432" w:type="pct"/>
            <w:vAlign w:val="center"/>
          </w:tcPr>
          <w:p w14:paraId="66CD0E82">
            <w:pPr>
              <w:spacing w:line="300" w:lineRule="auto"/>
              <w:jc w:val="center"/>
              <w:rPr>
                <w:bCs/>
                <w:color w:val="000000"/>
                <w:sz w:val="18"/>
                <w:szCs w:val="18"/>
              </w:rPr>
            </w:pPr>
            <w:r>
              <w:rPr>
                <w:bCs/>
                <w:color w:val="000000"/>
                <w:kern w:val="0"/>
                <w:sz w:val="18"/>
                <w:szCs w:val="18"/>
              </w:rPr>
              <w:t>Mg</w:t>
            </w:r>
          </w:p>
        </w:tc>
        <w:tc>
          <w:tcPr>
            <w:tcW w:w="417" w:type="pct"/>
            <w:vAlign w:val="center"/>
          </w:tcPr>
          <w:p w14:paraId="533FF5EF">
            <w:pPr>
              <w:spacing w:line="300" w:lineRule="auto"/>
              <w:jc w:val="center"/>
              <w:rPr>
                <w:bCs/>
                <w:color w:val="000000"/>
                <w:sz w:val="18"/>
                <w:szCs w:val="18"/>
              </w:rPr>
            </w:pPr>
            <w:r>
              <w:rPr>
                <w:bCs/>
                <w:color w:val="000000"/>
                <w:kern w:val="0"/>
                <w:sz w:val="18"/>
                <w:szCs w:val="18"/>
              </w:rPr>
              <w:t>Mn</w:t>
            </w:r>
          </w:p>
        </w:tc>
        <w:tc>
          <w:tcPr>
            <w:tcW w:w="417" w:type="pct"/>
            <w:vAlign w:val="center"/>
          </w:tcPr>
          <w:p w14:paraId="37D98D19">
            <w:pPr>
              <w:spacing w:line="300" w:lineRule="auto"/>
              <w:jc w:val="center"/>
              <w:rPr>
                <w:bCs/>
                <w:color w:val="000000"/>
                <w:kern w:val="0"/>
                <w:sz w:val="18"/>
                <w:szCs w:val="18"/>
              </w:rPr>
            </w:pPr>
            <w:r>
              <w:rPr>
                <w:bCs/>
                <w:color w:val="000000"/>
                <w:kern w:val="0"/>
                <w:sz w:val="18"/>
                <w:szCs w:val="18"/>
              </w:rPr>
              <w:t>As</w:t>
            </w:r>
          </w:p>
        </w:tc>
        <w:tc>
          <w:tcPr>
            <w:tcW w:w="417" w:type="pct"/>
            <w:vAlign w:val="center"/>
          </w:tcPr>
          <w:p w14:paraId="2BAD0949">
            <w:pPr>
              <w:spacing w:line="300" w:lineRule="auto"/>
              <w:jc w:val="center"/>
              <w:rPr>
                <w:bCs/>
                <w:color w:val="000000"/>
                <w:kern w:val="0"/>
                <w:sz w:val="18"/>
                <w:szCs w:val="18"/>
              </w:rPr>
            </w:pPr>
            <w:r>
              <w:rPr>
                <w:bCs/>
                <w:color w:val="000000"/>
                <w:kern w:val="0"/>
                <w:sz w:val="18"/>
                <w:szCs w:val="18"/>
              </w:rPr>
              <w:t>Mo</w:t>
            </w:r>
          </w:p>
        </w:tc>
      </w:tr>
      <w:tr w14:paraId="436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vAlign w:val="center"/>
          </w:tcPr>
          <w:p w14:paraId="71B1C1D2">
            <w:pPr>
              <w:spacing w:line="300" w:lineRule="auto"/>
              <w:jc w:val="center"/>
              <w:rPr>
                <w:bCs/>
                <w:color w:val="000000"/>
                <w:kern w:val="0"/>
                <w:sz w:val="18"/>
                <w:szCs w:val="18"/>
              </w:rPr>
            </w:pPr>
            <w:r>
              <w:rPr>
                <w:bCs/>
                <w:color w:val="000000"/>
                <w:kern w:val="0"/>
                <w:sz w:val="18"/>
                <w:szCs w:val="18"/>
              </w:rPr>
              <w:t>谱线波长λ</w:t>
            </w:r>
          </w:p>
          <w:p w14:paraId="23D8DE30">
            <w:pPr>
              <w:spacing w:line="300" w:lineRule="auto"/>
              <w:jc w:val="center"/>
              <w:rPr>
                <w:bCs/>
                <w:color w:val="000000"/>
                <w:sz w:val="18"/>
                <w:szCs w:val="18"/>
              </w:rPr>
            </w:pPr>
            <w:r>
              <w:rPr>
                <w:bCs/>
                <w:color w:val="000000"/>
                <w:kern w:val="0"/>
                <w:sz w:val="18"/>
                <w:szCs w:val="18"/>
              </w:rPr>
              <w:t>nm</w:t>
            </w:r>
          </w:p>
        </w:tc>
        <w:tc>
          <w:tcPr>
            <w:tcW w:w="432" w:type="pct"/>
            <w:vAlign w:val="center"/>
          </w:tcPr>
          <w:p w14:paraId="02727D86">
            <w:pPr>
              <w:spacing w:line="300" w:lineRule="auto"/>
              <w:jc w:val="center"/>
              <w:rPr>
                <w:bCs/>
                <w:color w:val="000000"/>
                <w:sz w:val="18"/>
                <w:szCs w:val="18"/>
              </w:rPr>
            </w:pPr>
            <w:r>
              <w:rPr>
                <w:bCs/>
                <w:color w:val="000000"/>
                <w:kern w:val="0"/>
                <w:sz w:val="18"/>
                <w:szCs w:val="18"/>
              </w:rPr>
              <w:t>327.39</w:t>
            </w:r>
          </w:p>
        </w:tc>
        <w:tc>
          <w:tcPr>
            <w:tcW w:w="432" w:type="pct"/>
            <w:vAlign w:val="center"/>
          </w:tcPr>
          <w:p w14:paraId="10EE24A3">
            <w:pPr>
              <w:spacing w:line="300" w:lineRule="auto"/>
              <w:jc w:val="center"/>
              <w:rPr>
                <w:bCs/>
                <w:color w:val="000000"/>
                <w:sz w:val="18"/>
                <w:szCs w:val="18"/>
              </w:rPr>
            </w:pPr>
            <w:r>
              <w:rPr>
                <w:bCs/>
                <w:color w:val="000000"/>
                <w:kern w:val="0"/>
                <w:sz w:val="18"/>
                <w:szCs w:val="18"/>
              </w:rPr>
              <w:t>220.35</w:t>
            </w:r>
          </w:p>
        </w:tc>
        <w:tc>
          <w:tcPr>
            <w:tcW w:w="432" w:type="pct"/>
            <w:vAlign w:val="center"/>
          </w:tcPr>
          <w:p w14:paraId="76917063">
            <w:pPr>
              <w:spacing w:line="300" w:lineRule="auto"/>
              <w:jc w:val="center"/>
              <w:rPr>
                <w:bCs/>
                <w:color w:val="000000"/>
                <w:sz w:val="18"/>
                <w:szCs w:val="18"/>
              </w:rPr>
            </w:pPr>
            <w:r>
              <w:rPr>
                <w:bCs/>
                <w:color w:val="000000"/>
                <w:kern w:val="0"/>
                <w:sz w:val="18"/>
                <w:szCs w:val="18"/>
              </w:rPr>
              <w:t>206.20</w:t>
            </w:r>
          </w:p>
        </w:tc>
        <w:tc>
          <w:tcPr>
            <w:tcW w:w="432" w:type="pct"/>
            <w:vAlign w:val="center"/>
          </w:tcPr>
          <w:p w14:paraId="16458895">
            <w:pPr>
              <w:spacing w:line="300" w:lineRule="auto"/>
              <w:jc w:val="center"/>
              <w:rPr>
                <w:bCs/>
                <w:color w:val="000000"/>
                <w:sz w:val="18"/>
                <w:szCs w:val="18"/>
              </w:rPr>
            </w:pPr>
            <w:r>
              <w:rPr>
                <w:bCs/>
                <w:color w:val="000000"/>
                <w:kern w:val="0"/>
                <w:sz w:val="18"/>
                <w:szCs w:val="18"/>
              </w:rPr>
              <w:t>231.60</w:t>
            </w:r>
          </w:p>
        </w:tc>
        <w:tc>
          <w:tcPr>
            <w:tcW w:w="432" w:type="pct"/>
            <w:vAlign w:val="center"/>
          </w:tcPr>
          <w:p w14:paraId="3CBEC604">
            <w:pPr>
              <w:spacing w:line="300" w:lineRule="auto"/>
              <w:jc w:val="center"/>
              <w:rPr>
                <w:bCs/>
                <w:color w:val="000000"/>
                <w:sz w:val="18"/>
                <w:szCs w:val="18"/>
              </w:rPr>
            </w:pPr>
            <w:r>
              <w:rPr>
                <w:bCs/>
                <w:color w:val="000000"/>
                <w:kern w:val="0"/>
                <w:sz w:val="18"/>
                <w:szCs w:val="18"/>
              </w:rPr>
              <w:t>228.61</w:t>
            </w:r>
          </w:p>
        </w:tc>
        <w:tc>
          <w:tcPr>
            <w:tcW w:w="432" w:type="pct"/>
            <w:vAlign w:val="center"/>
          </w:tcPr>
          <w:p w14:paraId="4C781595">
            <w:pPr>
              <w:spacing w:line="300" w:lineRule="auto"/>
              <w:jc w:val="center"/>
              <w:rPr>
                <w:bCs/>
                <w:color w:val="000000"/>
                <w:sz w:val="18"/>
                <w:szCs w:val="18"/>
              </w:rPr>
            </w:pPr>
            <w:r>
              <w:rPr>
                <w:bCs/>
                <w:color w:val="000000"/>
                <w:kern w:val="0"/>
                <w:sz w:val="18"/>
                <w:szCs w:val="18"/>
              </w:rPr>
              <w:t>214.43</w:t>
            </w:r>
          </w:p>
        </w:tc>
        <w:tc>
          <w:tcPr>
            <w:tcW w:w="432" w:type="pct"/>
            <w:vAlign w:val="center"/>
          </w:tcPr>
          <w:p w14:paraId="07697C27">
            <w:pPr>
              <w:spacing w:line="300" w:lineRule="auto"/>
              <w:jc w:val="center"/>
              <w:rPr>
                <w:bCs/>
                <w:color w:val="000000"/>
                <w:sz w:val="18"/>
                <w:szCs w:val="18"/>
              </w:rPr>
            </w:pPr>
            <w:r>
              <w:rPr>
                <w:bCs/>
                <w:color w:val="000000"/>
                <w:kern w:val="0"/>
                <w:sz w:val="18"/>
                <w:szCs w:val="18"/>
              </w:rPr>
              <w:t>285.21</w:t>
            </w:r>
          </w:p>
        </w:tc>
        <w:tc>
          <w:tcPr>
            <w:tcW w:w="417" w:type="pct"/>
            <w:vAlign w:val="center"/>
          </w:tcPr>
          <w:p w14:paraId="623E4F4F">
            <w:pPr>
              <w:spacing w:line="300" w:lineRule="auto"/>
              <w:jc w:val="center"/>
              <w:rPr>
                <w:bCs/>
                <w:color w:val="000000"/>
                <w:sz w:val="18"/>
                <w:szCs w:val="18"/>
              </w:rPr>
            </w:pPr>
            <w:r>
              <w:rPr>
                <w:bCs/>
                <w:color w:val="000000"/>
                <w:kern w:val="0"/>
                <w:sz w:val="18"/>
                <w:szCs w:val="18"/>
              </w:rPr>
              <w:t>257.61</w:t>
            </w:r>
          </w:p>
        </w:tc>
        <w:tc>
          <w:tcPr>
            <w:tcW w:w="417" w:type="pct"/>
            <w:vAlign w:val="center"/>
          </w:tcPr>
          <w:p w14:paraId="674F7FFB">
            <w:pPr>
              <w:spacing w:line="300" w:lineRule="auto"/>
              <w:jc w:val="center"/>
              <w:rPr>
                <w:bCs/>
                <w:color w:val="000000"/>
                <w:kern w:val="0"/>
                <w:sz w:val="18"/>
                <w:szCs w:val="18"/>
              </w:rPr>
            </w:pPr>
            <w:r>
              <w:rPr>
                <w:bCs/>
                <w:color w:val="000000"/>
                <w:kern w:val="0"/>
                <w:sz w:val="18"/>
                <w:szCs w:val="18"/>
              </w:rPr>
              <w:t>193.69</w:t>
            </w:r>
          </w:p>
        </w:tc>
        <w:tc>
          <w:tcPr>
            <w:tcW w:w="417" w:type="pct"/>
            <w:vAlign w:val="center"/>
          </w:tcPr>
          <w:p w14:paraId="3DFACD03">
            <w:pPr>
              <w:spacing w:line="300" w:lineRule="auto"/>
              <w:jc w:val="center"/>
              <w:rPr>
                <w:bCs/>
                <w:color w:val="000000"/>
                <w:kern w:val="0"/>
                <w:sz w:val="18"/>
                <w:szCs w:val="18"/>
              </w:rPr>
            </w:pPr>
            <w:r>
              <w:rPr>
                <w:bCs/>
                <w:color w:val="000000"/>
                <w:kern w:val="0"/>
                <w:sz w:val="18"/>
                <w:szCs w:val="18"/>
              </w:rPr>
              <w:t>202.03</w:t>
            </w:r>
          </w:p>
        </w:tc>
      </w:tr>
    </w:tbl>
    <w:p w14:paraId="3057A24A">
      <w:pPr>
        <w:spacing w:before="156" w:beforeLines="50" w:line="360" w:lineRule="auto"/>
        <w:rPr>
          <w:rFonts w:ascii="黑体" w:eastAsia="黑体"/>
          <w:bCs/>
          <w:color w:val="000000"/>
          <w:szCs w:val="21"/>
        </w:rPr>
      </w:pPr>
      <w:r>
        <w:rPr>
          <w:rFonts w:hint="eastAsia" w:ascii="黑体" w:eastAsia="黑体"/>
          <w:bCs/>
          <w:color w:val="000000"/>
          <w:szCs w:val="21"/>
        </w:rPr>
        <w:t>7  样品</w:t>
      </w:r>
    </w:p>
    <w:p w14:paraId="30F4FEE4">
      <w:pPr>
        <w:rPr>
          <w:rFonts w:hint="eastAsia" w:hAnsi="宋体"/>
          <w:szCs w:val="21"/>
        </w:rPr>
      </w:pPr>
      <w:r>
        <w:rPr>
          <w:rFonts w:hint="eastAsia" w:hAnsi="宋体"/>
          <w:szCs w:val="21"/>
        </w:rPr>
        <w:t xml:space="preserve">7.1  </w:t>
      </w:r>
      <w:r>
        <w:rPr>
          <w:szCs w:val="21"/>
        </w:rPr>
        <w:t>样品粒度应不大于</w:t>
      </w:r>
      <w:r>
        <w:rPr>
          <w:rFonts w:eastAsiaTheme="minorEastAsia"/>
          <w:szCs w:val="21"/>
        </w:rPr>
        <w:t xml:space="preserve">100 </w:t>
      </w:r>
      <w:r>
        <w:rPr>
          <w:szCs w:val="21"/>
        </w:rPr>
        <w:t>μm。</w:t>
      </w:r>
    </w:p>
    <w:p w14:paraId="1150A9B2">
      <w:pPr>
        <w:rPr>
          <w:color w:val="FF0000"/>
          <w:szCs w:val="21"/>
        </w:rPr>
      </w:pPr>
      <w:r>
        <w:rPr>
          <w:rFonts w:hint="eastAsia" w:hAnsi="宋体"/>
          <w:szCs w:val="21"/>
        </w:rPr>
        <w:t xml:space="preserve">7.2 </w:t>
      </w:r>
      <w:r>
        <w:rPr>
          <w:rFonts w:hint="eastAsia" w:hAnsi="宋体"/>
          <w:color w:val="auto"/>
          <w:szCs w:val="21"/>
        </w:rPr>
        <w:t xml:space="preserve"> 样品应于</w:t>
      </w:r>
      <w:r>
        <w:rPr>
          <w:rFonts w:eastAsiaTheme="minorEastAsia"/>
          <w:color w:val="auto"/>
          <w:szCs w:val="21"/>
        </w:rPr>
        <w:t xml:space="preserve">100 </w:t>
      </w:r>
      <w:r>
        <w:rPr>
          <w:color w:val="auto"/>
          <w:szCs w:val="21"/>
        </w:rPr>
        <w:t>℃～</w:t>
      </w:r>
      <w:r>
        <w:rPr>
          <w:rFonts w:eastAsiaTheme="minorEastAsia"/>
          <w:color w:val="auto"/>
          <w:szCs w:val="21"/>
        </w:rPr>
        <w:t xml:space="preserve">105 </w:t>
      </w:r>
      <w:r>
        <w:rPr>
          <w:color w:val="auto"/>
          <w:szCs w:val="21"/>
        </w:rPr>
        <w:t>℃烘箱中干燥</w:t>
      </w:r>
      <w:r>
        <w:rPr>
          <w:rFonts w:eastAsiaTheme="minorEastAsia"/>
          <w:color w:val="auto"/>
          <w:szCs w:val="21"/>
        </w:rPr>
        <w:t xml:space="preserve">1 </w:t>
      </w:r>
      <w:r>
        <w:rPr>
          <w:color w:val="auto"/>
          <w:szCs w:val="21"/>
        </w:rPr>
        <w:t>h</w:t>
      </w:r>
      <w:r>
        <w:rPr>
          <w:rFonts w:hint="eastAsia" w:hAnsi="宋体"/>
          <w:color w:val="auto"/>
          <w:szCs w:val="21"/>
        </w:rPr>
        <w:t>，并置于干燥器中冷却至室温。</w:t>
      </w:r>
    </w:p>
    <w:p w14:paraId="288D09AC">
      <w:pPr>
        <w:spacing w:line="360" w:lineRule="auto"/>
        <w:rPr>
          <w:rFonts w:hint="eastAsia" w:ascii="黑体" w:hAnsi="黑体" w:eastAsia="黑体"/>
          <w:bCs/>
          <w:color w:val="000000"/>
          <w:szCs w:val="21"/>
        </w:rPr>
      </w:pPr>
      <w:r>
        <w:rPr>
          <w:rFonts w:hint="eastAsia" w:ascii="黑体" w:hAnsi="黑体" w:eastAsia="黑体"/>
          <w:bCs/>
          <w:color w:val="000000"/>
          <w:szCs w:val="21"/>
        </w:rPr>
        <w:t>8</w:t>
      </w:r>
      <w:r>
        <w:rPr>
          <w:rFonts w:ascii="黑体" w:hAnsi="黑体" w:eastAsia="黑体"/>
          <w:bCs/>
          <w:color w:val="000000"/>
          <w:szCs w:val="21"/>
        </w:rPr>
        <w:t xml:space="preserve">  </w:t>
      </w:r>
      <w:r>
        <w:rPr>
          <w:rFonts w:hint="eastAsia" w:ascii="黑体" w:hAnsi="黑体" w:eastAsia="黑体"/>
          <w:bCs/>
          <w:color w:val="000000"/>
          <w:szCs w:val="21"/>
        </w:rPr>
        <w:t>试验</w:t>
      </w:r>
      <w:r>
        <w:rPr>
          <w:rFonts w:ascii="黑体" w:hAnsi="黑体" w:eastAsia="黑体"/>
          <w:bCs/>
          <w:color w:val="000000"/>
          <w:szCs w:val="21"/>
        </w:rPr>
        <w:t>步骤</w:t>
      </w:r>
    </w:p>
    <w:p w14:paraId="4EBC9266">
      <w:pPr>
        <w:spacing w:line="360" w:lineRule="auto"/>
        <w:rPr>
          <w:rFonts w:ascii="黑体" w:eastAsia="黑体"/>
          <w:bCs/>
          <w:color w:val="000000"/>
          <w:szCs w:val="21"/>
        </w:rPr>
      </w:pPr>
      <w:r>
        <w:rPr>
          <w:rFonts w:hint="eastAsia" w:ascii="黑体" w:eastAsia="黑体"/>
          <w:bCs/>
          <w:color w:val="000000"/>
          <w:szCs w:val="21"/>
        </w:rPr>
        <w:t xml:space="preserve">8.1  </w:t>
      </w:r>
      <w:r>
        <w:rPr>
          <w:rFonts w:hint="eastAsia" w:ascii="黑体" w:hAnsi="宋体" w:eastAsia="黑体"/>
          <w:bCs/>
          <w:color w:val="000000"/>
          <w:szCs w:val="21"/>
        </w:rPr>
        <w:t>试料</w:t>
      </w:r>
    </w:p>
    <w:p w14:paraId="28F07C7B">
      <w:pPr>
        <w:adjustRightInd w:val="0"/>
        <w:snapToGrid w:val="0"/>
        <w:spacing w:before="50" w:after="50"/>
        <w:ind w:firstLine="444" w:firstLineChars="200"/>
        <w:rPr>
          <w:rFonts w:hint="eastAsia" w:ascii="宋体" w:hAnsi="宋体"/>
          <w:spacing w:val="6"/>
        </w:rPr>
      </w:pPr>
      <w:r>
        <w:rPr>
          <w:spacing w:val="6"/>
        </w:rPr>
        <w:t>称取0.10g样品（7），精确至0.0001</w:t>
      </w:r>
      <w:r>
        <w:rPr>
          <w:rFonts w:eastAsiaTheme="minorEastAsia"/>
          <w:spacing w:val="6"/>
        </w:rPr>
        <w:t>g</w:t>
      </w:r>
      <w:r>
        <w:rPr>
          <w:rFonts w:ascii="宋体" w:hAnsi="宋体"/>
          <w:spacing w:val="6"/>
        </w:rPr>
        <w:t>。</w:t>
      </w:r>
    </w:p>
    <w:p w14:paraId="5DA3FD48">
      <w:pPr>
        <w:widowControl/>
        <w:spacing w:before="156" w:beforeLines="50" w:after="156" w:afterLines="50"/>
        <w:rPr>
          <w:rFonts w:ascii="黑体" w:eastAsia="黑体"/>
          <w:bCs/>
          <w:szCs w:val="21"/>
        </w:rPr>
      </w:pPr>
      <w:r>
        <w:rPr>
          <w:rFonts w:hint="eastAsia" w:ascii="黑体" w:eastAsia="黑体"/>
          <w:bCs/>
          <w:color w:val="000000"/>
          <w:szCs w:val="21"/>
        </w:rPr>
        <w:t xml:space="preserve">8.2  </w:t>
      </w:r>
      <w:r>
        <w:rPr>
          <w:rFonts w:hint="eastAsia" w:ascii="黑体" w:eastAsia="黑体"/>
          <w:bCs/>
          <w:szCs w:val="21"/>
        </w:rPr>
        <w:t>平行试验</w:t>
      </w:r>
    </w:p>
    <w:p w14:paraId="60125B05">
      <w:pPr>
        <w:adjustRightInd w:val="0"/>
        <w:snapToGrid w:val="0"/>
        <w:spacing w:before="50" w:after="50"/>
        <w:ind w:firstLine="444" w:firstLineChars="200"/>
        <w:rPr>
          <w:spacing w:val="6"/>
        </w:rPr>
      </w:pPr>
      <w:r>
        <w:rPr>
          <w:rFonts w:hint="eastAsia"/>
          <w:spacing w:val="6"/>
        </w:rPr>
        <w:t>平行做两份试验</w:t>
      </w:r>
      <w:r>
        <w:rPr>
          <w:rFonts w:hint="eastAsia"/>
          <w:spacing w:val="6"/>
          <w:lang w:eastAsia="zh-CN"/>
        </w:rPr>
        <w:t>，</w:t>
      </w:r>
      <w:r>
        <w:rPr>
          <w:rFonts w:hint="eastAsia"/>
          <w:spacing w:val="6"/>
          <w:lang w:val="en-US" w:eastAsia="zh-CN"/>
        </w:rPr>
        <w:t>取其平均值</w:t>
      </w:r>
      <w:r>
        <w:rPr>
          <w:rFonts w:hint="eastAsia"/>
          <w:spacing w:val="6"/>
        </w:rPr>
        <w:t>。</w:t>
      </w:r>
    </w:p>
    <w:p w14:paraId="0406910C">
      <w:pPr>
        <w:spacing w:line="360" w:lineRule="auto"/>
        <w:rPr>
          <w:rFonts w:ascii="黑体" w:eastAsia="黑体"/>
          <w:bCs/>
          <w:color w:val="000000"/>
          <w:szCs w:val="21"/>
        </w:rPr>
      </w:pPr>
      <w:r>
        <w:rPr>
          <w:rFonts w:hint="eastAsia" w:ascii="黑体" w:eastAsia="黑体"/>
          <w:bCs/>
          <w:color w:val="000000"/>
          <w:szCs w:val="21"/>
        </w:rPr>
        <w:t>8.3  空白试验</w:t>
      </w:r>
    </w:p>
    <w:p w14:paraId="326DBE4F">
      <w:pPr>
        <w:adjustRightInd w:val="0"/>
        <w:snapToGrid w:val="0"/>
        <w:spacing w:before="50" w:after="50"/>
        <w:ind w:firstLine="444" w:firstLineChars="200"/>
        <w:rPr>
          <w:spacing w:val="6"/>
        </w:rPr>
      </w:pPr>
      <w:r>
        <w:rPr>
          <w:spacing w:val="6"/>
        </w:rPr>
        <w:t>随同试料做空白试验。</w:t>
      </w:r>
    </w:p>
    <w:p w14:paraId="492CD1B8">
      <w:pPr>
        <w:spacing w:line="360" w:lineRule="auto"/>
        <w:rPr>
          <w:rFonts w:ascii="黑体" w:eastAsia="黑体"/>
          <w:bCs/>
          <w:color w:val="000000"/>
          <w:szCs w:val="21"/>
        </w:rPr>
      </w:pPr>
      <w:r>
        <w:rPr>
          <w:rFonts w:hint="eastAsia" w:ascii="黑体" w:eastAsia="黑体"/>
          <w:bCs/>
          <w:color w:val="000000"/>
          <w:szCs w:val="21"/>
        </w:rPr>
        <w:t>8.4  测定</w:t>
      </w:r>
    </w:p>
    <w:p w14:paraId="648CE6B1">
      <w:pPr>
        <w:rPr>
          <w:spacing w:val="6"/>
        </w:rPr>
      </w:pPr>
      <w:r>
        <w:rPr>
          <w:rFonts w:hint="eastAsia" w:ascii="黑体" w:hAnsi="黑体" w:eastAsia="黑体"/>
          <w:spacing w:val="6"/>
        </w:rPr>
        <w:t>8</w:t>
      </w:r>
      <w:r>
        <w:rPr>
          <w:rFonts w:ascii="黑体" w:hAnsi="黑体" w:eastAsia="黑体"/>
          <w:spacing w:val="6"/>
        </w:rPr>
        <w:t>.4.1</w:t>
      </w:r>
      <w:r>
        <w:rPr>
          <w:spacing w:val="6"/>
        </w:rPr>
        <w:t xml:space="preserve">  将试料（8.1）置于</w:t>
      </w:r>
      <w:r>
        <w:rPr>
          <w:rFonts w:hint="eastAsia"/>
          <w:spacing w:val="6"/>
        </w:rPr>
        <w:t>2</w:t>
      </w:r>
      <w:r>
        <w:rPr>
          <w:spacing w:val="6"/>
        </w:rPr>
        <w:t>00</w:t>
      </w:r>
      <w:r>
        <w:t>mL</w:t>
      </w:r>
      <w:r>
        <w:rPr>
          <w:spacing w:val="6"/>
        </w:rPr>
        <w:t>聚四氟乙稀烧杯中，用少量水润湿，</w:t>
      </w:r>
      <w:bookmarkStart w:id="15" w:name="_Hlk174480378"/>
      <w:r>
        <w:rPr>
          <w:spacing w:val="6"/>
        </w:rPr>
        <w:t>依次加入</w:t>
      </w:r>
      <w:r>
        <w:rPr>
          <w:rFonts w:hint="eastAsia"/>
          <w:spacing w:val="6"/>
        </w:rPr>
        <w:t xml:space="preserve">5 </w:t>
      </w:r>
      <w:r>
        <w:t>mL</w:t>
      </w:r>
      <w:r>
        <w:rPr>
          <w:spacing w:val="6"/>
        </w:rPr>
        <w:t>硝酸</w:t>
      </w:r>
      <w:bookmarkEnd w:id="15"/>
      <w:r>
        <w:rPr>
          <w:spacing w:val="6"/>
        </w:rPr>
        <w:t>（5.</w:t>
      </w:r>
      <w:r>
        <w:rPr>
          <w:rFonts w:hint="eastAsia"/>
          <w:spacing w:val="6"/>
          <w:lang w:val="en-US" w:eastAsia="zh-CN"/>
        </w:rPr>
        <w:t>3</w:t>
      </w:r>
      <w:r>
        <w:rPr>
          <w:spacing w:val="6"/>
        </w:rPr>
        <w:t>）</w:t>
      </w:r>
      <w:r>
        <w:rPr>
          <w:rFonts w:hint="eastAsia"/>
          <w:spacing w:val="6"/>
        </w:rPr>
        <w:t>、</w:t>
      </w:r>
      <w:r>
        <w:rPr>
          <w:spacing w:val="6"/>
        </w:rPr>
        <w:t>10</w:t>
      </w:r>
      <w:r>
        <w:rPr>
          <w:rFonts w:hint="eastAsia"/>
          <w:spacing w:val="6"/>
          <w:lang w:val="en-US" w:eastAsia="zh-CN"/>
        </w:rPr>
        <w:t xml:space="preserve"> </w:t>
      </w:r>
      <w:r>
        <w:t>mL</w:t>
      </w:r>
      <w:r>
        <w:rPr>
          <w:spacing w:val="6"/>
        </w:rPr>
        <w:t>盐酸（5.</w:t>
      </w:r>
      <w:r>
        <w:rPr>
          <w:rFonts w:hint="eastAsia"/>
          <w:spacing w:val="6"/>
          <w:lang w:val="en-US" w:eastAsia="zh-CN"/>
        </w:rPr>
        <w:t>2</w:t>
      </w:r>
      <w:r>
        <w:rPr>
          <w:spacing w:val="6"/>
        </w:rPr>
        <w:t>），</w:t>
      </w:r>
      <w:r>
        <w:rPr>
          <w:rFonts w:hint="eastAsia"/>
          <w:spacing w:val="6"/>
        </w:rPr>
        <w:t>5</w:t>
      </w:r>
      <w:r>
        <w:rPr>
          <w:rFonts w:hint="eastAsia"/>
          <w:spacing w:val="6"/>
          <w:lang w:val="en-US" w:eastAsia="zh-CN"/>
        </w:rPr>
        <w:t xml:space="preserve"> </w:t>
      </w:r>
      <w:r>
        <w:t>mL</w:t>
      </w:r>
      <w:r>
        <w:rPr>
          <w:spacing w:val="6"/>
        </w:rPr>
        <w:t>氢氟酸（5.</w:t>
      </w:r>
      <w:r>
        <w:rPr>
          <w:rFonts w:hint="eastAsia"/>
          <w:spacing w:val="6"/>
          <w:lang w:val="en-US" w:eastAsia="zh-CN"/>
        </w:rPr>
        <w:t>4</w:t>
      </w:r>
      <w:r>
        <w:rPr>
          <w:spacing w:val="6"/>
        </w:rPr>
        <w:t>）、</w:t>
      </w:r>
      <w:r>
        <w:rPr>
          <w:rFonts w:hint="eastAsia"/>
          <w:spacing w:val="6"/>
        </w:rPr>
        <w:t>3</w:t>
      </w:r>
      <w:r>
        <w:rPr>
          <w:spacing w:val="6"/>
        </w:rPr>
        <w:t xml:space="preserve"> </w:t>
      </w:r>
      <w:r>
        <w:t>mL</w:t>
      </w:r>
      <w:r>
        <w:rPr>
          <w:spacing w:val="6"/>
        </w:rPr>
        <w:t>高氯酸（5.</w:t>
      </w:r>
      <w:r>
        <w:rPr>
          <w:rFonts w:hint="eastAsia"/>
          <w:spacing w:val="6"/>
          <w:lang w:val="en-US" w:eastAsia="zh-CN"/>
        </w:rPr>
        <w:t>5</w:t>
      </w:r>
      <w:r>
        <w:rPr>
          <w:spacing w:val="6"/>
        </w:rPr>
        <w:t>），盖上聚四氟乙烯</w:t>
      </w:r>
      <w:r>
        <w:rPr>
          <w:rFonts w:hint="eastAsia"/>
          <w:spacing w:val="6"/>
          <w:lang w:eastAsia="zh-CN"/>
        </w:rPr>
        <w:t>表面皿</w:t>
      </w:r>
      <w:r>
        <w:rPr>
          <w:rFonts w:hint="eastAsia"/>
          <w:spacing w:val="6"/>
        </w:rPr>
        <w:t>，</w:t>
      </w:r>
      <w:r>
        <w:rPr>
          <w:spacing w:val="6"/>
        </w:rPr>
        <w:t>加热至</w:t>
      </w:r>
      <w:r>
        <w:rPr>
          <w:rFonts w:hint="eastAsia"/>
          <w:spacing w:val="6"/>
          <w:lang w:val="en-US" w:eastAsia="zh-CN"/>
        </w:rPr>
        <w:t>试料</w:t>
      </w:r>
      <w:r>
        <w:rPr>
          <w:spacing w:val="6"/>
        </w:rPr>
        <w:t>溶解完全，</w:t>
      </w:r>
      <w:r>
        <w:t>并蒸至近干，取下稍冷。</w:t>
      </w:r>
      <w:r>
        <w:rPr>
          <w:spacing w:val="6"/>
        </w:rPr>
        <w:t>用水吹洗杯壁及</w:t>
      </w:r>
      <w:r>
        <w:rPr>
          <w:rFonts w:hint="eastAsia"/>
          <w:spacing w:val="6"/>
          <w:lang w:eastAsia="zh-CN"/>
        </w:rPr>
        <w:t>表面皿</w:t>
      </w:r>
      <w:r>
        <w:rPr>
          <w:spacing w:val="6"/>
        </w:rPr>
        <w:t>，加入</w:t>
      </w:r>
      <w:r>
        <w:rPr>
          <w:rFonts w:hint="eastAsia"/>
          <w:spacing w:val="6"/>
        </w:rPr>
        <w:t>10</w:t>
      </w:r>
      <w:r>
        <w:rPr>
          <w:spacing w:val="6"/>
        </w:rPr>
        <w:t xml:space="preserve"> </w:t>
      </w:r>
      <w:r>
        <w:t>mL</w:t>
      </w:r>
      <w:r>
        <w:rPr>
          <w:rFonts w:hint="eastAsia"/>
          <w:spacing w:val="6"/>
        </w:rPr>
        <w:t>盐酸</w:t>
      </w:r>
      <w:r>
        <w:rPr>
          <w:spacing w:val="6"/>
        </w:rPr>
        <w:t>(5.</w:t>
      </w:r>
      <w:r>
        <w:rPr>
          <w:rFonts w:hint="eastAsia"/>
          <w:spacing w:val="6"/>
          <w:lang w:val="en-US" w:eastAsia="zh-CN"/>
        </w:rPr>
        <w:t>6</w:t>
      </w:r>
      <w:r>
        <w:rPr>
          <w:spacing w:val="6"/>
        </w:rPr>
        <w:t>)，加热至盐类溶解，取下冷却至室温，移入</w:t>
      </w:r>
      <w:r>
        <w:rPr>
          <w:rFonts w:hint="eastAsia"/>
          <w:spacing w:val="6"/>
        </w:rPr>
        <w:t>10</w:t>
      </w:r>
      <w:r>
        <w:rPr>
          <w:spacing w:val="6"/>
        </w:rPr>
        <w:t xml:space="preserve">0 </w:t>
      </w:r>
      <w:r>
        <w:t>mL</w:t>
      </w:r>
      <w:r>
        <w:rPr>
          <w:spacing w:val="6"/>
        </w:rPr>
        <w:t>容量瓶中，用水稀释至刻度，混匀。</w:t>
      </w:r>
    </w:p>
    <w:p w14:paraId="24284A46">
      <w:pPr>
        <w:rPr>
          <w:spacing w:val="6"/>
        </w:rPr>
      </w:pPr>
      <w:r>
        <w:rPr>
          <w:rFonts w:hint="eastAsia" w:ascii="黑体" w:hAnsi="黑体" w:eastAsia="黑体"/>
          <w:spacing w:val="6"/>
        </w:rPr>
        <w:t>8.4.2</w:t>
      </w:r>
      <w:r>
        <w:rPr>
          <w:rFonts w:hint="eastAsia"/>
          <w:spacing w:val="6"/>
        </w:rPr>
        <w:t xml:space="preserve">  </w:t>
      </w:r>
      <w:r>
        <w:rPr>
          <w:spacing w:val="6"/>
        </w:rPr>
        <w:t>按表3分取试液（</w:t>
      </w:r>
      <w:r>
        <w:rPr>
          <w:rFonts w:hint="eastAsia"/>
          <w:spacing w:val="6"/>
        </w:rPr>
        <w:t>8</w:t>
      </w:r>
      <w:r>
        <w:rPr>
          <w:spacing w:val="6"/>
        </w:rPr>
        <w:t xml:space="preserve">.4.1）于100 </w:t>
      </w:r>
      <w:r>
        <w:t>mL</w:t>
      </w:r>
      <w:r>
        <w:rPr>
          <w:spacing w:val="6"/>
        </w:rPr>
        <w:t xml:space="preserve">容量瓶中，补加10 </w:t>
      </w:r>
      <w:r>
        <w:t>mL</w:t>
      </w:r>
      <w:r>
        <w:rPr>
          <w:rFonts w:hint="eastAsia"/>
          <w:spacing w:val="6"/>
        </w:rPr>
        <w:t>盐</w:t>
      </w:r>
      <w:r>
        <w:rPr>
          <w:spacing w:val="6"/>
        </w:rPr>
        <w:t>酸（5.</w:t>
      </w:r>
      <w:r>
        <w:rPr>
          <w:rFonts w:hint="eastAsia"/>
          <w:spacing w:val="6"/>
          <w:lang w:val="en-US" w:eastAsia="zh-CN"/>
        </w:rPr>
        <w:t>6</w:t>
      </w:r>
      <w:r>
        <w:rPr>
          <w:spacing w:val="6"/>
        </w:rPr>
        <w:t>），用水稀释至刻度，混匀。</w:t>
      </w:r>
    </w:p>
    <w:p w14:paraId="253EA3B5">
      <w:pPr>
        <w:spacing w:line="300" w:lineRule="auto"/>
        <w:jc w:val="center"/>
        <w:rPr>
          <w:rFonts w:eastAsia="黑体"/>
          <w:bCs/>
          <w:color w:val="000000"/>
          <w:szCs w:val="21"/>
        </w:rPr>
      </w:pPr>
      <w:r>
        <w:rPr>
          <w:rFonts w:eastAsia="黑体"/>
          <w:bCs/>
          <w:color w:val="000000"/>
          <w:szCs w:val="21"/>
        </w:rPr>
        <w:t>表3</w:t>
      </w:r>
      <w:r>
        <w:rPr>
          <w:rFonts w:hint="eastAsia" w:eastAsia="黑体"/>
          <w:bCs/>
          <w:color w:val="000000"/>
          <w:szCs w:val="21"/>
        </w:rPr>
        <w:t xml:space="preserve"> </w:t>
      </w:r>
      <w:r>
        <w:rPr>
          <w:rFonts w:eastAsia="黑体"/>
          <w:bCs/>
          <w:color w:val="000000"/>
          <w:szCs w:val="21"/>
        </w:rPr>
        <w:t>分取体积</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642"/>
      </w:tblGrid>
      <w:tr w14:paraId="046D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vAlign w:val="center"/>
          </w:tcPr>
          <w:p w14:paraId="293B720B">
            <w:pPr>
              <w:pStyle w:val="57"/>
              <w:widowControl w:val="0"/>
              <w:spacing w:line="300" w:lineRule="auto"/>
              <w:ind w:firstLine="0" w:firstLineChars="0"/>
              <w:jc w:val="center"/>
              <w:rPr>
                <w:rFonts w:hint="eastAsia" w:ascii="Times New Roman" w:hAnsi="Times New Roman" w:eastAsia="宋体" w:cs="Times New Roman"/>
                <w:color w:val="auto"/>
                <w:spacing w:val="6"/>
                <w:kern w:val="2"/>
                <w:sz w:val="21"/>
                <w:szCs w:val="20"/>
                <w:lang w:val="en-US" w:eastAsia="zh-CN" w:bidi="ar-SA"/>
              </w:rPr>
            </w:pPr>
            <w:r>
              <w:rPr>
                <w:rFonts w:ascii="Times New Roman" w:hAnsi="Times New Roman" w:cs="Times New Roman"/>
                <w:i/>
                <w:strike/>
                <w:dstrike w:val="0"/>
                <w:sz w:val="18"/>
                <w:szCs w:val="18"/>
              </w:rPr>
              <w:t>w</w:t>
            </w:r>
            <w:r>
              <w:rPr>
                <w:rFonts w:ascii="Times New Roman" w:hAnsi="Times New Roman" w:cs="Times New Roman"/>
                <w:strike/>
                <w:dstrike w:val="0"/>
                <w:sz w:val="18"/>
                <w:szCs w:val="18"/>
                <w:vertAlign w:val="subscript"/>
              </w:rPr>
              <w:t>x</w:t>
            </w:r>
            <w:r>
              <w:rPr>
                <w:rFonts w:hint="eastAsia" w:ascii="Times New Roman" w:hAnsi="Times New Roman" w:eastAsia="宋体" w:cs="Times New Roman"/>
                <w:color w:val="auto"/>
                <w:spacing w:val="6"/>
                <w:kern w:val="2"/>
                <w:sz w:val="21"/>
                <w:szCs w:val="20"/>
                <w:lang w:val="en-US" w:eastAsia="zh-CN" w:bidi="ar-SA"/>
              </w:rPr>
              <w:t>待测元素的质量分数</w:t>
            </w:r>
          </w:p>
          <w:p w14:paraId="590A25C5">
            <w:pPr>
              <w:pStyle w:val="57"/>
              <w:widowControl w:val="0"/>
              <w:spacing w:line="30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2425" w:type="pct"/>
            <w:vAlign w:val="center"/>
          </w:tcPr>
          <w:p w14:paraId="21B36D31">
            <w:pPr>
              <w:pStyle w:val="57"/>
              <w:widowControl w:val="0"/>
              <w:spacing w:line="30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分取体积</w:t>
            </w:r>
          </w:p>
          <w:p w14:paraId="45FA3BCD">
            <w:pPr>
              <w:pStyle w:val="57"/>
              <w:widowControl w:val="0"/>
              <w:spacing w:line="30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mL</w:t>
            </w:r>
          </w:p>
        </w:tc>
      </w:tr>
      <w:tr w14:paraId="018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vAlign w:val="center"/>
          </w:tcPr>
          <w:p w14:paraId="74581993">
            <w:pPr>
              <w:adjustRightInd w:val="0"/>
              <w:snapToGrid w:val="0"/>
              <w:spacing w:before="50" w:after="50" w:line="300" w:lineRule="auto"/>
              <w:jc w:val="center"/>
              <w:rPr>
                <w:spacing w:val="6"/>
                <w:sz w:val="18"/>
                <w:szCs w:val="18"/>
              </w:rPr>
            </w:pPr>
            <w:r>
              <w:rPr>
                <w:spacing w:val="6"/>
                <w:sz w:val="18"/>
                <w:szCs w:val="18"/>
              </w:rPr>
              <w:t>0.0050～1.00</w:t>
            </w:r>
          </w:p>
        </w:tc>
        <w:tc>
          <w:tcPr>
            <w:tcW w:w="2425" w:type="pct"/>
            <w:vAlign w:val="center"/>
          </w:tcPr>
          <w:p w14:paraId="430E84D3">
            <w:pPr>
              <w:adjustRightInd w:val="0"/>
              <w:snapToGrid w:val="0"/>
              <w:spacing w:before="50" w:after="50" w:line="300" w:lineRule="auto"/>
              <w:jc w:val="center"/>
              <w:rPr>
                <w:rFonts w:hint="eastAsia"/>
                <w:spacing w:val="6"/>
                <w:sz w:val="18"/>
                <w:szCs w:val="18"/>
              </w:rPr>
            </w:pPr>
            <w:r>
              <w:rPr>
                <w:rFonts w:hint="eastAsia" w:ascii="Times New Roman" w:hAnsi="Times New Roman" w:cs="Times New Roman"/>
                <w:spacing w:val="6"/>
                <w:sz w:val="18"/>
                <w:szCs w:val="18"/>
                <w:lang w:eastAsia="zh-CN"/>
              </w:rPr>
              <w:t>—</w:t>
            </w:r>
          </w:p>
        </w:tc>
      </w:tr>
      <w:tr w14:paraId="3CC8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4" w:type="pct"/>
            <w:vAlign w:val="center"/>
          </w:tcPr>
          <w:p w14:paraId="14411F34">
            <w:pPr>
              <w:adjustRightInd w:val="0"/>
              <w:snapToGrid w:val="0"/>
              <w:spacing w:before="50" w:after="50" w:line="300" w:lineRule="auto"/>
              <w:jc w:val="center"/>
              <w:rPr>
                <w:spacing w:val="6"/>
                <w:sz w:val="18"/>
                <w:szCs w:val="18"/>
              </w:rPr>
            </w:pPr>
            <w:r>
              <w:rPr>
                <w:spacing w:val="6"/>
                <w:sz w:val="18"/>
                <w:szCs w:val="18"/>
              </w:rPr>
              <w:t>&gt;1.00～</w:t>
            </w:r>
            <w:r>
              <w:rPr>
                <w:rFonts w:hint="eastAsia"/>
                <w:spacing w:val="6"/>
                <w:sz w:val="18"/>
                <w:szCs w:val="18"/>
              </w:rPr>
              <w:t>8</w:t>
            </w:r>
            <w:r>
              <w:rPr>
                <w:spacing w:val="6"/>
                <w:sz w:val="18"/>
                <w:szCs w:val="18"/>
              </w:rPr>
              <w:t>.00</w:t>
            </w:r>
          </w:p>
        </w:tc>
        <w:tc>
          <w:tcPr>
            <w:tcW w:w="2425" w:type="pct"/>
            <w:vAlign w:val="center"/>
          </w:tcPr>
          <w:p w14:paraId="24C1BEE4">
            <w:pPr>
              <w:pStyle w:val="57"/>
              <w:widowControl w:val="0"/>
              <w:spacing w:line="300" w:lineRule="auto"/>
              <w:ind w:firstLine="0" w:firstLineChars="0"/>
              <w:jc w:val="center"/>
              <w:rPr>
                <w:rFonts w:ascii="Times New Roman" w:hAnsi="Times New Roman" w:cs="Times New Roman"/>
                <w:spacing w:val="6"/>
                <w:sz w:val="18"/>
                <w:szCs w:val="18"/>
              </w:rPr>
            </w:pPr>
            <w:r>
              <w:rPr>
                <w:rFonts w:ascii="Times New Roman" w:hAnsi="Times New Roman" w:cs="Times New Roman"/>
                <w:spacing w:val="6"/>
                <w:sz w:val="18"/>
                <w:szCs w:val="18"/>
              </w:rPr>
              <w:t>10.00</w:t>
            </w:r>
          </w:p>
        </w:tc>
      </w:tr>
    </w:tbl>
    <w:p w14:paraId="259ABE9D">
      <w:pPr>
        <w:jc w:val="left"/>
      </w:pPr>
      <w:r>
        <w:rPr>
          <w:rFonts w:hint="eastAsia" w:ascii="黑体" w:hAnsi="黑体" w:eastAsia="黑体"/>
          <w:spacing w:val="6"/>
        </w:rPr>
        <w:t>8</w:t>
      </w:r>
      <w:r>
        <w:rPr>
          <w:rFonts w:ascii="黑体" w:hAnsi="黑体" w:eastAsia="黑体"/>
          <w:spacing w:val="6"/>
        </w:rPr>
        <w:t>.4.</w:t>
      </w:r>
      <w:r>
        <w:rPr>
          <w:rFonts w:hint="eastAsia" w:ascii="黑体" w:hAnsi="黑体" w:eastAsia="黑体"/>
          <w:spacing w:val="6"/>
        </w:rPr>
        <w:t>3</w:t>
      </w:r>
      <w:r>
        <w:rPr>
          <w:spacing w:val="6"/>
        </w:rPr>
        <w:t xml:space="preserve">  </w:t>
      </w:r>
      <w:r>
        <w:rPr>
          <w:szCs w:val="21"/>
        </w:rPr>
        <w:t>于电感耦合等离子体原子发射光谱仪上，在选定的各元素的波长处，与标准溶液系列同时测定试液</w:t>
      </w:r>
      <w:r>
        <w:rPr>
          <w:spacing w:val="6"/>
        </w:rPr>
        <w:t>（</w:t>
      </w:r>
      <w:r>
        <w:rPr>
          <w:rFonts w:eastAsiaTheme="minorEastAsia"/>
          <w:spacing w:val="6"/>
        </w:rPr>
        <w:t>8.4.2</w:t>
      </w:r>
      <w:r>
        <w:rPr>
          <w:spacing w:val="6"/>
        </w:rPr>
        <w:t>）及随同试料空白溶液</w:t>
      </w:r>
      <w:r>
        <w:rPr>
          <w:szCs w:val="21"/>
        </w:rPr>
        <w:t>中铜、铅、锌、镍、钴、镉、镁、锰、砷和钼的发射强度，由工作曲线计算出各</w:t>
      </w:r>
      <w:r>
        <w:rPr>
          <w:rFonts w:hint="eastAsia" w:ascii="宋体" w:hAnsi="宋体"/>
          <w:spacing w:val="6"/>
          <w:lang w:val="en-US" w:eastAsia="zh-CN"/>
        </w:rPr>
        <w:t>待</w:t>
      </w:r>
      <w:r>
        <w:rPr>
          <w:spacing w:val="6"/>
        </w:rPr>
        <w:t>测</w:t>
      </w:r>
      <w:r>
        <w:rPr>
          <w:szCs w:val="21"/>
        </w:rPr>
        <w:t>元素的质量浓</w:t>
      </w:r>
      <w:r>
        <w:t>度。</w:t>
      </w:r>
    </w:p>
    <w:p w14:paraId="7206100D">
      <w:pPr>
        <w:spacing w:line="360" w:lineRule="auto"/>
        <w:rPr>
          <w:rFonts w:ascii="黑体" w:eastAsia="黑体"/>
          <w:spacing w:val="6"/>
        </w:rPr>
      </w:pPr>
      <w:r>
        <w:rPr>
          <w:rFonts w:hint="eastAsia" w:ascii="黑体" w:hAnsi="黑体" w:eastAsia="黑体"/>
          <w:spacing w:val="6"/>
        </w:rPr>
        <w:t>8.5</w:t>
      </w:r>
      <w:r>
        <w:rPr>
          <w:rFonts w:hint="eastAsia" w:ascii="黑体" w:eastAsia="黑体"/>
          <w:spacing w:val="6"/>
        </w:rPr>
        <w:t xml:space="preserve">  工作曲线的绘制</w:t>
      </w:r>
    </w:p>
    <w:p w14:paraId="6320DBE4">
      <w:pPr>
        <w:rPr>
          <w:rFonts w:hint="eastAsia" w:ascii="宋体" w:hAnsi="宋体"/>
        </w:rPr>
      </w:pPr>
      <w:r>
        <w:rPr>
          <w:rFonts w:hint="eastAsia" w:ascii="黑体" w:hAnsi="宋体" w:eastAsia="黑体"/>
          <w:szCs w:val="21"/>
        </w:rPr>
        <w:t>8.5.1</w:t>
      </w:r>
      <w:r>
        <w:rPr>
          <w:rFonts w:ascii="宋体" w:hAnsi="宋体"/>
          <w:szCs w:val="21"/>
        </w:rPr>
        <w:t xml:space="preserve"> </w:t>
      </w:r>
      <w:r>
        <w:rPr>
          <w:rFonts w:hint="eastAsia" w:ascii="宋体" w:hAnsi="宋体"/>
        </w:rPr>
        <w:t>分别移取</w:t>
      </w:r>
      <w:r>
        <w:rPr>
          <w:rFonts w:hint="default" w:ascii="Times New Roman" w:hAnsi="Times New Roman"/>
        </w:rPr>
        <w:t>0 mL、0.</w:t>
      </w:r>
      <w:r>
        <w:rPr>
          <w:rFonts w:hint="default" w:ascii="Times New Roman" w:hAnsi="Times New Roman"/>
          <w:lang w:val="en-US" w:eastAsia="zh-CN"/>
        </w:rPr>
        <w:t>2</w:t>
      </w:r>
      <w:r>
        <w:rPr>
          <w:rFonts w:hint="default" w:ascii="Times New Roman" w:hAnsi="Times New Roman"/>
        </w:rPr>
        <w:t xml:space="preserve">0 </w:t>
      </w:r>
      <w:r>
        <w:t>mL</w:t>
      </w:r>
      <w:r>
        <w:rPr>
          <w:rFonts w:hint="default" w:ascii="Times New Roman" w:hAnsi="Times New Roman"/>
        </w:rPr>
        <w:t xml:space="preserve">、1.00 </w:t>
      </w:r>
      <w:r>
        <w:t>mL</w:t>
      </w:r>
      <w:r>
        <w:rPr>
          <w:rFonts w:hint="default" w:ascii="Times New Roman" w:hAnsi="Times New Roman"/>
        </w:rPr>
        <w:t xml:space="preserve">、2.00 </w:t>
      </w:r>
      <w:r>
        <w:t>mL</w:t>
      </w:r>
      <w:r>
        <w:rPr>
          <w:rFonts w:hint="default" w:ascii="Times New Roman" w:hAnsi="Times New Roman"/>
        </w:rPr>
        <w:t xml:space="preserve">、10.00 </w:t>
      </w:r>
      <w:r>
        <w:t>mL</w:t>
      </w:r>
      <w:r>
        <w:rPr>
          <w:rFonts w:hint="default" w:ascii="Times New Roman" w:hAnsi="Times New Roman"/>
        </w:rPr>
        <w:t xml:space="preserve">、20.00 </w:t>
      </w:r>
      <w:r>
        <w:t>mL</w:t>
      </w:r>
      <w:r>
        <w:rPr>
          <w:rFonts w:hint="default" w:ascii="Times New Roman" w:hAnsi="Times New Roman"/>
        </w:rPr>
        <w:t>混合标准溶液（5.</w:t>
      </w:r>
      <w:r>
        <w:rPr>
          <w:rFonts w:hint="eastAsia"/>
          <w:lang w:val="en-US" w:eastAsia="zh-CN"/>
        </w:rPr>
        <w:t>17</w:t>
      </w:r>
      <w:r>
        <w:rPr>
          <w:rFonts w:hint="default" w:ascii="Times New Roman" w:hAnsi="Times New Roman"/>
        </w:rPr>
        <w:t xml:space="preserve">）于一组100 </w:t>
      </w:r>
      <w:r>
        <w:t>mL</w:t>
      </w:r>
      <w:r>
        <w:rPr>
          <w:rFonts w:hint="default" w:ascii="Times New Roman" w:hAnsi="Times New Roman"/>
        </w:rPr>
        <w:t xml:space="preserve">容量瓶中，加入10 </w:t>
      </w:r>
      <w:r>
        <w:t>mL</w:t>
      </w:r>
      <w:r>
        <w:rPr>
          <w:rFonts w:hint="default" w:ascii="Times New Roman" w:hAnsi="Times New Roman"/>
        </w:rPr>
        <w:t>盐酸（5.</w:t>
      </w:r>
      <w:r>
        <w:rPr>
          <w:rFonts w:hint="eastAsia"/>
          <w:lang w:val="en-US" w:eastAsia="zh-CN"/>
        </w:rPr>
        <w:t>6</w:t>
      </w:r>
      <w:r>
        <w:rPr>
          <w:rFonts w:hint="default" w:ascii="Times New Roman" w:hAnsi="Times New Roman"/>
        </w:rPr>
        <w:t>），用</w:t>
      </w:r>
      <w:r>
        <w:rPr>
          <w:rFonts w:hint="eastAsia" w:ascii="宋体" w:hAnsi="宋体"/>
        </w:rPr>
        <w:t>水稀释至刻度，混匀。</w:t>
      </w:r>
    </w:p>
    <w:p w14:paraId="1C316DFE">
      <w:pPr>
        <w:rPr>
          <w:rFonts w:hint="eastAsia" w:ascii="宋体" w:hAnsi="宋体"/>
        </w:rPr>
      </w:pPr>
      <w:r>
        <w:rPr>
          <w:rFonts w:hint="eastAsia" w:ascii="黑体" w:hAnsi="宋体" w:eastAsia="黑体"/>
          <w:szCs w:val="21"/>
        </w:rPr>
        <w:t>8.5.2</w:t>
      </w:r>
      <w:r>
        <w:rPr>
          <w:rFonts w:ascii="宋体" w:hAnsi="宋体"/>
          <w:szCs w:val="21"/>
        </w:rPr>
        <w:t xml:space="preserve"> </w:t>
      </w:r>
      <w:r>
        <w:rPr>
          <w:rFonts w:ascii="宋体" w:hAnsi="宋体"/>
        </w:rPr>
        <w:t>于电感耦合等离子体原子发射光谱仪上，测定</w:t>
      </w:r>
      <w:r>
        <w:rPr>
          <w:rFonts w:hint="eastAsia" w:ascii="宋体" w:hAnsi="宋体"/>
        </w:rPr>
        <w:t>系列标准溶液中</w:t>
      </w:r>
      <w:r>
        <w:rPr>
          <w:rFonts w:ascii="宋体" w:hAnsi="宋体"/>
          <w:szCs w:val="21"/>
        </w:rPr>
        <w:t>铜、</w:t>
      </w:r>
      <w:r>
        <w:rPr>
          <w:rFonts w:hint="eastAsia" w:ascii="宋体" w:hAnsi="宋体"/>
          <w:szCs w:val="21"/>
        </w:rPr>
        <w:t>铅、锌、</w:t>
      </w:r>
      <w:r>
        <w:rPr>
          <w:rFonts w:ascii="宋体" w:hAnsi="宋体"/>
          <w:szCs w:val="21"/>
        </w:rPr>
        <w:t>镍、钴、</w:t>
      </w:r>
      <w:r>
        <w:rPr>
          <w:rFonts w:hint="eastAsia" w:ascii="宋体" w:hAnsi="宋体"/>
          <w:szCs w:val="21"/>
        </w:rPr>
        <w:t>镉、</w:t>
      </w:r>
      <w:r>
        <w:rPr>
          <w:rFonts w:ascii="宋体" w:hAnsi="宋体"/>
          <w:szCs w:val="21"/>
        </w:rPr>
        <w:t>镁</w:t>
      </w:r>
      <w:r>
        <w:rPr>
          <w:rFonts w:hint="eastAsia" w:ascii="宋体" w:hAnsi="宋体"/>
          <w:szCs w:val="21"/>
        </w:rPr>
        <w:t>、锰、砷和钼</w:t>
      </w:r>
      <w:r>
        <w:rPr>
          <w:rFonts w:ascii="宋体" w:hAnsi="宋体"/>
        </w:rPr>
        <w:t>的发射强度。分别以</w:t>
      </w:r>
      <w:r>
        <w:rPr>
          <w:rFonts w:hint="eastAsia" w:ascii="宋体" w:hAnsi="宋体"/>
          <w:spacing w:val="6"/>
          <w:lang w:val="en-US" w:eastAsia="zh-CN"/>
        </w:rPr>
        <w:t>待</w:t>
      </w:r>
      <w:r>
        <w:rPr>
          <w:rFonts w:ascii="宋体" w:hAnsi="宋体"/>
        </w:rPr>
        <w:t>测元素的质量浓度为横坐标，发射强度为纵坐标，绘制工作曲线。</w:t>
      </w:r>
    </w:p>
    <w:p w14:paraId="64B205ED">
      <w:pPr>
        <w:widowControl/>
        <w:spacing w:before="156" w:beforeLines="50" w:after="156" w:afterLines="50"/>
        <w:rPr>
          <w:rFonts w:ascii="黑体" w:eastAsia="黑体"/>
          <w:bCs/>
          <w:szCs w:val="21"/>
        </w:rPr>
      </w:pPr>
      <w:r>
        <w:rPr>
          <w:rFonts w:hint="eastAsia" w:ascii="黑体" w:eastAsia="黑体"/>
          <w:bCs/>
          <w:szCs w:val="21"/>
        </w:rPr>
        <w:t>9</w:t>
      </w:r>
      <w:r>
        <w:rPr>
          <w:rFonts w:hint="eastAsia" w:ascii="黑体" w:eastAsia="黑体"/>
          <w:bCs/>
          <w:szCs w:val="21"/>
          <w:lang w:val="en-US" w:eastAsia="zh-CN"/>
        </w:rPr>
        <w:t xml:space="preserve">  </w:t>
      </w:r>
      <w:r>
        <w:rPr>
          <w:rFonts w:hint="eastAsia" w:ascii="黑体" w:eastAsia="黑体"/>
          <w:bCs/>
          <w:szCs w:val="21"/>
        </w:rPr>
        <w:t>试验数据处理</w:t>
      </w:r>
    </w:p>
    <w:p w14:paraId="1F29C3DC">
      <w:pPr>
        <w:adjustRightInd w:val="0"/>
        <w:snapToGrid w:val="0"/>
        <w:spacing w:before="50" w:after="50"/>
        <w:ind w:firstLine="444" w:firstLineChars="200"/>
        <w:rPr>
          <w:rFonts w:hint="eastAsia" w:ascii="宋体" w:hAnsi="宋体"/>
          <w:spacing w:val="6"/>
        </w:rPr>
      </w:pPr>
      <w:r>
        <w:rPr>
          <w:rFonts w:hint="eastAsia" w:ascii="宋体" w:hAnsi="宋体"/>
          <w:spacing w:val="6"/>
          <w:lang w:val="en-US" w:eastAsia="zh-CN"/>
        </w:rPr>
        <w:t>各待</w:t>
      </w:r>
      <w:r>
        <w:rPr>
          <w:rFonts w:ascii="宋体" w:hAnsi="宋体"/>
          <w:spacing w:val="6"/>
        </w:rPr>
        <w:t>测元素的</w:t>
      </w:r>
      <w:r>
        <w:rPr>
          <w:rFonts w:hint="eastAsia" w:ascii="宋体" w:hAnsi="宋体"/>
          <w:spacing w:val="6"/>
          <w:lang w:val="en-US" w:eastAsia="zh-CN"/>
        </w:rPr>
        <w:t>含</w:t>
      </w:r>
      <w:r>
        <w:rPr>
          <w:rFonts w:ascii="宋体" w:hAnsi="宋体"/>
          <w:spacing w:val="6"/>
        </w:rPr>
        <w:t>量以</w:t>
      </w:r>
      <w:r>
        <w:rPr>
          <w:rFonts w:hint="eastAsia" w:ascii="宋体" w:hAnsi="宋体"/>
          <w:spacing w:val="6"/>
          <w:lang w:val="en-US" w:eastAsia="zh-CN"/>
        </w:rPr>
        <w:t>各待</w:t>
      </w:r>
      <w:r>
        <w:rPr>
          <w:rFonts w:ascii="宋体" w:hAnsi="宋体"/>
          <w:spacing w:val="6"/>
        </w:rPr>
        <w:t>测元素的质量分数</w:t>
      </w:r>
      <w:r>
        <w:rPr>
          <w:i/>
          <w:spacing w:val="6"/>
        </w:rPr>
        <w:t>w</w:t>
      </w:r>
      <w:r>
        <w:rPr>
          <w:spacing w:val="6"/>
          <w:vertAlign w:val="subscript"/>
        </w:rPr>
        <w:t>x</w:t>
      </w:r>
      <w:r>
        <w:rPr>
          <w:rFonts w:ascii="宋体" w:hAnsi="宋体"/>
          <w:spacing w:val="6"/>
        </w:rPr>
        <w:t>计，按公式（1）计算：</w:t>
      </w:r>
    </w:p>
    <w:p w14:paraId="27A92BC8">
      <w:pPr>
        <w:rPr>
          <w:rFonts w:hint="eastAsia" w:ascii="宋体" w:hAnsi="宋体"/>
          <w:szCs w:val="21"/>
        </w:rPr>
      </w:pPr>
      <w:r>
        <w:rPr>
          <w:rFonts w:ascii="宋体" w:hAnsi="宋体"/>
          <w:szCs w:val="21"/>
        </w:rPr>
        <w:t xml:space="preserve">                     </w:t>
      </w:r>
      <w:r>
        <w:rPr>
          <w:rFonts w:ascii="宋体" w:hAnsi="宋体"/>
          <w:position w:val="-26"/>
          <w:szCs w:val="21"/>
        </w:rPr>
        <w:object>
          <v:shape id="_x0000_i1025" o:spt="75" type="#_x0000_t75" style="height:31pt;width:146.7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ascii="宋体" w:hAnsi="宋体"/>
          <w:szCs w:val="21"/>
        </w:rPr>
        <w:t xml:space="preserve">     ………………………………（1）</w:t>
      </w:r>
    </w:p>
    <w:p w14:paraId="3BA6EE26">
      <w:pPr>
        <w:adjustRightInd w:val="0"/>
        <w:snapToGrid w:val="0"/>
        <w:spacing w:before="50" w:after="50"/>
        <w:ind w:firstLine="444" w:firstLineChars="200"/>
        <w:rPr>
          <w:rFonts w:hint="eastAsia" w:ascii="宋体" w:hAnsi="宋体"/>
          <w:spacing w:val="6"/>
        </w:rPr>
      </w:pPr>
      <w:r>
        <w:rPr>
          <w:rFonts w:ascii="宋体" w:hAnsi="宋体"/>
          <w:spacing w:val="6"/>
        </w:rPr>
        <w:t>式中：</w:t>
      </w:r>
    </w:p>
    <w:p w14:paraId="5DFC96D0">
      <w:pPr>
        <w:adjustRightInd w:val="0"/>
        <w:snapToGrid w:val="0"/>
        <w:spacing w:before="50" w:after="50"/>
        <w:ind w:firstLine="444" w:firstLineChars="200"/>
        <w:rPr>
          <w:rFonts w:hint="eastAsia" w:ascii="宋体" w:hAnsi="宋体"/>
          <w:spacing w:val="6"/>
        </w:rPr>
      </w:pPr>
      <w:r>
        <w:rPr>
          <w:i/>
          <w:spacing w:val="6"/>
        </w:rPr>
        <w:t>x</w:t>
      </w:r>
      <w:r>
        <w:rPr>
          <w:rFonts w:hint="eastAsia" w:ascii="宋体" w:hAnsi="宋体"/>
          <w:spacing w:val="6"/>
        </w:rPr>
        <w:t>——</w:t>
      </w:r>
      <w:r>
        <w:rPr>
          <w:rFonts w:hint="eastAsia" w:ascii="宋体" w:hAnsi="宋体"/>
          <w:spacing w:val="6"/>
          <w:lang w:val="en-US" w:eastAsia="zh-CN"/>
        </w:rPr>
        <w:t>待</w:t>
      </w:r>
      <w:r>
        <w:rPr>
          <w:rFonts w:ascii="宋体" w:hAnsi="宋体"/>
          <w:spacing w:val="6"/>
        </w:rPr>
        <w:t>测元素</w:t>
      </w:r>
      <w:r>
        <w:rPr>
          <w:rFonts w:hint="eastAsia" w:ascii="宋体" w:hAnsi="宋体"/>
          <w:color w:val="FF0000"/>
          <w:spacing w:val="6"/>
          <w:lang w:eastAsia="zh-CN"/>
        </w:rPr>
        <w:t>：</w:t>
      </w:r>
      <w:r>
        <w:rPr>
          <w:rFonts w:ascii="宋体" w:hAnsi="宋体"/>
          <w:szCs w:val="21"/>
        </w:rPr>
        <w:t>铜、</w:t>
      </w:r>
      <w:r>
        <w:rPr>
          <w:rFonts w:hint="eastAsia" w:ascii="宋体" w:hAnsi="宋体"/>
          <w:szCs w:val="21"/>
        </w:rPr>
        <w:t>铅、锌、</w:t>
      </w:r>
      <w:r>
        <w:rPr>
          <w:rFonts w:ascii="宋体" w:hAnsi="宋体"/>
          <w:szCs w:val="21"/>
        </w:rPr>
        <w:t>镍、钴、</w:t>
      </w:r>
      <w:r>
        <w:rPr>
          <w:rFonts w:hint="eastAsia" w:ascii="宋体" w:hAnsi="宋体"/>
          <w:szCs w:val="21"/>
        </w:rPr>
        <w:t>镉、</w:t>
      </w:r>
      <w:r>
        <w:rPr>
          <w:rFonts w:ascii="宋体" w:hAnsi="宋体"/>
          <w:szCs w:val="21"/>
        </w:rPr>
        <w:t>镁</w:t>
      </w:r>
      <w:r>
        <w:rPr>
          <w:rFonts w:hint="eastAsia" w:ascii="宋体" w:hAnsi="宋体"/>
          <w:szCs w:val="21"/>
        </w:rPr>
        <w:t>、锰、砷、钼</w:t>
      </w:r>
      <w:r>
        <w:rPr>
          <w:rFonts w:ascii="宋体" w:hAnsi="宋体"/>
          <w:spacing w:val="6"/>
        </w:rPr>
        <w:t>；</w:t>
      </w:r>
    </w:p>
    <w:p w14:paraId="7C1019CF">
      <w:pPr>
        <w:adjustRightInd w:val="0"/>
        <w:snapToGrid w:val="0"/>
        <w:spacing w:before="50" w:after="50"/>
        <w:ind w:firstLine="444" w:firstLineChars="200"/>
        <w:rPr>
          <w:rFonts w:hint="eastAsia" w:ascii="宋体" w:hAnsi="宋体"/>
          <w:spacing w:val="6"/>
        </w:rPr>
      </w:pPr>
      <w:r>
        <w:rPr>
          <w:i/>
          <w:spacing w:val="6"/>
        </w:rPr>
        <w:t>ρ</w:t>
      </w:r>
      <w:r>
        <w:rPr>
          <w:spacing w:val="6"/>
          <w:vertAlign w:val="subscript"/>
        </w:rPr>
        <w:t>x</w:t>
      </w:r>
      <w:r>
        <w:rPr>
          <w:rFonts w:hint="eastAsia" w:ascii="宋体" w:hAnsi="宋体"/>
          <w:spacing w:val="6"/>
        </w:rPr>
        <w:t>——</w:t>
      </w:r>
      <w:r>
        <w:rPr>
          <w:rFonts w:ascii="宋体" w:hAnsi="宋体"/>
          <w:spacing w:val="6"/>
        </w:rPr>
        <w:t>试液中</w:t>
      </w:r>
      <w:r>
        <w:rPr>
          <w:rFonts w:hint="eastAsia" w:ascii="宋体" w:hAnsi="宋体"/>
          <w:spacing w:val="6"/>
          <w:lang w:val="en-US" w:eastAsia="zh-CN"/>
        </w:rPr>
        <w:t>待</w:t>
      </w:r>
      <w:r>
        <w:rPr>
          <w:rFonts w:ascii="宋体" w:hAnsi="宋体"/>
          <w:spacing w:val="6"/>
        </w:rPr>
        <w:t>测元素的质量浓度，单位为微克每毫升（</w:t>
      </w:r>
      <w:r>
        <w:rPr>
          <w:spacing w:val="6"/>
        </w:rPr>
        <w:t>µg</w:t>
      </w:r>
      <w:r>
        <w:rPr>
          <w:rFonts w:ascii="宋体" w:hAnsi="宋体"/>
          <w:spacing w:val="6"/>
        </w:rPr>
        <w:t>/</w:t>
      </w:r>
      <w:r>
        <w:rPr>
          <w:spacing w:val="6"/>
        </w:rPr>
        <w:t>mL</w:t>
      </w:r>
      <w:r>
        <w:rPr>
          <w:rFonts w:ascii="宋体" w:hAnsi="宋体"/>
          <w:spacing w:val="6"/>
        </w:rPr>
        <w:t>）；</w:t>
      </w:r>
    </w:p>
    <w:p w14:paraId="26FB296D">
      <w:pPr>
        <w:adjustRightInd w:val="0"/>
        <w:snapToGrid w:val="0"/>
        <w:spacing w:before="50" w:after="50"/>
        <w:ind w:firstLine="444" w:firstLineChars="200"/>
        <w:rPr>
          <w:rFonts w:hint="eastAsia" w:ascii="宋体" w:hAnsi="宋体"/>
          <w:spacing w:val="6"/>
        </w:rPr>
      </w:pPr>
      <w:r>
        <w:rPr>
          <w:i/>
          <w:spacing w:val="6"/>
        </w:rPr>
        <w:t>ρ</w:t>
      </w:r>
      <w:r>
        <w:rPr>
          <w:spacing w:val="6"/>
          <w:vertAlign w:val="subscript"/>
        </w:rPr>
        <w:t>0</w:t>
      </w:r>
      <w:r>
        <w:rPr>
          <w:rFonts w:hint="eastAsia" w:ascii="宋体" w:hAnsi="宋体"/>
          <w:spacing w:val="6"/>
        </w:rPr>
        <w:t>——</w:t>
      </w:r>
      <w:r>
        <w:rPr>
          <w:rFonts w:ascii="宋体" w:hAnsi="宋体"/>
          <w:spacing w:val="6"/>
        </w:rPr>
        <w:t>空白溶液中</w:t>
      </w:r>
      <w:r>
        <w:rPr>
          <w:rFonts w:hint="eastAsia" w:ascii="宋体" w:hAnsi="宋体"/>
          <w:spacing w:val="6"/>
          <w:lang w:val="en-US" w:eastAsia="zh-CN"/>
        </w:rPr>
        <w:t>待</w:t>
      </w:r>
      <w:r>
        <w:rPr>
          <w:rFonts w:ascii="宋体" w:hAnsi="宋体"/>
          <w:spacing w:val="6"/>
        </w:rPr>
        <w:t>测元素的质量浓度，单位为微克每毫升（</w:t>
      </w:r>
      <w:r>
        <w:rPr>
          <w:spacing w:val="6"/>
        </w:rPr>
        <w:t>µg</w:t>
      </w:r>
      <w:r>
        <w:rPr>
          <w:rFonts w:ascii="宋体" w:hAnsi="宋体"/>
          <w:spacing w:val="6"/>
        </w:rPr>
        <w:t>/</w:t>
      </w:r>
      <w:r>
        <w:rPr>
          <w:spacing w:val="6"/>
        </w:rPr>
        <w:t>mL</w:t>
      </w:r>
      <w:r>
        <w:rPr>
          <w:rFonts w:ascii="宋体" w:hAnsi="宋体"/>
          <w:spacing w:val="6"/>
        </w:rPr>
        <w:t>）；</w:t>
      </w:r>
    </w:p>
    <w:p w14:paraId="19EA01A2">
      <w:pPr>
        <w:adjustRightInd w:val="0"/>
        <w:snapToGrid w:val="0"/>
        <w:spacing w:before="50" w:after="50"/>
        <w:ind w:firstLine="444" w:firstLineChars="200"/>
        <w:rPr>
          <w:rFonts w:hint="eastAsia" w:ascii="宋体" w:hAnsi="宋体"/>
          <w:spacing w:val="6"/>
        </w:rPr>
      </w:pPr>
      <w:r>
        <w:rPr>
          <w:i/>
          <w:spacing w:val="6"/>
        </w:rPr>
        <w:t>V</w:t>
      </w:r>
      <w:r>
        <w:rPr>
          <w:rFonts w:hint="eastAsia" w:ascii="宋体" w:hAnsi="宋体"/>
          <w:spacing w:val="6"/>
        </w:rPr>
        <w:t>——</w:t>
      </w:r>
      <w:r>
        <w:rPr>
          <w:rFonts w:ascii="宋体" w:hAnsi="宋体"/>
          <w:spacing w:val="6"/>
        </w:rPr>
        <w:t>试液总体积，单位为毫升（</w:t>
      </w:r>
      <w:r>
        <w:rPr>
          <w:spacing w:val="6"/>
        </w:rPr>
        <w:t>mL</w:t>
      </w:r>
      <w:r>
        <w:rPr>
          <w:rFonts w:ascii="宋体" w:hAnsi="宋体"/>
          <w:spacing w:val="6"/>
        </w:rPr>
        <w:t>）；</w:t>
      </w:r>
    </w:p>
    <w:p w14:paraId="5F11C25B">
      <w:pPr>
        <w:adjustRightInd w:val="0"/>
        <w:snapToGrid w:val="0"/>
        <w:spacing w:before="50" w:after="50"/>
        <w:ind w:firstLine="444" w:firstLineChars="200"/>
        <w:rPr>
          <w:rFonts w:hint="eastAsia" w:ascii="宋体" w:hAnsi="宋体"/>
          <w:spacing w:val="6"/>
        </w:rPr>
      </w:pPr>
      <w:r>
        <w:rPr>
          <w:i/>
          <w:spacing w:val="6"/>
        </w:rPr>
        <w:t>V</w:t>
      </w:r>
      <w:r>
        <w:rPr>
          <w:spacing w:val="6"/>
          <w:vertAlign w:val="subscript"/>
        </w:rPr>
        <w:t>2</w:t>
      </w:r>
      <w:r>
        <w:rPr>
          <w:rFonts w:hint="eastAsia" w:ascii="宋体" w:hAnsi="宋体"/>
          <w:spacing w:val="6"/>
        </w:rPr>
        <w:t>——</w:t>
      </w:r>
      <w:r>
        <w:rPr>
          <w:rFonts w:ascii="宋体" w:hAnsi="宋体"/>
          <w:spacing w:val="6"/>
        </w:rPr>
        <w:t>测定试液的体积，单位为毫升（</w:t>
      </w:r>
      <w:r>
        <w:rPr>
          <w:spacing w:val="6"/>
        </w:rPr>
        <w:t>mL</w:t>
      </w:r>
      <w:r>
        <w:rPr>
          <w:rFonts w:ascii="宋体" w:hAnsi="宋体"/>
          <w:spacing w:val="6"/>
        </w:rPr>
        <w:t>）；</w:t>
      </w:r>
    </w:p>
    <w:p w14:paraId="1815EC9D">
      <w:pPr>
        <w:adjustRightInd w:val="0"/>
        <w:snapToGrid w:val="0"/>
        <w:spacing w:before="50" w:after="50"/>
        <w:ind w:firstLine="444" w:firstLineChars="200"/>
        <w:rPr>
          <w:rFonts w:hint="eastAsia" w:ascii="宋体" w:hAnsi="宋体" w:eastAsia="宋体"/>
          <w:spacing w:val="6"/>
          <w:lang w:eastAsia="zh-CN"/>
        </w:rPr>
      </w:pPr>
      <w:r>
        <w:rPr>
          <w:i/>
          <w:spacing w:val="6"/>
        </w:rPr>
        <w:t>m</w:t>
      </w:r>
      <w:r>
        <w:rPr>
          <w:rFonts w:hint="eastAsia" w:ascii="宋体" w:hAnsi="宋体"/>
          <w:spacing w:val="6"/>
        </w:rPr>
        <w:t>——</w:t>
      </w:r>
      <w:r>
        <w:rPr>
          <w:rFonts w:ascii="宋体" w:hAnsi="宋体"/>
          <w:spacing w:val="6"/>
        </w:rPr>
        <w:t>试料的质量，单位为克（</w:t>
      </w:r>
      <w:r>
        <w:rPr>
          <w:spacing w:val="6"/>
        </w:rPr>
        <w:t>g</w:t>
      </w:r>
      <w:r>
        <w:rPr>
          <w:rFonts w:ascii="宋体" w:hAnsi="宋体"/>
          <w:spacing w:val="6"/>
        </w:rPr>
        <w:t>）</w:t>
      </w:r>
      <w:r>
        <w:rPr>
          <w:rFonts w:hint="eastAsia" w:ascii="宋体" w:hAnsi="宋体"/>
          <w:spacing w:val="6"/>
          <w:lang w:eastAsia="zh-CN"/>
        </w:rPr>
        <w:t>；</w:t>
      </w:r>
    </w:p>
    <w:p w14:paraId="589D2F3E">
      <w:pPr>
        <w:adjustRightInd w:val="0"/>
        <w:snapToGrid w:val="0"/>
        <w:spacing w:before="50" w:after="50"/>
        <w:ind w:firstLine="444" w:firstLineChars="200"/>
        <w:rPr>
          <w:rFonts w:hint="eastAsia" w:ascii="宋体" w:hAnsi="宋体"/>
          <w:spacing w:val="6"/>
        </w:rPr>
      </w:pPr>
      <w:r>
        <w:rPr>
          <w:i/>
          <w:spacing w:val="6"/>
        </w:rPr>
        <w:t>V</w:t>
      </w:r>
      <w:r>
        <w:rPr>
          <w:spacing w:val="6"/>
          <w:vertAlign w:val="subscript"/>
        </w:rPr>
        <w:t>1</w:t>
      </w:r>
      <w:r>
        <w:rPr>
          <w:rFonts w:hint="eastAsia" w:ascii="宋体" w:hAnsi="宋体"/>
          <w:spacing w:val="6"/>
        </w:rPr>
        <w:t>——</w:t>
      </w:r>
      <w:r>
        <w:rPr>
          <w:rFonts w:ascii="宋体" w:hAnsi="宋体"/>
          <w:spacing w:val="6"/>
        </w:rPr>
        <w:t>分取试液体积，单位为毫升（</w:t>
      </w:r>
      <w:r>
        <w:rPr>
          <w:spacing w:val="6"/>
        </w:rPr>
        <w:t>mL</w:t>
      </w:r>
      <w:r>
        <w:rPr>
          <w:rFonts w:ascii="宋体" w:hAnsi="宋体"/>
          <w:spacing w:val="6"/>
        </w:rPr>
        <w:t>）</w:t>
      </w:r>
      <w:r>
        <w:rPr>
          <w:rFonts w:hint="eastAsia" w:ascii="宋体" w:hAnsi="宋体"/>
          <w:spacing w:val="6"/>
          <w:lang w:eastAsia="zh-CN"/>
        </w:rPr>
        <w:t>。</w:t>
      </w:r>
    </w:p>
    <w:p w14:paraId="34B0B787">
      <w:pPr>
        <w:adjustRightInd w:val="0"/>
        <w:snapToGrid w:val="0"/>
        <w:spacing w:before="50" w:after="50"/>
        <w:ind w:firstLine="444" w:firstLineChars="200"/>
        <w:rPr>
          <w:rFonts w:hint="eastAsia" w:ascii="宋体" w:hAnsi="宋体"/>
        </w:rPr>
      </w:pPr>
      <w:r>
        <w:rPr>
          <w:rFonts w:ascii="宋体" w:hAnsi="宋体"/>
          <w:spacing w:val="6"/>
        </w:rPr>
        <w:t>计算结果表示到小数点后两位</w:t>
      </w:r>
      <w:r>
        <w:rPr>
          <w:rFonts w:hint="eastAsia" w:ascii="宋体" w:hAnsi="宋体"/>
          <w:spacing w:val="6"/>
        </w:rPr>
        <w:t>；</w:t>
      </w:r>
      <w:r>
        <w:rPr>
          <w:rFonts w:ascii="Times New Roman" w:hAnsi="Times New Roman" w:eastAsia="宋体" w:cs="Times New Roman"/>
          <w:spacing w:val="6"/>
          <w:szCs w:val="24"/>
        </w:rPr>
        <w:t>小于0.10%时，</w:t>
      </w:r>
      <w:r>
        <w:rPr>
          <w:rFonts w:hint="eastAsia" w:ascii="Times New Roman" w:hAnsi="Times New Roman" w:eastAsia="宋体" w:cs="Times New Roman"/>
          <w:spacing w:val="6"/>
          <w:szCs w:val="24"/>
        </w:rPr>
        <w:t>保留两位有效数字</w:t>
      </w:r>
      <w:r>
        <w:rPr>
          <w:rFonts w:ascii="Times New Roman" w:hAnsi="Times New Roman" w:eastAsia="宋体" w:cs="Times New Roman"/>
          <w:spacing w:val="6"/>
          <w:szCs w:val="24"/>
        </w:rPr>
        <w:t>。</w:t>
      </w:r>
    </w:p>
    <w:p w14:paraId="039C0CF1">
      <w:pPr>
        <w:spacing w:line="360" w:lineRule="auto"/>
        <w:rPr>
          <w:b/>
          <w:szCs w:val="21"/>
        </w:rPr>
      </w:pPr>
      <w:r>
        <w:rPr>
          <w:rFonts w:hint="eastAsia" w:ascii="黑体" w:hAnsi="黑体" w:eastAsia="黑体"/>
          <w:bCs/>
          <w:color w:val="000000"/>
          <w:szCs w:val="21"/>
        </w:rPr>
        <w:t>10</w:t>
      </w:r>
      <w:r>
        <w:rPr>
          <w:rFonts w:eastAsia="黑体"/>
          <w:bCs/>
          <w:color w:val="000000"/>
          <w:szCs w:val="21"/>
        </w:rPr>
        <w:t xml:space="preserve">  精密度</w:t>
      </w:r>
      <w:r>
        <w:rPr>
          <w:b/>
          <w:szCs w:val="21"/>
        </w:rPr>
        <w:t xml:space="preserve">  </w:t>
      </w:r>
    </w:p>
    <w:p w14:paraId="24822605">
      <w:pPr>
        <w:spacing w:line="360" w:lineRule="auto"/>
        <w:rPr>
          <w:rFonts w:hint="eastAsia" w:ascii="黑体" w:hAnsi="宋体" w:eastAsia="黑体"/>
          <w:bCs/>
          <w:color w:val="000000"/>
          <w:szCs w:val="21"/>
        </w:rPr>
      </w:pPr>
      <w:r>
        <w:rPr>
          <w:rFonts w:hint="eastAsia" w:ascii="黑体" w:eastAsia="黑体"/>
          <w:bCs/>
          <w:color w:val="000000"/>
          <w:szCs w:val="21"/>
        </w:rPr>
        <w:t xml:space="preserve">10.1  </w:t>
      </w:r>
      <w:r>
        <w:rPr>
          <w:rFonts w:hint="eastAsia" w:ascii="黑体" w:hAnsi="宋体" w:eastAsia="黑体"/>
          <w:bCs/>
          <w:color w:val="000000"/>
          <w:szCs w:val="21"/>
        </w:rPr>
        <w:t>重复性</w:t>
      </w:r>
    </w:p>
    <w:p w14:paraId="26C4D618">
      <w:pPr>
        <w:snapToGrid w:val="0"/>
        <w:spacing w:line="340" w:lineRule="atLeast"/>
        <w:ind w:firstLine="420"/>
        <w:rPr>
          <w:rFonts w:hint="eastAsia" w:ascii="宋体" w:hAnsi="宋体" w:eastAsia="宋体"/>
          <w:szCs w:val="24"/>
          <w:lang w:eastAsia="zh-CN"/>
        </w:rPr>
      </w:pPr>
      <w:r>
        <w:rPr>
          <w:rFonts w:hint="eastAsia" w:ascii="宋体" w:hAnsi="宋体"/>
          <w:szCs w:val="24"/>
        </w:rPr>
        <w:t>在重复性条件下获得的两次独立测试结果的测定值，在表4给出的平均值范围内，这两个测试结果的绝对差值不超过重复性限（</w:t>
      </w:r>
      <w:r>
        <w:rPr>
          <w:i/>
          <w:szCs w:val="24"/>
        </w:rPr>
        <w:t>r</w:t>
      </w:r>
      <w:r>
        <w:rPr>
          <w:rFonts w:hAnsi="宋体"/>
          <w:szCs w:val="24"/>
        </w:rPr>
        <w:t>）</w:t>
      </w:r>
      <w:r>
        <w:rPr>
          <w:rFonts w:hint="eastAsia" w:ascii="宋体" w:hAnsi="宋体"/>
          <w:szCs w:val="24"/>
        </w:rPr>
        <w:t>，超过重复性限</w:t>
      </w:r>
      <w:r>
        <w:rPr>
          <w:rFonts w:ascii="宋体" w:hAnsi="宋体"/>
          <w:szCs w:val="24"/>
        </w:rPr>
        <w:t>(</w:t>
      </w:r>
      <w:r>
        <w:rPr>
          <w:i/>
          <w:szCs w:val="24"/>
        </w:rPr>
        <w:t>r</w:t>
      </w:r>
      <w:r>
        <w:rPr>
          <w:szCs w:val="24"/>
        </w:rPr>
        <w:t>)</w:t>
      </w:r>
      <w:r>
        <w:rPr>
          <w:rFonts w:hint="eastAsia" w:ascii="宋体" w:hAnsi="宋体"/>
          <w:szCs w:val="24"/>
        </w:rPr>
        <w:t>的情况不超过</w:t>
      </w:r>
      <w:r>
        <w:rPr>
          <w:szCs w:val="24"/>
        </w:rPr>
        <w:t>5</w:t>
      </w:r>
      <w:r>
        <w:rPr>
          <w:rFonts w:hAnsi="宋体"/>
          <w:szCs w:val="24"/>
        </w:rPr>
        <w:t>％</w:t>
      </w:r>
      <w:r>
        <w:rPr>
          <w:rFonts w:hint="eastAsia" w:ascii="宋体" w:hAnsi="宋体"/>
          <w:szCs w:val="24"/>
        </w:rPr>
        <w:t>，重复性限（</w:t>
      </w:r>
      <w:r>
        <w:rPr>
          <w:i/>
          <w:szCs w:val="24"/>
        </w:rPr>
        <w:t>r</w:t>
      </w:r>
      <w:r>
        <w:rPr>
          <w:rFonts w:hint="eastAsia" w:ascii="宋体" w:hAnsi="宋体"/>
          <w:szCs w:val="24"/>
        </w:rPr>
        <w:t>）按表</w:t>
      </w:r>
      <w:r>
        <w:rPr>
          <w:rFonts w:hint="eastAsia"/>
          <w:szCs w:val="24"/>
        </w:rPr>
        <w:t>4</w:t>
      </w:r>
      <w:r>
        <w:rPr>
          <w:rFonts w:hint="eastAsia" w:ascii="宋体" w:hAnsi="宋体"/>
          <w:szCs w:val="24"/>
        </w:rPr>
        <w:t>数据采用线性内插法</w:t>
      </w:r>
      <w:r>
        <w:rPr>
          <w:color w:val="000000"/>
        </w:rPr>
        <w:t>或外延法</w:t>
      </w:r>
      <w:r>
        <w:rPr>
          <w:rFonts w:hint="eastAsia" w:ascii="宋体" w:hAnsi="宋体"/>
          <w:szCs w:val="24"/>
        </w:rPr>
        <w:t>求得</w:t>
      </w:r>
      <w:r>
        <w:rPr>
          <w:rFonts w:hint="eastAsia" w:ascii="宋体" w:hAnsi="宋体"/>
          <w:szCs w:val="24"/>
          <w:lang w:eastAsia="zh-CN"/>
        </w:rPr>
        <w:t>。</w:t>
      </w:r>
      <w:r>
        <w:rPr>
          <w:rFonts w:hint="eastAsia" w:ascii="宋体" w:hAnsi="宋体"/>
          <w:szCs w:val="24"/>
          <w:lang w:val="en-US" w:eastAsia="zh-CN"/>
        </w:rPr>
        <w:t>精密度统计</w:t>
      </w:r>
      <w:r>
        <w:rPr>
          <w:rFonts w:hint="eastAsia" w:ascii="宋体" w:hAnsi="宋体"/>
          <w:szCs w:val="24"/>
        </w:rPr>
        <w:t>数据见附录A。</w:t>
      </w:r>
    </w:p>
    <w:p w14:paraId="1C392907">
      <w:pPr>
        <w:pStyle w:val="12"/>
        <w:spacing w:line="300" w:lineRule="auto"/>
        <w:ind w:firstLine="0" w:firstLineChars="0"/>
        <w:jc w:val="center"/>
        <w:rPr>
          <w:rFonts w:hint="eastAsia" w:ascii="黑体" w:hAnsi="黑体" w:eastAsia="黑体"/>
          <w:bCs/>
          <w:color w:val="000000"/>
          <w:szCs w:val="21"/>
        </w:rPr>
      </w:pPr>
      <w:r>
        <w:rPr>
          <w:rFonts w:ascii="黑体" w:hAnsi="黑体" w:eastAsia="黑体"/>
          <w:bCs/>
          <w:color w:val="000000"/>
          <w:szCs w:val="21"/>
        </w:rPr>
        <w:t>表4</w:t>
      </w:r>
      <w:r>
        <w:rPr>
          <w:rFonts w:hint="eastAsia" w:ascii="黑体" w:hAnsi="黑体" w:eastAsia="黑体"/>
          <w:bCs/>
          <w:color w:val="000000"/>
          <w:szCs w:val="21"/>
        </w:rPr>
        <w:t xml:space="preserve"> </w:t>
      </w:r>
      <w:r>
        <w:rPr>
          <w:rFonts w:ascii="黑体" w:hAnsi="黑体" w:eastAsia="黑体"/>
          <w:bCs/>
          <w:color w:val="000000"/>
          <w:szCs w:val="21"/>
        </w:rPr>
        <w:t>重复性限</w:t>
      </w:r>
      <w:r>
        <w:rPr>
          <w:rFonts w:hint="eastAsia" w:ascii="黑体" w:hAnsi="黑体" w:eastAsia="黑体"/>
          <w:bCs/>
          <w:color w:val="000000"/>
          <w:szCs w:val="21"/>
        </w:rPr>
        <w:t>（</w:t>
      </w:r>
      <w:r>
        <w:rPr>
          <w:rFonts w:hint="eastAsia" w:ascii="黑体" w:hAnsi="黑体" w:eastAsia="黑体"/>
          <w:bCs/>
          <w:i/>
          <w:iCs/>
          <w:color w:val="000000"/>
          <w:szCs w:val="21"/>
        </w:rPr>
        <w:t>r</w:t>
      </w:r>
      <w:r>
        <w:rPr>
          <w:rFonts w:hint="eastAsia" w:ascii="黑体" w:hAnsi="黑体" w:eastAsia="黑体"/>
          <w:bCs/>
          <w:color w:val="000000"/>
          <w:szCs w:val="21"/>
        </w:rPr>
        <w:t>）</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614"/>
        <w:gridCol w:w="1614"/>
        <w:gridCol w:w="1420"/>
        <w:gridCol w:w="1229"/>
        <w:gridCol w:w="1229"/>
        <w:gridCol w:w="1229"/>
      </w:tblGrid>
      <w:tr w14:paraId="5F5E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1D230A2C">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Cu</w:t>
            </w:r>
            <w:r>
              <w:rPr>
                <w:rFonts w:hint="default" w:ascii="Times New Roman" w:hAnsi="Times New Roman" w:cs="Times New Roman"/>
                <w:sz w:val="18"/>
                <w:szCs w:val="18"/>
              </w:rPr>
              <w:t>/%</w:t>
            </w:r>
          </w:p>
        </w:tc>
        <w:tc>
          <w:tcPr>
            <w:tcW w:w="1614" w:type="dxa"/>
            <w:tcBorders>
              <w:bottom w:val="single" w:color="auto" w:sz="4" w:space="0"/>
            </w:tcBorders>
            <w:vAlign w:val="bottom"/>
          </w:tcPr>
          <w:p w14:paraId="367ABCE4">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0.0068 </w:t>
            </w:r>
          </w:p>
        </w:tc>
        <w:tc>
          <w:tcPr>
            <w:tcW w:w="1614" w:type="dxa"/>
            <w:tcBorders>
              <w:bottom w:val="single" w:color="auto" w:sz="4" w:space="0"/>
            </w:tcBorders>
            <w:vAlign w:val="bottom"/>
          </w:tcPr>
          <w:p w14:paraId="3F914D62">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1420" w:type="dxa"/>
            <w:tcBorders>
              <w:bottom w:val="single" w:color="auto" w:sz="4" w:space="0"/>
            </w:tcBorders>
            <w:vAlign w:val="bottom"/>
          </w:tcPr>
          <w:p w14:paraId="26F29F34">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0.78 </w:t>
            </w:r>
          </w:p>
        </w:tc>
        <w:tc>
          <w:tcPr>
            <w:tcW w:w="1229" w:type="dxa"/>
            <w:tcBorders>
              <w:bottom w:val="single" w:color="auto" w:sz="4" w:space="0"/>
            </w:tcBorders>
            <w:vAlign w:val="bottom"/>
          </w:tcPr>
          <w:p w14:paraId="1EFFF32F">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1.22 </w:t>
            </w:r>
          </w:p>
        </w:tc>
        <w:tc>
          <w:tcPr>
            <w:tcW w:w="1229" w:type="dxa"/>
            <w:tcBorders>
              <w:bottom w:val="single" w:color="auto" w:sz="4" w:space="0"/>
            </w:tcBorders>
            <w:vAlign w:val="bottom"/>
          </w:tcPr>
          <w:p w14:paraId="0D98EA65">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2.14 </w:t>
            </w:r>
          </w:p>
        </w:tc>
        <w:tc>
          <w:tcPr>
            <w:tcW w:w="1229" w:type="dxa"/>
            <w:tcBorders>
              <w:bottom w:val="single" w:color="auto" w:sz="4" w:space="0"/>
            </w:tcBorders>
            <w:vAlign w:val="bottom"/>
          </w:tcPr>
          <w:p w14:paraId="7D2E221E">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4.66 </w:t>
            </w:r>
          </w:p>
        </w:tc>
      </w:tr>
      <w:tr w14:paraId="0BAC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62B6669E">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2F83A47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0.0008 </w:t>
            </w:r>
          </w:p>
        </w:tc>
        <w:tc>
          <w:tcPr>
            <w:tcW w:w="1614" w:type="dxa"/>
            <w:vAlign w:val="center"/>
          </w:tcPr>
          <w:p w14:paraId="2B49DDC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420" w:type="dxa"/>
            <w:vAlign w:val="center"/>
          </w:tcPr>
          <w:p w14:paraId="7FF81C3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 </w:t>
            </w:r>
          </w:p>
        </w:tc>
        <w:tc>
          <w:tcPr>
            <w:tcW w:w="1229" w:type="dxa"/>
            <w:vAlign w:val="center"/>
          </w:tcPr>
          <w:p w14:paraId="4BE871C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 </w:t>
            </w:r>
          </w:p>
        </w:tc>
        <w:tc>
          <w:tcPr>
            <w:tcW w:w="1229" w:type="dxa"/>
            <w:vAlign w:val="center"/>
          </w:tcPr>
          <w:p w14:paraId="0C481E6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1229" w:type="dxa"/>
            <w:vAlign w:val="center"/>
          </w:tcPr>
          <w:p w14:paraId="24B3D2C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r>
      <w:tr w14:paraId="6DEF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6DAE252C">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Pb</w:t>
            </w:r>
            <w:r>
              <w:rPr>
                <w:rFonts w:hint="default" w:ascii="Times New Roman" w:hAnsi="Times New Roman" w:cs="Times New Roman"/>
                <w:sz w:val="18"/>
                <w:szCs w:val="18"/>
              </w:rPr>
              <w:t>/%</w:t>
            </w:r>
          </w:p>
        </w:tc>
        <w:tc>
          <w:tcPr>
            <w:tcW w:w="1614" w:type="dxa"/>
            <w:vAlign w:val="bottom"/>
          </w:tcPr>
          <w:p w14:paraId="59F7FC6E">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0.027 </w:t>
            </w:r>
          </w:p>
        </w:tc>
        <w:tc>
          <w:tcPr>
            <w:tcW w:w="1614" w:type="dxa"/>
            <w:vAlign w:val="bottom"/>
          </w:tcPr>
          <w:p w14:paraId="18372928">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0.10 </w:t>
            </w:r>
          </w:p>
        </w:tc>
        <w:tc>
          <w:tcPr>
            <w:tcW w:w="1420" w:type="dxa"/>
            <w:vAlign w:val="bottom"/>
          </w:tcPr>
          <w:p w14:paraId="0E107A51">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0.78 </w:t>
            </w:r>
          </w:p>
        </w:tc>
        <w:tc>
          <w:tcPr>
            <w:tcW w:w="1229" w:type="dxa"/>
            <w:vAlign w:val="bottom"/>
          </w:tcPr>
          <w:p w14:paraId="5B2DBFAE">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1.04 </w:t>
            </w:r>
          </w:p>
        </w:tc>
        <w:tc>
          <w:tcPr>
            <w:tcW w:w="1229" w:type="dxa"/>
            <w:vAlign w:val="bottom"/>
          </w:tcPr>
          <w:p w14:paraId="732D331E">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3.53 </w:t>
            </w:r>
          </w:p>
        </w:tc>
        <w:tc>
          <w:tcPr>
            <w:tcW w:w="1229" w:type="dxa"/>
            <w:vAlign w:val="bottom"/>
          </w:tcPr>
          <w:p w14:paraId="19824517">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4.69 </w:t>
            </w:r>
          </w:p>
        </w:tc>
      </w:tr>
      <w:tr w14:paraId="1EC9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866D336">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7C789605">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0.002 </w:t>
            </w:r>
          </w:p>
        </w:tc>
        <w:tc>
          <w:tcPr>
            <w:tcW w:w="1614" w:type="dxa"/>
            <w:vAlign w:val="center"/>
          </w:tcPr>
          <w:p w14:paraId="6C654E94">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 </w:t>
            </w:r>
          </w:p>
        </w:tc>
        <w:tc>
          <w:tcPr>
            <w:tcW w:w="1420" w:type="dxa"/>
            <w:vAlign w:val="center"/>
          </w:tcPr>
          <w:p w14:paraId="258F3426">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0.03 </w:t>
            </w:r>
          </w:p>
        </w:tc>
        <w:tc>
          <w:tcPr>
            <w:tcW w:w="1229" w:type="dxa"/>
            <w:vAlign w:val="center"/>
          </w:tcPr>
          <w:p w14:paraId="62ADFF22">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0.04 </w:t>
            </w:r>
          </w:p>
        </w:tc>
        <w:tc>
          <w:tcPr>
            <w:tcW w:w="1229" w:type="dxa"/>
            <w:vAlign w:val="center"/>
          </w:tcPr>
          <w:p w14:paraId="664E1CE1">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0.12 </w:t>
            </w:r>
          </w:p>
        </w:tc>
        <w:tc>
          <w:tcPr>
            <w:tcW w:w="1229" w:type="dxa"/>
            <w:vAlign w:val="center"/>
          </w:tcPr>
          <w:p w14:paraId="782BCC18">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0.16 </w:t>
            </w:r>
          </w:p>
        </w:tc>
      </w:tr>
      <w:tr w14:paraId="0DD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4D3E7132">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Zn</w:t>
            </w:r>
            <w:r>
              <w:rPr>
                <w:rFonts w:hint="default" w:ascii="Times New Roman" w:hAnsi="Times New Roman" w:cs="Times New Roman"/>
                <w:sz w:val="18"/>
                <w:szCs w:val="18"/>
              </w:rPr>
              <w:t>/%</w:t>
            </w:r>
          </w:p>
        </w:tc>
        <w:tc>
          <w:tcPr>
            <w:tcW w:w="1614" w:type="dxa"/>
            <w:vAlign w:val="bottom"/>
          </w:tcPr>
          <w:p w14:paraId="02AA1FDA">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 </w:t>
            </w:r>
          </w:p>
        </w:tc>
        <w:tc>
          <w:tcPr>
            <w:tcW w:w="1614" w:type="dxa"/>
            <w:vAlign w:val="bottom"/>
          </w:tcPr>
          <w:p w14:paraId="052F3C28">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1420" w:type="dxa"/>
            <w:vAlign w:val="bottom"/>
          </w:tcPr>
          <w:p w14:paraId="1CE2971A">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0.76 </w:t>
            </w:r>
          </w:p>
        </w:tc>
        <w:tc>
          <w:tcPr>
            <w:tcW w:w="1229" w:type="dxa"/>
            <w:vAlign w:val="bottom"/>
          </w:tcPr>
          <w:p w14:paraId="4C1EBC3E">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1.53 </w:t>
            </w:r>
          </w:p>
        </w:tc>
        <w:tc>
          <w:tcPr>
            <w:tcW w:w="1229" w:type="dxa"/>
            <w:vAlign w:val="bottom"/>
          </w:tcPr>
          <w:p w14:paraId="05BE64E5">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2.79 </w:t>
            </w:r>
          </w:p>
        </w:tc>
        <w:tc>
          <w:tcPr>
            <w:tcW w:w="1229" w:type="dxa"/>
            <w:vAlign w:val="bottom"/>
          </w:tcPr>
          <w:p w14:paraId="07D3861E">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4.34 </w:t>
            </w:r>
          </w:p>
        </w:tc>
      </w:tr>
      <w:tr w14:paraId="3DFE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6877B17A">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0D0261B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c>
          <w:tcPr>
            <w:tcW w:w="1614" w:type="dxa"/>
            <w:vAlign w:val="center"/>
          </w:tcPr>
          <w:p w14:paraId="73394FB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420" w:type="dxa"/>
            <w:vAlign w:val="center"/>
          </w:tcPr>
          <w:p w14:paraId="63415FE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229" w:type="dxa"/>
            <w:vAlign w:val="center"/>
          </w:tcPr>
          <w:p w14:paraId="71CDB62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0.08 </w:t>
            </w:r>
          </w:p>
        </w:tc>
        <w:tc>
          <w:tcPr>
            <w:tcW w:w="1229" w:type="dxa"/>
            <w:vAlign w:val="center"/>
          </w:tcPr>
          <w:p w14:paraId="1BB6CBB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c>
          <w:tcPr>
            <w:tcW w:w="1229" w:type="dxa"/>
            <w:vAlign w:val="center"/>
          </w:tcPr>
          <w:p w14:paraId="2ADF1AA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r>
      <w:tr w14:paraId="58C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1A03AD0E">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Ni</w:t>
            </w:r>
            <w:r>
              <w:rPr>
                <w:rFonts w:hint="default" w:ascii="Times New Roman" w:hAnsi="Times New Roman" w:cs="Times New Roman"/>
                <w:sz w:val="18"/>
                <w:szCs w:val="18"/>
              </w:rPr>
              <w:t>/%</w:t>
            </w:r>
          </w:p>
        </w:tc>
        <w:tc>
          <w:tcPr>
            <w:tcW w:w="1614" w:type="dxa"/>
            <w:vAlign w:val="bottom"/>
          </w:tcPr>
          <w:p w14:paraId="6DCFBFA5">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0.0060 </w:t>
            </w:r>
          </w:p>
        </w:tc>
        <w:tc>
          <w:tcPr>
            <w:tcW w:w="1614" w:type="dxa"/>
            <w:vAlign w:val="bottom"/>
          </w:tcPr>
          <w:p w14:paraId="718C605B">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0.011 </w:t>
            </w:r>
          </w:p>
        </w:tc>
        <w:tc>
          <w:tcPr>
            <w:tcW w:w="1420" w:type="dxa"/>
            <w:vAlign w:val="bottom"/>
          </w:tcPr>
          <w:p w14:paraId="30945C45">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0.024 </w:t>
            </w:r>
          </w:p>
        </w:tc>
        <w:tc>
          <w:tcPr>
            <w:tcW w:w="1229" w:type="dxa"/>
            <w:vAlign w:val="bottom"/>
          </w:tcPr>
          <w:p w14:paraId="597D8055">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0.19 </w:t>
            </w:r>
          </w:p>
        </w:tc>
        <w:tc>
          <w:tcPr>
            <w:tcW w:w="1229" w:type="dxa"/>
            <w:vAlign w:val="bottom"/>
          </w:tcPr>
          <w:p w14:paraId="3810782F">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0.45 </w:t>
            </w:r>
          </w:p>
        </w:tc>
        <w:tc>
          <w:tcPr>
            <w:tcW w:w="1229" w:type="dxa"/>
            <w:vAlign w:val="bottom"/>
          </w:tcPr>
          <w:p w14:paraId="24034F39">
            <w:pPr>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0.61 </w:t>
            </w:r>
          </w:p>
        </w:tc>
      </w:tr>
      <w:tr w14:paraId="4494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31786745">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26603092">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0.0006 </w:t>
            </w:r>
          </w:p>
        </w:tc>
        <w:tc>
          <w:tcPr>
            <w:tcW w:w="1614" w:type="dxa"/>
            <w:vAlign w:val="center"/>
          </w:tcPr>
          <w:p w14:paraId="117491E7">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0.001 </w:t>
            </w:r>
          </w:p>
        </w:tc>
        <w:tc>
          <w:tcPr>
            <w:tcW w:w="1420" w:type="dxa"/>
            <w:vAlign w:val="center"/>
          </w:tcPr>
          <w:p w14:paraId="66C6E036">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0.002 </w:t>
            </w:r>
          </w:p>
        </w:tc>
        <w:tc>
          <w:tcPr>
            <w:tcW w:w="1229" w:type="dxa"/>
            <w:vAlign w:val="center"/>
          </w:tcPr>
          <w:p w14:paraId="7D3D8CA4">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 </w:t>
            </w:r>
          </w:p>
        </w:tc>
        <w:tc>
          <w:tcPr>
            <w:tcW w:w="1229" w:type="dxa"/>
            <w:vAlign w:val="center"/>
          </w:tcPr>
          <w:p w14:paraId="5B43FC34">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0.02 </w:t>
            </w:r>
          </w:p>
        </w:tc>
        <w:tc>
          <w:tcPr>
            <w:tcW w:w="1229" w:type="dxa"/>
            <w:vAlign w:val="center"/>
          </w:tcPr>
          <w:p w14:paraId="3C552505">
            <w:pPr>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0.03 </w:t>
            </w:r>
          </w:p>
        </w:tc>
      </w:tr>
      <w:tr w14:paraId="1799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32DB71BA">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Co</w:t>
            </w:r>
            <w:r>
              <w:rPr>
                <w:rFonts w:hint="default" w:ascii="Times New Roman" w:hAnsi="Times New Roman" w:cs="Times New Roman"/>
                <w:sz w:val="18"/>
                <w:szCs w:val="18"/>
              </w:rPr>
              <w:t>/%</w:t>
            </w:r>
          </w:p>
        </w:tc>
        <w:tc>
          <w:tcPr>
            <w:tcW w:w="1614" w:type="dxa"/>
            <w:vAlign w:val="bottom"/>
          </w:tcPr>
          <w:p w14:paraId="4A9A58DC">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0.0060 </w:t>
            </w:r>
          </w:p>
        </w:tc>
        <w:tc>
          <w:tcPr>
            <w:tcW w:w="1614" w:type="dxa"/>
            <w:vAlign w:val="bottom"/>
          </w:tcPr>
          <w:p w14:paraId="185539E5">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0.011 </w:t>
            </w:r>
          </w:p>
        </w:tc>
        <w:tc>
          <w:tcPr>
            <w:tcW w:w="1420" w:type="dxa"/>
            <w:vAlign w:val="bottom"/>
          </w:tcPr>
          <w:p w14:paraId="1F6D2E27">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0.084 </w:t>
            </w:r>
          </w:p>
        </w:tc>
        <w:tc>
          <w:tcPr>
            <w:tcW w:w="1229" w:type="dxa"/>
            <w:vAlign w:val="bottom"/>
          </w:tcPr>
          <w:p w14:paraId="167FCCF8">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0.28 </w:t>
            </w:r>
          </w:p>
        </w:tc>
        <w:tc>
          <w:tcPr>
            <w:tcW w:w="1229" w:type="dxa"/>
            <w:vAlign w:val="bottom"/>
          </w:tcPr>
          <w:p w14:paraId="3A2D41A5">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0.46 </w:t>
            </w:r>
          </w:p>
        </w:tc>
        <w:tc>
          <w:tcPr>
            <w:tcW w:w="1229" w:type="dxa"/>
            <w:vAlign w:val="bottom"/>
          </w:tcPr>
          <w:p w14:paraId="6A3CEFE4">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3.03 </w:t>
            </w:r>
          </w:p>
        </w:tc>
      </w:tr>
      <w:tr w14:paraId="56F2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50F785E3">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40E85FB2">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0.0006 </w:t>
            </w:r>
          </w:p>
        </w:tc>
        <w:tc>
          <w:tcPr>
            <w:tcW w:w="1614" w:type="dxa"/>
            <w:vAlign w:val="center"/>
          </w:tcPr>
          <w:p w14:paraId="58917407">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0.001 </w:t>
            </w:r>
          </w:p>
        </w:tc>
        <w:tc>
          <w:tcPr>
            <w:tcW w:w="1420" w:type="dxa"/>
            <w:vAlign w:val="center"/>
          </w:tcPr>
          <w:p w14:paraId="504A59CC">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0.004 </w:t>
            </w:r>
          </w:p>
        </w:tc>
        <w:tc>
          <w:tcPr>
            <w:tcW w:w="1229" w:type="dxa"/>
            <w:vAlign w:val="center"/>
          </w:tcPr>
          <w:p w14:paraId="3A406469">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 </w:t>
            </w:r>
          </w:p>
        </w:tc>
        <w:tc>
          <w:tcPr>
            <w:tcW w:w="1229" w:type="dxa"/>
            <w:vAlign w:val="center"/>
          </w:tcPr>
          <w:p w14:paraId="7EAC9DCC">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0.02 </w:t>
            </w:r>
          </w:p>
        </w:tc>
        <w:tc>
          <w:tcPr>
            <w:tcW w:w="1229" w:type="dxa"/>
            <w:vAlign w:val="center"/>
          </w:tcPr>
          <w:p w14:paraId="0BC01DA9">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0.10 </w:t>
            </w:r>
          </w:p>
        </w:tc>
      </w:tr>
      <w:tr w14:paraId="3DDA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52CD357">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Cd</w:t>
            </w:r>
            <w:r>
              <w:rPr>
                <w:rFonts w:hint="default" w:ascii="Times New Roman" w:hAnsi="Times New Roman" w:cs="Times New Roman"/>
                <w:sz w:val="18"/>
                <w:szCs w:val="18"/>
              </w:rPr>
              <w:t>/%</w:t>
            </w:r>
          </w:p>
        </w:tc>
        <w:tc>
          <w:tcPr>
            <w:tcW w:w="1614" w:type="dxa"/>
            <w:vAlign w:val="bottom"/>
          </w:tcPr>
          <w:p w14:paraId="4BEAC047">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1614" w:type="dxa"/>
            <w:vAlign w:val="bottom"/>
          </w:tcPr>
          <w:p w14:paraId="0895F501">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1420" w:type="dxa"/>
            <w:vAlign w:val="bottom"/>
          </w:tcPr>
          <w:p w14:paraId="14F9EF64">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 </w:t>
            </w:r>
          </w:p>
        </w:tc>
        <w:tc>
          <w:tcPr>
            <w:tcW w:w="1229" w:type="dxa"/>
            <w:vAlign w:val="bottom"/>
          </w:tcPr>
          <w:p w14:paraId="25AF5F28">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c>
          <w:tcPr>
            <w:tcW w:w="1229" w:type="dxa"/>
            <w:vAlign w:val="bottom"/>
          </w:tcPr>
          <w:p w14:paraId="0D985570">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0.43 </w:t>
            </w:r>
          </w:p>
        </w:tc>
        <w:tc>
          <w:tcPr>
            <w:tcW w:w="1229" w:type="dxa"/>
            <w:vAlign w:val="bottom"/>
          </w:tcPr>
          <w:p w14:paraId="2AF5F74E">
            <w:pPr>
              <w:keepNext w:val="0"/>
              <w:keepLines w:val="0"/>
              <w:widowControl/>
              <w:suppressLineNumbers w:val="0"/>
              <w:jc w:val="center"/>
              <w:textAlignment w:val="bottom"/>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w:t>
            </w:r>
          </w:p>
        </w:tc>
      </w:tr>
      <w:tr w14:paraId="59CB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6D01D8F">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7B58B93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c>
          <w:tcPr>
            <w:tcW w:w="1614" w:type="dxa"/>
            <w:vAlign w:val="center"/>
          </w:tcPr>
          <w:p w14:paraId="2802D9F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c>
          <w:tcPr>
            <w:tcW w:w="1420" w:type="dxa"/>
            <w:vAlign w:val="center"/>
          </w:tcPr>
          <w:p w14:paraId="32F3252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c>
          <w:tcPr>
            <w:tcW w:w="1229" w:type="dxa"/>
            <w:vAlign w:val="center"/>
          </w:tcPr>
          <w:p w14:paraId="2C4D387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229" w:type="dxa"/>
            <w:vAlign w:val="center"/>
          </w:tcPr>
          <w:p w14:paraId="4260DEB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229" w:type="dxa"/>
            <w:vAlign w:val="center"/>
          </w:tcPr>
          <w:p w14:paraId="2A2186EB">
            <w:pPr>
              <w:keepNext w:val="0"/>
              <w:keepLines w:val="0"/>
              <w:widowControl/>
              <w:suppressLineNumbers w:val="0"/>
              <w:jc w:val="center"/>
              <w:textAlignment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4571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B56DA3C">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Mg</w:t>
            </w:r>
            <w:r>
              <w:rPr>
                <w:rFonts w:hint="default" w:ascii="Times New Roman" w:hAnsi="Times New Roman" w:cs="Times New Roman"/>
                <w:sz w:val="18"/>
                <w:szCs w:val="18"/>
              </w:rPr>
              <w:t>/%</w:t>
            </w:r>
          </w:p>
        </w:tc>
        <w:tc>
          <w:tcPr>
            <w:tcW w:w="1614" w:type="dxa"/>
            <w:vAlign w:val="bottom"/>
          </w:tcPr>
          <w:p w14:paraId="4E3C61FE">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1614" w:type="dxa"/>
            <w:vAlign w:val="bottom"/>
          </w:tcPr>
          <w:p w14:paraId="40890DA4">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1420" w:type="dxa"/>
            <w:vAlign w:val="bottom"/>
          </w:tcPr>
          <w:p w14:paraId="63FF67C8">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1.62 </w:t>
            </w:r>
          </w:p>
        </w:tc>
        <w:tc>
          <w:tcPr>
            <w:tcW w:w="1229" w:type="dxa"/>
            <w:vAlign w:val="bottom"/>
          </w:tcPr>
          <w:p w14:paraId="64154345">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4.35 </w:t>
            </w:r>
          </w:p>
        </w:tc>
        <w:tc>
          <w:tcPr>
            <w:tcW w:w="1229" w:type="dxa"/>
            <w:vAlign w:val="bottom"/>
          </w:tcPr>
          <w:p w14:paraId="1D9A6E49">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6.85 </w:t>
            </w:r>
          </w:p>
        </w:tc>
        <w:tc>
          <w:tcPr>
            <w:tcW w:w="642" w:type="pct"/>
            <w:vAlign w:val="center"/>
          </w:tcPr>
          <w:p w14:paraId="7A800CFA">
            <w:pPr>
              <w:spacing w:line="300" w:lineRule="auto"/>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7780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05511086">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404D01C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c>
          <w:tcPr>
            <w:tcW w:w="1614" w:type="dxa"/>
            <w:vAlign w:val="center"/>
          </w:tcPr>
          <w:p w14:paraId="0202DB2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420" w:type="dxa"/>
            <w:vAlign w:val="center"/>
          </w:tcPr>
          <w:p w14:paraId="3D302CA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c>
          <w:tcPr>
            <w:tcW w:w="1229" w:type="dxa"/>
            <w:vAlign w:val="center"/>
          </w:tcPr>
          <w:p w14:paraId="3FA1278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 </w:t>
            </w:r>
          </w:p>
        </w:tc>
        <w:tc>
          <w:tcPr>
            <w:tcW w:w="1229" w:type="dxa"/>
            <w:vAlign w:val="center"/>
          </w:tcPr>
          <w:p w14:paraId="7E7EE17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0.16 </w:t>
            </w:r>
          </w:p>
        </w:tc>
        <w:tc>
          <w:tcPr>
            <w:tcW w:w="642" w:type="pct"/>
            <w:vAlign w:val="center"/>
          </w:tcPr>
          <w:p w14:paraId="40DDE40C">
            <w:pPr>
              <w:spacing w:line="300" w:lineRule="auto"/>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1E49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59C25F4E">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Mn</w:t>
            </w:r>
            <w:r>
              <w:rPr>
                <w:rFonts w:hint="default" w:ascii="Times New Roman" w:hAnsi="Times New Roman" w:cs="Times New Roman"/>
                <w:sz w:val="18"/>
                <w:szCs w:val="18"/>
              </w:rPr>
              <w:t>/%</w:t>
            </w:r>
          </w:p>
        </w:tc>
        <w:tc>
          <w:tcPr>
            <w:tcW w:w="1614" w:type="dxa"/>
            <w:vAlign w:val="bottom"/>
          </w:tcPr>
          <w:p w14:paraId="56640A98">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0.0081 </w:t>
            </w:r>
          </w:p>
        </w:tc>
        <w:tc>
          <w:tcPr>
            <w:tcW w:w="1614" w:type="dxa"/>
            <w:vAlign w:val="bottom"/>
          </w:tcPr>
          <w:p w14:paraId="17C998E9">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0.017 </w:t>
            </w:r>
          </w:p>
        </w:tc>
        <w:tc>
          <w:tcPr>
            <w:tcW w:w="1420" w:type="dxa"/>
            <w:vAlign w:val="bottom"/>
          </w:tcPr>
          <w:p w14:paraId="7831F039">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0.11 </w:t>
            </w:r>
          </w:p>
        </w:tc>
        <w:tc>
          <w:tcPr>
            <w:tcW w:w="1229" w:type="dxa"/>
            <w:vAlign w:val="bottom"/>
          </w:tcPr>
          <w:p w14:paraId="3898AD32">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0.29 </w:t>
            </w:r>
          </w:p>
        </w:tc>
        <w:tc>
          <w:tcPr>
            <w:tcW w:w="1229" w:type="dxa"/>
            <w:vAlign w:val="bottom"/>
          </w:tcPr>
          <w:p w14:paraId="5B0CBA65">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0.51 </w:t>
            </w:r>
          </w:p>
        </w:tc>
        <w:tc>
          <w:tcPr>
            <w:tcW w:w="642" w:type="pct"/>
            <w:vAlign w:val="center"/>
          </w:tcPr>
          <w:p w14:paraId="140496AF">
            <w:pPr>
              <w:spacing w:line="300" w:lineRule="auto"/>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5177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616F286">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301333BE">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0.0012 </w:t>
            </w:r>
          </w:p>
        </w:tc>
        <w:tc>
          <w:tcPr>
            <w:tcW w:w="1614" w:type="dxa"/>
            <w:vAlign w:val="center"/>
          </w:tcPr>
          <w:p w14:paraId="5C2F7BB1">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0.002 </w:t>
            </w:r>
          </w:p>
        </w:tc>
        <w:tc>
          <w:tcPr>
            <w:tcW w:w="1420" w:type="dxa"/>
            <w:vAlign w:val="center"/>
          </w:tcPr>
          <w:p w14:paraId="122E0E43">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0.02 </w:t>
            </w:r>
          </w:p>
        </w:tc>
        <w:tc>
          <w:tcPr>
            <w:tcW w:w="1229" w:type="dxa"/>
            <w:vAlign w:val="center"/>
          </w:tcPr>
          <w:p w14:paraId="475ABFED">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0.03 </w:t>
            </w:r>
          </w:p>
        </w:tc>
        <w:tc>
          <w:tcPr>
            <w:tcW w:w="1229" w:type="dxa"/>
            <w:vAlign w:val="center"/>
          </w:tcPr>
          <w:p w14:paraId="7C1F2E44">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0.05 </w:t>
            </w:r>
          </w:p>
        </w:tc>
        <w:tc>
          <w:tcPr>
            <w:tcW w:w="642" w:type="pct"/>
            <w:vAlign w:val="center"/>
          </w:tcPr>
          <w:p w14:paraId="1B4C703E">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7312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7086D9C5">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As</w:t>
            </w:r>
            <w:r>
              <w:rPr>
                <w:rFonts w:hint="default" w:ascii="Times New Roman" w:hAnsi="Times New Roman" w:cs="Times New Roman"/>
                <w:sz w:val="18"/>
                <w:szCs w:val="18"/>
              </w:rPr>
              <w:t>/%</w:t>
            </w:r>
          </w:p>
        </w:tc>
        <w:tc>
          <w:tcPr>
            <w:tcW w:w="1614" w:type="dxa"/>
            <w:vAlign w:val="bottom"/>
          </w:tcPr>
          <w:p w14:paraId="0883B343">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0.017 </w:t>
            </w:r>
          </w:p>
        </w:tc>
        <w:tc>
          <w:tcPr>
            <w:tcW w:w="1614" w:type="dxa"/>
            <w:vAlign w:val="bottom"/>
          </w:tcPr>
          <w:p w14:paraId="31EB8B91">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0.098 </w:t>
            </w:r>
          </w:p>
        </w:tc>
        <w:tc>
          <w:tcPr>
            <w:tcW w:w="1420" w:type="dxa"/>
            <w:vAlign w:val="bottom"/>
          </w:tcPr>
          <w:p w14:paraId="3E1B8BF8">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0.19 </w:t>
            </w:r>
          </w:p>
        </w:tc>
        <w:tc>
          <w:tcPr>
            <w:tcW w:w="1229" w:type="dxa"/>
            <w:vAlign w:val="bottom"/>
          </w:tcPr>
          <w:p w14:paraId="37FC5062">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0.77 </w:t>
            </w:r>
          </w:p>
        </w:tc>
        <w:tc>
          <w:tcPr>
            <w:tcW w:w="1229" w:type="dxa"/>
            <w:vAlign w:val="bottom"/>
          </w:tcPr>
          <w:p w14:paraId="35AC434F">
            <w:pPr>
              <w:widowControl/>
              <w:jc w:val="center"/>
              <w:textAlignment w:val="bottom"/>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1.28 </w:t>
            </w:r>
          </w:p>
        </w:tc>
        <w:tc>
          <w:tcPr>
            <w:tcW w:w="642" w:type="pct"/>
            <w:vAlign w:val="center"/>
          </w:tcPr>
          <w:p w14:paraId="3FE65AC6">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7322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5BA00555">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vAlign w:val="center"/>
          </w:tcPr>
          <w:p w14:paraId="59744244">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0.002 </w:t>
            </w:r>
          </w:p>
        </w:tc>
        <w:tc>
          <w:tcPr>
            <w:tcW w:w="1614" w:type="dxa"/>
            <w:vAlign w:val="center"/>
          </w:tcPr>
          <w:p w14:paraId="221BB531">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0.004 </w:t>
            </w:r>
          </w:p>
        </w:tc>
        <w:tc>
          <w:tcPr>
            <w:tcW w:w="1420" w:type="dxa"/>
            <w:vAlign w:val="center"/>
          </w:tcPr>
          <w:p w14:paraId="4DC48CD1">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0.01 </w:t>
            </w:r>
          </w:p>
        </w:tc>
        <w:tc>
          <w:tcPr>
            <w:tcW w:w="1229" w:type="dxa"/>
            <w:vAlign w:val="center"/>
          </w:tcPr>
          <w:p w14:paraId="789C63C6">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0.03 </w:t>
            </w:r>
          </w:p>
        </w:tc>
        <w:tc>
          <w:tcPr>
            <w:tcW w:w="1229" w:type="dxa"/>
            <w:vAlign w:val="center"/>
          </w:tcPr>
          <w:p w14:paraId="58F38B91">
            <w:pPr>
              <w:widowControl/>
              <w:jc w:val="center"/>
              <w:textAlignment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lang w:bidi="ar"/>
              </w:rPr>
              <w:t xml:space="preserve">0.06 </w:t>
            </w:r>
          </w:p>
        </w:tc>
        <w:tc>
          <w:tcPr>
            <w:tcW w:w="642" w:type="pct"/>
            <w:vAlign w:val="center"/>
          </w:tcPr>
          <w:p w14:paraId="3EF2C154">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61A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1ECC0B58">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Mo</w:t>
            </w:r>
            <w:r>
              <w:rPr>
                <w:rFonts w:hint="default" w:ascii="Times New Roman" w:hAnsi="Times New Roman" w:cs="Times New Roman"/>
                <w:sz w:val="18"/>
                <w:szCs w:val="18"/>
              </w:rPr>
              <w:t>/%</w:t>
            </w:r>
          </w:p>
        </w:tc>
        <w:tc>
          <w:tcPr>
            <w:tcW w:w="1614" w:type="dxa"/>
            <w:vAlign w:val="bottom"/>
          </w:tcPr>
          <w:p w14:paraId="5AA104AC">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0.0064 </w:t>
            </w:r>
          </w:p>
        </w:tc>
        <w:tc>
          <w:tcPr>
            <w:tcW w:w="1614" w:type="dxa"/>
            <w:vAlign w:val="bottom"/>
          </w:tcPr>
          <w:p w14:paraId="675B519A">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 </w:t>
            </w:r>
          </w:p>
        </w:tc>
        <w:tc>
          <w:tcPr>
            <w:tcW w:w="1420" w:type="dxa"/>
            <w:vAlign w:val="bottom"/>
          </w:tcPr>
          <w:p w14:paraId="6AF97F5E">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 </w:t>
            </w:r>
          </w:p>
        </w:tc>
        <w:tc>
          <w:tcPr>
            <w:tcW w:w="1229" w:type="dxa"/>
            <w:vAlign w:val="bottom"/>
          </w:tcPr>
          <w:p w14:paraId="2815713C">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1.38 </w:t>
            </w:r>
          </w:p>
        </w:tc>
        <w:tc>
          <w:tcPr>
            <w:tcW w:w="1229" w:type="dxa"/>
            <w:vAlign w:val="bottom"/>
          </w:tcPr>
          <w:p w14:paraId="148AD109">
            <w:pPr>
              <w:keepNext w:val="0"/>
              <w:keepLines w:val="0"/>
              <w:widowControl/>
              <w:suppressLineNumbers w:val="0"/>
              <w:jc w:val="center"/>
              <w:textAlignment w:val="bottom"/>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2.34 </w:t>
            </w:r>
          </w:p>
        </w:tc>
        <w:tc>
          <w:tcPr>
            <w:tcW w:w="642" w:type="pct"/>
            <w:vAlign w:val="center"/>
          </w:tcPr>
          <w:p w14:paraId="3938D5B4">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r w14:paraId="4F0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pct"/>
            <w:vAlign w:val="center"/>
          </w:tcPr>
          <w:p w14:paraId="4D8561F4">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bottom w:val="single" w:color="auto" w:sz="4" w:space="0"/>
            </w:tcBorders>
            <w:vAlign w:val="center"/>
          </w:tcPr>
          <w:p w14:paraId="2349769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c>
          <w:tcPr>
            <w:tcW w:w="1614" w:type="dxa"/>
            <w:tcBorders>
              <w:bottom w:val="single" w:color="auto" w:sz="4" w:space="0"/>
            </w:tcBorders>
            <w:vAlign w:val="center"/>
          </w:tcPr>
          <w:p w14:paraId="0595D17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 </w:t>
            </w:r>
          </w:p>
        </w:tc>
        <w:tc>
          <w:tcPr>
            <w:tcW w:w="1420" w:type="dxa"/>
            <w:tcBorders>
              <w:bottom w:val="single" w:color="auto" w:sz="4" w:space="0"/>
            </w:tcBorders>
            <w:vAlign w:val="center"/>
          </w:tcPr>
          <w:p w14:paraId="1CA9274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229" w:type="dxa"/>
            <w:tcBorders>
              <w:bottom w:val="single" w:color="auto" w:sz="4" w:space="0"/>
            </w:tcBorders>
            <w:vAlign w:val="center"/>
          </w:tcPr>
          <w:p w14:paraId="2EF7496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c>
          <w:tcPr>
            <w:tcW w:w="1229" w:type="dxa"/>
            <w:tcBorders>
              <w:bottom w:val="single" w:color="auto" w:sz="4" w:space="0"/>
            </w:tcBorders>
            <w:vAlign w:val="center"/>
          </w:tcPr>
          <w:p w14:paraId="6663639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0.09 </w:t>
            </w:r>
          </w:p>
        </w:tc>
        <w:tc>
          <w:tcPr>
            <w:tcW w:w="642" w:type="pct"/>
            <w:tcBorders>
              <w:bottom w:val="single" w:color="auto" w:sz="4" w:space="0"/>
            </w:tcBorders>
            <w:vAlign w:val="center"/>
          </w:tcPr>
          <w:p w14:paraId="0D832333">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w:t>
            </w:r>
          </w:p>
        </w:tc>
      </w:tr>
    </w:tbl>
    <w:p w14:paraId="003B859D">
      <w:pPr>
        <w:spacing w:before="156" w:beforeLines="50" w:line="360" w:lineRule="auto"/>
        <w:rPr>
          <w:rFonts w:ascii="黑体" w:eastAsia="黑体"/>
          <w:bCs/>
          <w:color w:val="000000"/>
          <w:szCs w:val="21"/>
        </w:rPr>
      </w:pPr>
      <w:r>
        <w:rPr>
          <w:rFonts w:hint="eastAsia" w:ascii="黑体" w:eastAsia="黑体"/>
          <w:bCs/>
          <w:color w:val="000000"/>
          <w:szCs w:val="21"/>
        </w:rPr>
        <w:t xml:space="preserve">10.2  </w:t>
      </w:r>
      <w:r>
        <w:rPr>
          <w:rFonts w:hint="eastAsia" w:ascii="黑体" w:hAnsi="宋体" w:eastAsia="黑体"/>
          <w:bCs/>
          <w:color w:val="000000"/>
          <w:szCs w:val="21"/>
        </w:rPr>
        <w:t>再现性</w:t>
      </w:r>
    </w:p>
    <w:p w14:paraId="644F9914">
      <w:pPr>
        <w:adjustRightInd w:val="0"/>
        <w:snapToGrid w:val="0"/>
        <w:spacing w:before="50" w:after="50"/>
        <w:ind w:firstLine="444" w:firstLineChars="200"/>
        <w:rPr>
          <w:rFonts w:hint="eastAsia" w:eastAsia="宋体"/>
          <w:spacing w:val="6"/>
          <w:lang w:eastAsia="zh-CN"/>
        </w:rPr>
      </w:pPr>
      <w:r>
        <w:rPr>
          <w:spacing w:val="6"/>
        </w:rPr>
        <w:t>在再现性条件下获得的两次独立测试结果的测定值，在以下给出的平均值范围内，这两个测试结果的绝对差值不超过再现性限（</w:t>
      </w:r>
      <w:r>
        <w:rPr>
          <w:i/>
          <w:spacing w:val="6"/>
        </w:rPr>
        <w:t>R</w:t>
      </w:r>
      <w:r>
        <w:rPr>
          <w:spacing w:val="6"/>
        </w:rPr>
        <w:t>），超过再现性限（</w:t>
      </w:r>
      <w:r>
        <w:rPr>
          <w:i/>
          <w:spacing w:val="6"/>
        </w:rPr>
        <w:t>R</w:t>
      </w:r>
      <w:r>
        <w:rPr>
          <w:spacing w:val="6"/>
        </w:rPr>
        <w:t>）的情况不超过5%，再现性限（</w:t>
      </w:r>
      <w:r>
        <w:rPr>
          <w:i/>
          <w:spacing w:val="6"/>
        </w:rPr>
        <w:t>R</w:t>
      </w:r>
      <w:r>
        <w:rPr>
          <w:spacing w:val="6"/>
        </w:rPr>
        <w:t>）按表5数据采用线性内插法求得</w:t>
      </w:r>
      <w:r>
        <w:rPr>
          <w:rFonts w:hint="eastAsia"/>
          <w:spacing w:val="6"/>
          <w:lang w:eastAsia="zh-CN"/>
        </w:rPr>
        <w:t>。</w:t>
      </w:r>
    </w:p>
    <w:p w14:paraId="6BDF98F5">
      <w:pPr>
        <w:spacing w:line="300" w:lineRule="auto"/>
        <w:jc w:val="center"/>
        <w:rPr>
          <w:rFonts w:eastAsia="黑体"/>
          <w:bCs/>
          <w:color w:val="000000"/>
          <w:szCs w:val="21"/>
        </w:rPr>
      </w:pPr>
      <w:r>
        <w:rPr>
          <w:rFonts w:hint="eastAsia" w:ascii="黑体" w:hAnsi="黑体" w:eastAsia="黑体" w:cs="黑体"/>
          <w:bCs/>
          <w:color w:val="000000"/>
          <w:szCs w:val="21"/>
        </w:rPr>
        <w:t xml:space="preserve">表5 </w:t>
      </w:r>
      <w:r>
        <w:rPr>
          <w:rFonts w:eastAsia="黑体"/>
          <w:bCs/>
          <w:color w:val="000000"/>
          <w:szCs w:val="21"/>
        </w:rPr>
        <w:t>再现性限</w:t>
      </w:r>
      <w:r>
        <w:rPr>
          <w:rFonts w:hint="eastAsia" w:ascii="黑体" w:hAnsi="黑体" w:eastAsia="黑体"/>
          <w:bCs/>
          <w:color w:val="000000"/>
          <w:szCs w:val="21"/>
        </w:rPr>
        <w:t>（</w:t>
      </w:r>
      <w:r>
        <w:rPr>
          <w:rFonts w:hint="eastAsia" w:ascii="黑体" w:hAnsi="黑体" w:eastAsia="黑体"/>
          <w:bCs/>
          <w:i/>
          <w:iCs/>
          <w:color w:val="000000"/>
          <w:szCs w:val="21"/>
          <w:lang w:val="en-US" w:eastAsia="zh-CN"/>
        </w:rPr>
        <w:t>R</w:t>
      </w:r>
      <w:r>
        <w:rPr>
          <w:rFonts w:hint="eastAsia" w:ascii="黑体" w:hAnsi="黑体" w:eastAsia="黑体"/>
          <w:bCs/>
          <w:color w:val="000000"/>
          <w:szCs w:val="21"/>
        </w:rPr>
        <w:t>）</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614"/>
        <w:gridCol w:w="1614"/>
        <w:gridCol w:w="1420"/>
        <w:gridCol w:w="1229"/>
        <w:gridCol w:w="1229"/>
        <w:gridCol w:w="1229"/>
      </w:tblGrid>
      <w:tr w14:paraId="26D0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5E4D06FD">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Cu</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10729104">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0.0068 </w:t>
            </w:r>
          </w:p>
        </w:tc>
        <w:tc>
          <w:tcPr>
            <w:tcW w:w="1614" w:type="dxa"/>
            <w:tcBorders>
              <w:top w:val="single" w:color="auto" w:sz="4" w:space="0"/>
              <w:left w:val="single" w:color="auto" w:sz="4" w:space="0"/>
              <w:bottom w:val="single" w:color="auto" w:sz="4" w:space="0"/>
              <w:right w:val="single" w:color="auto" w:sz="4" w:space="0"/>
            </w:tcBorders>
            <w:vAlign w:val="bottom"/>
          </w:tcPr>
          <w:p w14:paraId="6CD60913">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1420" w:type="dxa"/>
            <w:tcBorders>
              <w:top w:val="single" w:color="auto" w:sz="4" w:space="0"/>
              <w:left w:val="single" w:color="auto" w:sz="4" w:space="0"/>
              <w:bottom w:val="single" w:color="auto" w:sz="4" w:space="0"/>
              <w:right w:val="single" w:color="auto" w:sz="4" w:space="0"/>
            </w:tcBorders>
            <w:vAlign w:val="bottom"/>
          </w:tcPr>
          <w:p w14:paraId="25DADBD9">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0.78 </w:t>
            </w:r>
          </w:p>
        </w:tc>
        <w:tc>
          <w:tcPr>
            <w:tcW w:w="1229" w:type="dxa"/>
            <w:tcBorders>
              <w:top w:val="single" w:color="auto" w:sz="4" w:space="0"/>
              <w:left w:val="single" w:color="auto" w:sz="4" w:space="0"/>
              <w:bottom w:val="single" w:color="auto" w:sz="4" w:space="0"/>
              <w:right w:val="single" w:color="auto" w:sz="4" w:space="0"/>
            </w:tcBorders>
            <w:vAlign w:val="bottom"/>
          </w:tcPr>
          <w:p w14:paraId="5ED3C882">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1.22 </w:t>
            </w:r>
          </w:p>
        </w:tc>
        <w:tc>
          <w:tcPr>
            <w:tcW w:w="1229" w:type="dxa"/>
            <w:tcBorders>
              <w:top w:val="single" w:color="auto" w:sz="4" w:space="0"/>
              <w:left w:val="single" w:color="auto" w:sz="4" w:space="0"/>
              <w:bottom w:val="single" w:color="auto" w:sz="4" w:space="0"/>
              <w:right w:val="single" w:color="auto" w:sz="4" w:space="0"/>
            </w:tcBorders>
            <w:vAlign w:val="bottom"/>
          </w:tcPr>
          <w:p w14:paraId="63D89EF6">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2.14 </w:t>
            </w:r>
          </w:p>
        </w:tc>
        <w:tc>
          <w:tcPr>
            <w:tcW w:w="1229" w:type="dxa"/>
            <w:tcBorders>
              <w:top w:val="single" w:color="auto" w:sz="4" w:space="0"/>
              <w:left w:val="single" w:color="auto" w:sz="4" w:space="0"/>
              <w:bottom w:val="single" w:color="auto" w:sz="4" w:space="0"/>
              <w:right w:val="single" w:color="auto" w:sz="4" w:space="0"/>
            </w:tcBorders>
            <w:vAlign w:val="bottom"/>
          </w:tcPr>
          <w:p w14:paraId="1FAC859B">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4.66 </w:t>
            </w:r>
          </w:p>
        </w:tc>
      </w:tr>
      <w:tr w14:paraId="329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774C9E30">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0ED665D3">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0.0013 </w:t>
            </w:r>
          </w:p>
        </w:tc>
        <w:tc>
          <w:tcPr>
            <w:tcW w:w="1614" w:type="dxa"/>
            <w:tcBorders>
              <w:top w:val="single" w:color="auto" w:sz="4" w:space="0"/>
              <w:left w:val="single" w:color="auto" w:sz="4" w:space="0"/>
              <w:bottom w:val="single" w:color="auto" w:sz="4" w:space="0"/>
              <w:right w:val="single" w:color="auto" w:sz="4" w:space="0"/>
            </w:tcBorders>
            <w:vAlign w:val="center"/>
          </w:tcPr>
          <w:p w14:paraId="1A21C21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420" w:type="dxa"/>
            <w:tcBorders>
              <w:top w:val="single" w:color="auto" w:sz="4" w:space="0"/>
              <w:left w:val="single" w:color="auto" w:sz="4" w:space="0"/>
              <w:bottom w:val="single" w:color="auto" w:sz="4" w:space="0"/>
              <w:right w:val="single" w:color="auto" w:sz="4" w:space="0"/>
            </w:tcBorders>
            <w:vAlign w:val="center"/>
          </w:tcPr>
          <w:p w14:paraId="58F56184">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 </w:t>
            </w:r>
          </w:p>
        </w:tc>
        <w:tc>
          <w:tcPr>
            <w:tcW w:w="1229" w:type="dxa"/>
            <w:tcBorders>
              <w:top w:val="single" w:color="auto" w:sz="4" w:space="0"/>
              <w:left w:val="single" w:color="auto" w:sz="4" w:space="0"/>
              <w:bottom w:val="single" w:color="auto" w:sz="4" w:space="0"/>
              <w:right w:val="single" w:color="auto" w:sz="4" w:space="0"/>
            </w:tcBorders>
            <w:vAlign w:val="center"/>
          </w:tcPr>
          <w:p w14:paraId="2970B64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c>
          <w:tcPr>
            <w:tcW w:w="1229" w:type="dxa"/>
            <w:tcBorders>
              <w:top w:val="single" w:color="auto" w:sz="4" w:space="0"/>
              <w:left w:val="single" w:color="auto" w:sz="4" w:space="0"/>
              <w:bottom w:val="single" w:color="auto" w:sz="4" w:space="0"/>
              <w:right w:val="single" w:color="auto" w:sz="4" w:space="0"/>
            </w:tcBorders>
            <w:vAlign w:val="center"/>
          </w:tcPr>
          <w:p w14:paraId="6E01C1C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0.22 </w:t>
            </w:r>
          </w:p>
        </w:tc>
        <w:tc>
          <w:tcPr>
            <w:tcW w:w="1229" w:type="dxa"/>
            <w:tcBorders>
              <w:top w:val="single" w:color="auto" w:sz="4" w:space="0"/>
              <w:left w:val="single" w:color="auto" w:sz="4" w:space="0"/>
              <w:bottom w:val="single" w:color="auto" w:sz="4" w:space="0"/>
              <w:right w:val="single" w:color="auto" w:sz="4" w:space="0"/>
            </w:tcBorders>
            <w:vAlign w:val="center"/>
          </w:tcPr>
          <w:p w14:paraId="3635EBE5">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0.31 </w:t>
            </w:r>
          </w:p>
        </w:tc>
      </w:tr>
      <w:tr w14:paraId="2522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702B8A65">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Pb</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1E749DF4">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0.027 </w:t>
            </w:r>
          </w:p>
        </w:tc>
        <w:tc>
          <w:tcPr>
            <w:tcW w:w="1614" w:type="dxa"/>
            <w:tcBorders>
              <w:top w:val="single" w:color="auto" w:sz="4" w:space="0"/>
              <w:left w:val="single" w:color="auto" w:sz="4" w:space="0"/>
              <w:bottom w:val="single" w:color="auto" w:sz="4" w:space="0"/>
              <w:right w:val="single" w:color="auto" w:sz="4" w:space="0"/>
            </w:tcBorders>
            <w:vAlign w:val="bottom"/>
          </w:tcPr>
          <w:p w14:paraId="5E80D7EF">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0.10 </w:t>
            </w:r>
          </w:p>
        </w:tc>
        <w:tc>
          <w:tcPr>
            <w:tcW w:w="1420" w:type="dxa"/>
            <w:tcBorders>
              <w:top w:val="single" w:color="auto" w:sz="4" w:space="0"/>
              <w:left w:val="single" w:color="auto" w:sz="4" w:space="0"/>
              <w:bottom w:val="single" w:color="auto" w:sz="4" w:space="0"/>
              <w:right w:val="single" w:color="auto" w:sz="4" w:space="0"/>
            </w:tcBorders>
            <w:vAlign w:val="bottom"/>
          </w:tcPr>
          <w:p w14:paraId="23CC6D54">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0.78 </w:t>
            </w:r>
          </w:p>
        </w:tc>
        <w:tc>
          <w:tcPr>
            <w:tcW w:w="1229" w:type="dxa"/>
            <w:tcBorders>
              <w:top w:val="single" w:color="auto" w:sz="4" w:space="0"/>
              <w:left w:val="single" w:color="auto" w:sz="4" w:space="0"/>
              <w:bottom w:val="single" w:color="auto" w:sz="4" w:space="0"/>
              <w:right w:val="single" w:color="auto" w:sz="4" w:space="0"/>
            </w:tcBorders>
            <w:vAlign w:val="bottom"/>
          </w:tcPr>
          <w:p w14:paraId="705514ED">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1.04 </w:t>
            </w:r>
          </w:p>
        </w:tc>
        <w:tc>
          <w:tcPr>
            <w:tcW w:w="1229" w:type="dxa"/>
            <w:tcBorders>
              <w:top w:val="single" w:color="auto" w:sz="4" w:space="0"/>
              <w:left w:val="single" w:color="auto" w:sz="4" w:space="0"/>
              <w:bottom w:val="single" w:color="auto" w:sz="4" w:space="0"/>
              <w:right w:val="single" w:color="auto" w:sz="4" w:space="0"/>
            </w:tcBorders>
            <w:vAlign w:val="bottom"/>
          </w:tcPr>
          <w:p w14:paraId="0008D3A1">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3.53 </w:t>
            </w:r>
          </w:p>
        </w:tc>
        <w:tc>
          <w:tcPr>
            <w:tcW w:w="1229" w:type="dxa"/>
            <w:tcBorders>
              <w:top w:val="single" w:color="auto" w:sz="4" w:space="0"/>
              <w:left w:val="single" w:color="auto" w:sz="4" w:space="0"/>
              <w:bottom w:val="single" w:color="auto" w:sz="4" w:space="0"/>
              <w:right w:val="single" w:color="auto" w:sz="4" w:space="0"/>
            </w:tcBorders>
            <w:vAlign w:val="bottom"/>
          </w:tcPr>
          <w:p w14:paraId="17E7CC6F">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4.69 </w:t>
            </w:r>
          </w:p>
        </w:tc>
      </w:tr>
      <w:tr w14:paraId="33A1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04122F08">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5B9EB5B0">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0.006 </w:t>
            </w:r>
          </w:p>
        </w:tc>
        <w:tc>
          <w:tcPr>
            <w:tcW w:w="1614" w:type="dxa"/>
            <w:tcBorders>
              <w:top w:val="single" w:color="auto" w:sz="4" w:space="0"/>
              <w:left w:val="single" w:color="auto" w:sz="4" w:space="0"/>
              <w:bottom w:val="single" w:color="auto" w:sz="4" w:space="0"/>
              <w:right w:val="single" w:color="auto" w:sz="4" w:space="0"/>
            </w:tcBorders>
            <w:vAlign w:val="center"/>
          </w:tcPr>
          <w:p w14:paraId="1C67E0FB">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0.02 </w:t>
            </w:r>
          </w:p>
        </w:tc>
        <w:tc>
          <w:tcPr>
            <w:tcW w:w="1420" w:type="dxa"/>
            <w:tcBorders>
              <w:top w:val="single" w:color="auto" w:sz="4" w:space="0"/>
              <w:left w:val="single" w:color="auto" w:sz="4" w:space="0"/>
              <w:bottom w:val="single" w:color="auto" w:sz="4" w:space="0"/>
              <w:right w:val="single" w:color="auto" w:sz="4" w:space="0"/>
            </w:tcBorders>
            <w:vAlign w:val="center"/>
          </w:tcPr>
          <w:p w14:paraId="3FCCDB87">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0.07 </w:t>
            </w:r>
          </w:p>
        </w:tc>
        <w:tc>
          <w:tcPr>
            <w:tcW w:w="1229" w:type="dxa"/>
            <w:tcBorders>
              <w:top w:val="single" w:color="auto" w:sz="4" w:space="0"/>
              <w:left w:val="single" w:color="auto" w:sz="4" w:space="0"/>
              <w:bottom w:val="single" w:color="auto" w:sz="4" w:space="0"/>
              <w:right w:val="single" w:color="auto" w:sz="4" w:space="0"/>
            </w:tcBorders>
            <w:vAlign w:val="center"/>
          </w:tcPr>
          <w:p w14:paraId="58929292">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0.09 </w:t>
            </w:r>
          </w:p>
        </w:tc>
        <w:tc>
          <w:tcPr>
            <w:tcW w:w="1229" w:type="dxa"/>
            <w:tcBorders>
              <w:top w:val="single" w:color="auto" w:sz="4" w:space="0"/>
              <w:left w:val="single" w:color="auto" w:sz="4" w:space="0"/>
              <w:bottom w:val="single" w:color="auto" w:sz="4" w:space="0"/>
              <w:right w:val="single" w:color="auto" w:sz="4" w:space="0"/>
            </w:tcBorders>
            <w:vAlign w:val="center"/>
          </w:tcPr>
          <w:p w14:paraId="1B0F3808">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0.20 </w:t>
            </w:r>
          </w:p>
        </w:tc>
        <w:tc>
          <w:tcPr>
            <w:tcW w:w="1229" w:type="dxa"/>
            <w:tcBorders>
              <w:top w:val="single" w:color="auto" w:sz="4" w:space="0"/>
              <w:left w:val="single" w:color="auto" w:sz="4" w:space="0"/>
              <w:bottom w:val="single" w:color="auto" w:sz="4" w:space="0"/>
              <w:right w:val="single" w:color="auto" w:sz="4" w:space="0"/>
            </w:tcBorders>
            <w:vAlign w:val="center"/>
          </w:tcPr>
          <w:p w14:paraId="58992834">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0.27 </w:t>
            </w:r>
          </w:p>
        </w:tc>
      </w:tr>
      <w:tr w14:paraId="766C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78523B50">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Zn</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45FA4238">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0.015 </w:t>
            </w:r>
          </w:p>
        </w:tc>
        <w:tc>
          <w:tcPr>
            <w:tcW w:w="1614" w:type="dxa"/>
            <w:tcBorders>
              <w:top w:val="single" w:color="auto" w:sz="4" w:space="0"/>
              <w:left w:val="single" w:color="auto" w:sz="4" w:space="0"/>
              <w:bottom w:val="single" w:color="auto" w:sz="4" w:space="0"/>
              <w:right w:val="single" w:color="auto" w:sz="4" w:space="0"/>
            </w:tcBorders>
            <w:vAlign w:val="bottom"/>
          </w:tcPr>
          <w:p w14:paraId="4385CAC5">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1420" w:type="dxa"/>
            <w:tcBorders>
              <w:top w:val="single" w:color="auto" w:sz="4" w:space="0"/>
              <w:left w:val="single" w:color="auto" w:sz="4" w:space="0"/>
              <w:bottom w:val="single" w:color="auto" w:sz="4" w:space="0"/>
              <w:right w:val="single" w:color="auto" w:sz="4" w:space="0"/>
            </w:tcBorders>
            <w:vAlign w:val="bottom"/>
          </w:tcPr>
          <w:p w14:paraId="318AB105">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0.76 </w:t>
            </w:r>
          </w:p>
        </w:tc>
        <w:tc>
          <w:tcPr>
            <w:tcW w:w="1229" w:type="dxa"/>
            <w:tcBorders>
              <w:top w:val="single" w:color="auto" w:sz="4" w:space="0"/>
              <w:left w:val="single" w:color="auto" w:sz="4" w:space="0"/>
              <w:bottom w:val="single" w:color="auto" w:sz="4" w:space="0"/>
              <w:right w:val="single" w:color="auto" w:sz="4" w:space="0"/>
            </w:tcBorders>
            <w:vAlign w:val="bottom"/>
          </w:tcPr>
          <w:p w14:paraId="01E33E21">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1.53 </w:t>
            </w:r>
          </w:p>
        </w:tc>
        <w:tc>
          <w:tcPr>
            <w:tcW w:w="1229" w:type="dxa"/>
            <w:tcBorders>
              <w:top w:val="single" w:color="auto" w:sz="4" w:space="0"/>
              <w:left w:val="single" w:color="auto" w:sz="4" w:space="0"/>
              <w:bottom w:val="single" w:color="auto" w:sz="4" w:space="0"/>
              <w:right w:val="single" w:color="auto" w:sz="4" w:space="0"/>
            </w:tcBorders>
            <w:vAlign w:val="bottom"/>
          </w:tcPr>
          <w:p w14:paraId="6A22B17B">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2.79 </w:t>
            </w:r>
          </w:p>
        </w:tc>
        <w:tc>
          <w:tcPr>
            <w:tcW w:w="1229" w:type="dxa"/>
            <w:tcBorders>
              <w:top w:val="single" w:color="auto" w:sz="4" w:space="0"/>
              <w:left w:val="single" w:color="auto" w:sz="4" w:space="0"/>
              <w:bottom w:val="single" w:color="auto" w:sz="4" w:space="0"/>
              <w:right w:val="single" w:color="auto" w:sz="4" w:space="0"/>
            </w:tcBorders>
            <w:vAlign w:val="bottom"/>
          </w:tcPr>
          <w:p w14:paraId="5B5F5DC7">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4.34 </w:t>
            </w:r>
          </w:p>
        </w:tc>
      </w:tr>
      <w:tr w14:paraId="6767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49BEA347">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011F4659">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 </w:t>
            </w:r>
          </w:p>
        </w:tc>
        <w:tc>
          <w:tcPr>
            <w:tcW w:w="1614" w:type="dxa"/>
            <w:tcBorders>
              <w:top w:val="single" w:color="auto" w:sz="4" w:space="0"/>
              <w:left w:val="single" w:color="auto" w:sz="4" w:space="0"/>
              <w:bottom w:val="single" w:color="auto" w:sz="4" w:space="0"/>
              <w:right w:val="single" w:color="auto" w:sz="4" w:space="0"/>
            </w:tcBorders>
            <w:vAlign w:val="center"/>
          </w:tcPr>
          <w:p w14:paraId="16353566">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c>
          <w:tcPr>
            <w:tcW w:w="1420" w:type="dxa"/>
            <w:tcBorders>
              <w:top w:val="single" w:color="auto" w:sz="4" w:space="0"/>
              <w:left w:val="single" w:color="auto" w:sz="4" w:space="0"/>
              <w:bottom w:val="single" w:color="auto" w:sz="4" w:space="0"/>
              <w:right w:val="single" w:color="auto" w:sz="4" w:space="0"/>
            </w:tcBorders>
            <w:vAlign w:val="center"/>
          </w:tcPr>
          <w:p w14:paraId="0FF2A2D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0.06 </w:t>
            </w:r>
          </w:p>
        </w:tc>
        <w:tc>
          <w:tcPr>
            <w:tcW w:w="1229" w:type="dxa"/>
            <w:tcBorders>
              <w:top w:val="single" w:color="auto" w:sz="4" w:space="0"/>
              <w:left w:val="single" w:color="auto" w:sz="4" w:space="0"/>
              <w:bottom w:val="single" w:color="auto" w:sz="4" w:space="0"/>
              <w:right w:val="single" w:color="auto" w:sz="4" w:space="0"/>
            </w:tcBorders>
            <w:vAlign w:val="center"/>
          </w:tcPr>
          <w:p w14:paraId="5B3D49BB">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c>
          <w:tcPr>
            <w:tcW w:w="1229" w:type="dxa"/>
            <w:tcBorders>
              <w:top w:val="single" w:color="auto" w:sz="4" w:space="0"/>
              <w:left w:val="single" w:color="auto" w:sz="4" w:space="0"/>
              <w:bottom w:val="single" w:color="auto" w:sz="4" w:space="0"/>
              <w:right w:val="single" w:color="auto" w:sz="4" w:space="0"/>
            </w:tcBorders>
            <w:vAlign w:val="center"/>
          </w:tcPr>
          <w:p w14:paraId="3BEBF377">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0.14 </w:t>
            </w:r>
          </w:p>
        </w:tc>
        <w:tc>
          <w:tcPr>
            <w:tcW w:w="1229" w:type="dxa"/>
            <w:tcBorders>
              <w:top w:val="single" w:color="auto" w:sz="4" w:space="0"/>
              <w:left w:val="single" w:color="auto" w:sz="4" w:space="0"/>
              <w:bottom w:val="single" w:color="auto" w:sz="4" w:space="0"/>
              <w:right w:val="single" w:color="auto" w:sz="4" w:space="0"/>
            </w:tcBorders>
            <w:vAlign w:val="center"/>
          </w:tcPr>
          <w:p w14:paraId="4C8BCE15">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0.28 </w:t>
            </w:r>
          </w:p>
        </w:tc>
      </w:tr>
      <w:tr w14:paraId="58C0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3AC0BB98">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Ni</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4C8EADE7">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0.0060 </w:t>
            </w:r>
          </w:p>
        </w:tc>
        <w:tc>
          <w:tcPr>
            <w:tcW w:w="1614" w:type="dxa"/>
            <w:tcBorders>
              <w:top w:val="single" w:color="auto" w:sz="4" w:space="0"/>
              <w:left w:val="single" w:color="auto" w:sz="4" w:space="0"/>
              <w:bottom w:val="single" w:color="auto" w:sz="4" w:space="0"/>
              <w:right w:val="single" w:color="auto" w:sz="4" w:space="0"/>
            </w:tcBorders>
            <w:vAlign w:val="bottom"/>
          </w:tcPr>
          <w:p w14:paraId="55C7F725">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0.011 </w:t>
            </w:r>
          </w:p>
        </w:tc>
        <w:tc>
          <w:tcPr>
            <w:tcW w:w="1420" w:type="dxa"/>
            <w:tcBorders>
              <w:top w:val="single" w:color="auto" w:sz="4" w:space="0"/>
              <w:left w:val="single" w:color="auto" w:sz="4" w:space="0"/>
              <w:bottom w:val="single" w:color="auto" w:sz="4" w:space="0"/>
              <w:right w:val="single" w:color="auto" w:sz="4" w:space="0"/>
            </w:tcBorders>
            <w:vAlign w:val="bottom"/>
          </w:tcPr>
          <w:p w14:paraId="3A5BD514">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0.024 </w:t>
            </w:r>
          </w:p>
        </w:tc>
        <w:tc>
          <w:tcPr>
            <w:tcW w:w="1229" w:type="dxa"/>
            <w:tcBorders>
              <w:top w:val="single" w:color="auto" w:sz="4" w:space="0"/>
              <w:left w:val="single" w:color="auto" w:sz="4" w:space="0"/>
              <w:bottom w:val="single" w:color="auto" w:sz="4" w:space="0"/>
              <w:right w:val="single" w:color="auto" w:sz="4" w:space="0"/>
            </w:tcBorders>
            <w:vAlign w:val="bottom"/>
          </w:tcPr>
          <w:p w14:paraId="6188638C">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0.19 </w:t>
            </w:r>
          </w:p>
        </w:tc>
        <w:tc>
          <w:tcPr>
            <w:tcW w:w="1229" w:type="dxa"/>
            <w:tcBorders>
              <w:top w:val="single" w:color="auto" w:sz="4" w:space="0"/>
              <w:left w:val="single" w:color="auto" w:sz="4" w:space="0"/>
              <w:bottom w:val="single" w:color="auto" w:sz="4" w:space="0"/>
              <w:right w:val="single" w:color="auto" w:sz="4" w:space="0"/>
            </w:tcBorders>
            <w:vAlign w:val="bottom"/>
          </w:tcPr>
          <w:p w14:paraId="250CAE66">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0.45 </w:t>
            </w:r>
          </w:p>
        </w:tc>
        <w:tc>
          <w:tcPr>
            <w:tcW w:w="1229" w:type="dxa"/>
            <w:tcBorders>
              <w:top w:val="single" w:color="auto" w:sz="4" w:space="0"/>
              <w:left w:val="single" w:color="auto" w:sz="4" w:space="0"/>
              <w:bottom w:val="single" w:color="auto" w:sz="4" w:space="0"/>
              <w:right w:val="single" w:color="auto" w:sz="4" w:space="0"/>
            </w:tcBorders>
            <w:vAlign w:val="bottom"/>
          </w:tcPr>
          <w:p w14:paraId="2985DAF3">
            <w:pPr>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0.61 </w:t>
            </w:r>
          </w:p>
        </w:tc>
      </w:tr>
      <w:tr w14:paraId="021D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0DD7A307">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71B25E04">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0.0016 </w:t>
            </w:r>
          </w:p>
        </w:tc>
        <w:tc>
          <w:tcPr>
            <w:tcW w:w="1614" w:type="dxa"/>
            <w:tcBorders>
              <w:top w:val="single" w:color="auto" w:sz="4" w:space="0"/>
              <w:left w:val="single" w:color="auto" w:sz="4" w:space="0"/>
              <w:bottom w:val="single" w:color="auto" w:sz="4" w:space="0"/>
              <w:right w:val="single" w:color="auto" w:sz="4" w:space="0"/>
            </w:tcBorders>
            <w:vAlign w:val="center"/>
          </w:tcPr>
          <w:p w14:paraId="28856AF7">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0.002 </w:t>
            </w:r>
          </w:p>
        </w:tc>
        <w:tc>
          <w:tcPr>
            <w:tcW w:w="1420" w:type="dxa"/>
            <w:tcBorders>
              <w:top w:val="single" w:color="auto" w:sz="4" w:space="0"/>
              <w:left w:val="single" w:color="auto" w:sz="4" w:space="0"/>
              <w:bottom w:val="single" w:color="auto" w:sz="4" w:space="0"/>
              <w:right w:val="single" w:color="auto" w:sz="4" w:space="0"/>
            </w:tcBorders>
            <w:vAlign w:val="center"/>
          </w:tcPr>
          <w:p w14:paraId="51A7A30B">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0.005 </w:t>
            </w:r>
          </w:p>
        </w:tc>
        <w:tc>
          <w:tcPr>
            <w:tcW w:w="1229" w:type="dxa"/>
            <w:tcBorders>
              <w:top w:val="single" w:color="auto" w:sz="4" w:space="0"/>
              <w:left w:val="single" w:color="auto" w:sz="4" w:space="0"/>
              <w:bottom w:val="single" w:color="auto" w:sz="4" w:space="0"/>
              <w:right w:val="single" w:color="auto" w:sz="4" w:space="0"/>
            </w:tcBorders>
            <w:vAlign w:val="center"/>
          </w:tcPr>
          <w:p w14:paraId="247FCFA4">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0.03 </w:t>
            </w:r>
          </w:p>
        </w:tc>
        <w:tc>
          <w:tcPr>
            <w:tcW w:w="1229" w:type="dxa"/>
            <w:tcBorders>
              <w:top w:val="single" w:color="auto" w:sz="4" w:space="0"/>
              <w:left w:val="single" w:color="auto" w:sz="4" w:space="0"/>
              <w:bottom w:val="single" w:color="auto" w:sz="4" w:space="0"/>
              <w:right w:val="single" w:color="auto" w:sz="4" w:space="0"/>
            </w:tcBorders>
            <w:vAlign w:val="center"/>
          </w:tcPr>
          <w:p w14:paraId="73CA6F16">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0.04 </w:t>
            </w:r>
          </w:p>
        </w:tc>
        <w:tc>
          <w:tcPr>
            <w:tcW w:w="1229" w:type="dxa"/>
            <w:tcBorders>
              <w:top w:val="single" w:color="auto" w:sz="4" w:space="0"/>
              <w:left w:val="single" w:color="auto" w:sz="4" w:space="0"/>
              <w:bottom w:val="single" w:color="auto" w:sz="4" w:space="0"/>
              <w:right w:val="single" w:color="auto" w:sz="4" w:space="0"/>
            </w:tcBorders>
            <w:vAlign w:val="center"/>
          </w:tcPr>
          <w:p w14:paraId="328AE7D5">
            <w:pPr>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0.05 </w:t>
            </w:r>
          </w:p>
        </w:tc>
      </w:tr>
      <w:tr w14:paraId="74D6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786D698E">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Co</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418F13E3">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0.0060 </w:t>
            </w:r>
          </w:p>
        </w:tc>
        <w:tc>
          <w:tcPr>
            <w:tcW w:w="1614" w:type="dxa"/>
            <w:tcBorders>
              <w:top w:val="single" w:color="auto" w:sz="4" w:space="0"/>
              <w:left w:val="single" w:color="auto" w:sz="4" w:space="0"/>
              <w:bottom w:val="single" w:color="auto" w:sz="4" w:space="0"/>
              <w:right w:val="single" w:color="auto" w:sz="4" w:space="0"/>
            </w:tcBorders>
            <w:vAlign w:val="bottom"/>
          </w:tcPr>
          <w:p w14:paraId="49C29FA8">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0.011 </w:t>
            </w:r>
          </w:p>
        </w:tc>
        <w:tc>
          <w:tcPr>
            <w:tcW w:w="1420" w:type="dxa"/>
            <w:tcBorders>
              <w:top w:val="single" w:color="auto" w:sz="4" w:space="0"/>
              <w:left w:val="single" w:color="auto" w:sz="4" w:space="0"/>
              <w:bottom w:val="single" w:color="auto" w:sz="4" w:space="0"/>
              <w:right w:val="single" w:color="auto" w:sz="4" w:space="0"/>
            </w:tcBorders>
            <w:vAlign w:val="bottom"/>
          </w:tcPr>
          <w:p w14:paraId="4123B173">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0.084 </w:t>
            </w:r>
          </w:p>
        </w:tc>
        <w:tc>
          <w:tcPr>
            <w:tcW w:w="1229" w:type="dxa"/>
            <w:tcBorders>
              <w:top w:val="single" w:color="auto" w:sz="4" w:space="0"/>
              <w:left w:val="single" w:color="auto" w:sz="4" w:space="0"/>
              <w:bottom w:val="single" w:color="auto" w:sz="4" w:space="0"/>
              <w:right w:val="single" w:color="auto" w:sz="4" w:space="0"/>
            </w:tcBorders>
            <w:vAlign w:val="bottom"/>
          </w:tcPr>
          <w:p w14:paraId="31ECEA69">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0.28 </w:t>
            </w:r>
          </w:p>
        </w:tc>
        <w:tc>
          <w:tcPr>
            <w:tcW w:w="1229" w:type="dxa"/>
            <w:tcBorders>
              <w:top w:val="single" w:color="auto" w:sz="4" w:space="0"/>
              <w:left w:val="single" w:color="auto" w:sz="4" w:space="0"/>
              <w:bottom w:val="single" w:color="auto" w:sz="4" w:space="0"/>
              <w:right w:val="single" w:color="auto" w:sz="4" w:space="0"/>
            </w:tcBorders>
            <w:vAlign w:val="bottom"/>
          </w:tcPr>
          <w:p w14:paraId="730B97B9">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0.46 </w:t>
            </w:r>
          </w:p>
        </w:tc>
        <w:tc>
          <w:tcPr>
            <w:tcW w:w="1229" w:type="dxa"/>
            <w:tcBorders>
              <w:top w:val="single" w:color="auto" w:sz="4" w:space="0"/>
              <w:left w:val="single" w:color="auto" w:sz="4" w:space="0"/>
              <w:bottom w:val="single" w:color="auto" w:sz="4" w:space="0"/>
              <w:right w:val="single" w:color="auto" w:sz="4" w:space="0"/>
            </w:tcBorders>
            <w:vAlign w:val="bottom"/>
          </w:tcPr>
          <w:p w14:paraId="15CAE6FA">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3.03 </w:t>
            </w:r>
          </w:p>
        </w:tc>
      </w:tr>
      <w:tr w14:paraId="2FB4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63AECA2F">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50D918FE">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0.0008 </w:t>
            </w:r>
          </w:p>
        </w:tc>
        <w:tc>
          <w:tcPr>
            <w:tcW w:w="1614" w:type="dxa"/>
            <w:tcBorders>
              <w:top w:val="single" w:color="auto" w:sz="4" w:space="0"/>
              <w:left w:val="single" w:color="auto" w:sz="4" w:space="0"/>
              <w:bottom w:val="single" w:color="auto" w:sz="4" w:space="0"/>
              <w:right w:val="single" w:color="auto" w:sz="4" w:space="0"/>
            </w:tcBorders>
            <w:vAlign w:val="center"/>
          </w:tcPr>
          <w:p w14:paraId="621B7A4E">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0.002 </w:t>
            </w:r>
          </w:p>
        </w:tc>
        <w:tc>
          <w:tcPr>
            <w:tcW w:w="1420" w:type="dxa"/>
            <w:tcBorders>
              <w:top w:val="single" w:color="auto" w:sz="4" w:space="0"/>
              <w:left w:val="single" w:color="auto" w:sz="4" w:space="0"/>
              <w:bottom w:val="single" w:color="auto" w:sz="4" w:space="0"/>
              <w:right w:val="single" w:color="auto" w:sz="4" w:space="0"/>
            </w:tcBorders>
            <w:vAlign w:val="center"/>
          </w:tcPr>
          <w:p w14:paraId="0AC90B2B">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0.006 </w:t>
            </w:r>
          </w:p>
        </w:tc>
        <w:tc>
          <w:tcPr>
            <w:tcW w:w="1229" w:type="dxa"/>
            <w:tcBorders>
              <w:top w:val="single" w:color="auto" w:sz="4" w:space="0"/>
              <w:left w:val="single" w:color="auto" w:sz="4" w:space="0"/>
              <w:bottom w:val="single" w:color="auto" w:sz="4" w:space="0"/>
              <w:right w:val="single" w:color="auto" w:sz="4" w:space="0"/>
            </w:tcBorders>
            <w:vAlign w:val="center"/>
          </w:tcPr>
          <w:p w14:paraId="5F16C3ED">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0.03 </w:t>
            </w:r>
          </w:p>
        </w:tc>
        <w:tc>
          <w:tcPr>
            <w:tcW w:w="1229" w:type="dxa"/>
            <w:tcBorders>
              <w:top w:val="single" w:color="auto" w:sz="4" w:space="0"/>
              <w:left w:val="single" w:color="auto" w:sz="4" w:space="0"/>
              <w:bottom w:val="single" w:color="auto" w:sz="4" w:space="0"/>
              <w:right w:val="single" w:color="auto" w:sz="4" w:space="0"/>
            </w:tcBorders>
            <w:vAlign w:val="center"/>
          </w:tcPr>
          <w:p w14:paraId="7C2304D1">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0.05 </w:t>
            </w:r>
          </w:p>
        </w:tc>
        <w:tc>
          <w:tcPr>
            <w:tcW w:w="1229" w:type="dxa"/>
            <w:tcBorders>
              <w:top w:val="single" w:color="auto" w:sz="4" w:space="0"/>
              <w:left w:val="single" w:color="auto" w:sz="4" w:space="0"/>
              <w:bottom w:val="single" w:color="auto" w:sz="4" w:space="0"/>
              <w:right w:val="single" w:color="auto" w:sz="4" w:space="0"/>
            </w:tcBorders>
            <w:vAlign w:val="center"/>
          </w:tcPr>
          <w:p w14:paraId="2F60F565">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0.22 </w:t>
            </w:r>
          </w:p>
        </w:tc>
      </w:tr>
      <w:tr w14:paraId="1A3C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5976916F">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Cd</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64321174">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0.0051 </w:t>
            </w:r>
          </w:p>
        </w:tc>
        <w:tc>
          <w:tcPr>
            <w:tcW w:w="1614" w:type="dxa"/>
            <w:tcBorders>
              <w:top w:val="single" w:color="auto" w:sz="4" w:space="0"/>
              <w:left w:val="single" w:color="auto" w:sz="4" w:space="0"/>
              <w:bottom w:val="single" w:color="auto" w:sz="4" w:space="0"/>
              <w:right w:val="single" w:color="auto" w:sz="4" w:space="0"/>
            </w:tcBorders>
            <w:vAlign w:val="bottom"/>
          </w:tcPr>
          <w:p w14:paraId="44BFB3D8">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c>
          <w:tcPr>
            <w:tcW w:w="1420" w:type="dxa"/>
            <w:tcBorders>
              <w:top w:val="single" w:color="auto" w:sz="4" w:space="0"/>
              <w:left w:val="single" w:color="auto" w:sz="4" w:space="0"/>
              <w:bottom w:val="single" w:color="auto" w:sz="4" w:space="0"/>
              <w:right w:val="single" w:color="auto" w:sz="4" w:space="0"/>
            </w:tcBorders>
            <w:vAlign w:val="bottom"/>
          </w:tcPr>
          <w:p w14:paraId="2C89F1DA">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0.051 </w:t>
            </w:r>
          </w:p>
        </w:tc>
        <w:tc>
          <w:tcPr>
            <w:tcW w:w="1229" w:type="dxa"/>
            <w:tcBorders>
              <w:top w:val="single" w:color="auto" w:sz="4" w:space="0"/>
              <w:left w:val="single" w:color="auto" w:sz="4" w:space="0"/>
              <w:bottom w:val="single" w:color="auto" w:sz="4" w:space="0"/>
              <w:right w:val="single" w:color="auto" w:sz="4" w:space="0"/>
            </w:tcBorders>
            <w:vAlign w:val="bottom"/>
          </w:tcPr>
          <w:p w14:paraId="22A5869F">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c>
          <w:tcPr>
            <w:tcW w:w="1229" w:type="dxa"/>
            <w:tcBorders>
              <w:top w:val="single" w:color="auto" w:sz="4" w:space="0"/>
              <w:left w:val="single" w:color="auto" w:sz="4" w:space="0"/>
              <w:bottom w:val="single" w:color="auto" w:sz="4" w:space="0"/>
              <w:right w:val="single" w:color="auto" w:sz="4" w:space="0"/>
            </w:tcBorders>
            <w:vAlign w:val="bottom"/>
          </w:tcPr>
          <w:p w14:paraId="5227CEBA">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0.43 </w:t>
            </w:r>
          </w:p>
        </w:tc>
        <w:tc>
          <w:tcPr>
            <w:tcW w:w="1229" w:type="dxa"/>
            <w:tcBorders>
              <w:top w:val="single" w:color="auto" w:sz="4" w:space="0"/>
              <w:left w:val="single" w:color="auto" w:sz="4" w:space="0"/>
              <w:bottom w:val="single" w:color="auto" w:sz="4" w:space="0"/>
              <w:right w:val="single" w:color="auto" w:sz="4" w:space="0"/>
            </w:tcBorders>
            <w:vAlign w:val="bottom"/>
          </w:tcPr>
          <w:p w14:paraId="59F91C76">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660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56A24A41">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7D73E997">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c>
          <w:tcPr>
            <w:tcW w:w="1614" w:type="dxa"/>
            <w:tcBorders>
              <w:top w:val="single" w:color="auto" w:sz="4" w:space="0"/>
              <w:left w:val="single" w:color="auto" w:sz="4" w:space="0"/>
              <w:bottom w:val="single" w:color="auto" w:sz="4" w:space="0"/>
              <w:right w:val="single" w:color="auto" w:sz="4" w:space="0"/>
            </w:tcBorders>
            <w:vAlign w:val="center"/>
          </w:tcPr>
          <w:p w14:paraId="3866E18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c>
          <w:tcPr>
            <w:tcW w:w="1420" w:type="dxa"/>
            <w:tcBorders>
              <w:top w:val="single" w:color="auto" w:sz="4" w:space="0"/>
              <w:left w:val="single" w:color="auto" w:sz="4" w:space="0"/>
              <w:bottom w:val="single" w:color="auto" w:sz="4" w:space="0"/>
              <w:right w:val="single" w:color="auto" w:sz="4" w:space="0"/>
            </w:tcBorders>
            <w:vAlign w:val="center"/>
          </w:tcPr>
          <w:p w14:paraId="456865B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0.005 </w:t>
            </w:r>
          </w:p>
        </w:tc>
        <w:tc>
          <w:tcPr>
            <w:tcW w:w="1229" w:type="dxa"/>
            <w:tcBorders>
              <w:top w:val="single" w:color="auto" w:sz="4" w:space="0"/>
              <w:left w:val="single" w:color="auto" w:sz="4" w:space="0"/>
              <w:bottom w:val="single" w:color="auto" w:sz="4" w:space="0"/>
              <w:right w:val="single" w:color="auto" w:sz="4" w:space="0"/>
            </w:tcBorders>
            <w:vAlign w:val="center"/>
          </w:tcPr>
          <w:p w14:paraId="5023E7FC">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0.02 </w:t>
            </w:r>
          </w:p>
        </w:tc>
        <w:tc>
          <w:tcPr>
            <w:tcW w:w="1229" w:type="dxa"/>
            <w:tcBorders>
              <w:top w:val="single" w:color="auto" w:sz="4" w:space="0"/>
              <w:left w:val="single" w:color="auto" w:sz="4" w:space="0"/>
              <w:bottom w:val="single" w:color="auto" w:sz="4" w:space="0"/>
              <w:right w:val="single" w:color="auto" w:sz="4" w:space="0"/>
            </w:tcBorders>
            <w:vAlign w:val="center"/>
          </w:tcPr>
          <w:p w14:paraId="2879BA16">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c>
          <w:tcPr>
            <w:tcW w:w="1229" w:type="dxa"/>
            <w:tcBorders>
              <w:top w:val="single" w:color="auto" w:sz="4" w:space="0"/>
              <w:left w:val="single" w:color="auto" w:sz="4" w:space="0"/>
              <w:bottom w:val="single" w:color="auto" w:sz="4" w:space="0"/>
              <w:right w:val="single" w:color="auto" w:sz="4" w:space="0"/>
            </w:tcBorders>
            <w:vAlign w:val="center"/>
          </w:tcPr>
          <w:p w14:paraId="4807232F">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1D6B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0757CD47">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Mg</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72916AD8">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1614" w:type="dxa"/>
            <w:tcBorders>
              <w:top w:val="single" w:color="auto" w:sz="4" w:space="0"/>
              <w:left w:val="single" w:color="auto" w:sz="4" w:space="0"/>
              <w:bottom w:val="single" w:color="auto" w:sz="4" w:space="0"/>
              <w:right w:val="single" w:color="auto" w:sz="4" w:space="0"/>
            </w:tcBorders>
            <w:vAlign w:val="bottom"/>
          </w:tcPr>
          <w:p w14:paraId="0F3F173B">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1420" w:type="dxa"/>
            <w:tcBorders>
              <w:top w:val="single" w:color="auto" w:sz="4" w:space="0"/>
              <w:left w:val="single" w:color="auto" w:sz="4" w:space="0"/>
              <w:bottom w:val="single" w:color="auto" w:sz="4" w:space="0"/>
              <w:right w:val="single" w:color="auto" w:sz="4" w:space="0"/>
            </w:tcBorders>
            <w:vAlign w:val="bottom"/>
          </w:tcPr>
          <w:p w14:paraId="6C891273">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1.62 </w:t>
            </w:r>
          </w:p>
        </w:tc>
        <w:tc>
          <w:tcPr>
            <w:tcW w:w="1229" w:type="dxa"/>
            <w:tcBorders>
              <w:top w:val="single" w:color="auto" w:sz="4" w:space="0"/>
              <w:left w:val="single" w:color="auto" w:sz="4" w:space="0"/>
              <w:bottom w:val="single" w:color="auto" w:sz="4" w:space="0"/>
              <w:right w:val="single" w:color="auto" w:sz="4" w:space="0"/>
            </w:tcBorders>
            <w:vAlign w:val="bottom"/>
          </w:tcPr>
          <w:p w14:paraId="27FE88E5">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4.35 </w:t>
            </w:r>
          </w:p>
        </w:tc>
        <w:tc>
          <w:tcPr>
            <w:tcW w:w="1229" w:type="dxa"/>
            <w:tcBorders>
              <w:top w:val="single" w:color="auto" w:sz="4" w:space="0"/>
              <w:left w:val="single" w:color="auto" w:sz="4" w:space="0"/>
              <w:bottom w:val="single" w:color="auto" w:sz="4" w:space="0"/>
              <w:right w:val="single" w:color="auto" w:sz="4" w:space="0"/>
            </w:tcBorders>
            <w:vAlign w:val="bottom"/>
          </w:tcPr>
          <w:p w14:paraId="2FFF9132">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6.85 </w:t>
            </w:r>
          </w:p>
        </w:tc>
        <w:tc>
          <w:tcPr>
            <w:tcW w:w="642" w:type="pct"/>
            <w:tcBorders>
              <w:top w:val="single" w:color="auto" w:sz="4" w:space="0"/>
              <w:left w:val="single" w:color="auto" w:sz="4" w:space="0"/>
              <w:bottom w:val="single" w:color="auto" w:sz="4" w:space="0"/>
              <w:right w:val="single" w:color="auto" w:sz="4" w:space="0"/>
            </w:tcBorders>
            <w:vAlign w:val="center"/>
          </w:tcPr>
          <w:p w14:paraId="6EA47A7B">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7963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4682CF29">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7763A7B1">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0.00</w:t>
            </w:r>
            <w:r>
              <w:rPr>
                <w:rFonts w:hint="default" w:ascii="Times New Roman" w:hAnsi="Times New Roman" w:cs="Times New Roman"/>
                <w:i w:val="0"/>
                <w:iCs w:val="0"/>
                <w:color w:val="000000"/>
                <w:kern w:val="0"/>
                <w:sz w:val="18"/>
                <w:szCs w:val="18"/>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14:paraId="7487DBAE">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c>
          <w:tcPr>
            <w:tcW w:w="1420" w:type="dxa"/>
            <w:tcBorders>
              <w:top w:val="single" w:color="auto" w:sz="4" w:space="0"/>
              <w:left w:val="single" w:color="auto" w:sz="4" w:space="0"/>
              <w:bottom w:val="single" w:color="auto" w:sz="4" w:space="0"/>
              <w:right w:val="single" w:color="auto" w:sz="4" w:space="0"/>
            </w:tcBorders>
            <w:vAlign w:val="center"/>
          </w:tcPr>
          <w:p w14:paraId="73F74A56">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 </w:t>
            </w:r>
          </w:p>
        </w:tc>
        <w:tc>
          <w:tcPr>
            <w:tcW w:w="1229" w:type="dxa"/>
            <w:tcBorders>
              <w:top w:val="single" w:color="auto" w:sz="4" w:space="0"/>
              <w:left w:val="single" w:color="auto" w:sz="4" w:space="0"/>
              <w:bottom w:val="single" w:color="auto" w:sz="4" w:space="0"/>
              <w:right w:val="single" w:color="auto" w:sz="4" w:space="0"/>
            </w:tcBorders>
            <w:vAlign w:val="center"/>
          </w:tcPr>
          <w:p w14:paraId="482913E0">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0.23 </w:t>
            </w:r>
          </w:p>
        </w:tc>
        <w:tc>
          <w:tcPr>
            <w:tcW w:w="1229" w:type="dxa"/>
            <w:tcBorders>
              <w:top w:val="single" w:color="auto" w:sz="4" w:space="0"/>
              <w:left w:val="single" w:color="auto" w:sz="4" w:space="0"/>
              <w:bottom w:val="single" w:color="auto" w:sz="4" w:space="0"/>
              <w:right w:val="single" w:color="auto" w:sz="4" w:space="0"/>
            </w:tcBorders>
            <w:vAlign w:val="center"/>
          </w:tcPr>
          <w:p w14:paraId="5A45DE73">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0.30 </w:t>
            </w:r>
          </w:p>
        </w:tc>
        <w:tc>
          <w:tcPr>
            <w:tcW w:w="642" w:type="pct"/>
            <w:tcBorders>
              <w:top w:val="single" w:color="auto" w:sz="4" w:space="0"/>
              <w:left w:val="single" w:color="auto" w:sz="4" w:space="0"/>
              <w:bottom w:val="single" w:color="auto" w:sz="4" w:space="0"/>
              <w:right w:val="single" w:color="auto" w:sz="4" w:space="0"/>
            </w:tcBorders>
            <w:vAlign w:val="center"/>
          </w:tcPr>
          <w:p w14:paraId="4D8E19C2">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183B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46B0B615">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w</w:t>
            </w:r>
            <w:r>
              <w:rPr>
                <w:rFonts w:hint="default" w:ascii="Times New Roman" w:hAnsi="Times New Roman" w:cs="Times New Roman"/>
                <w:i w:val="0"/>
                <w:iCs/>
                <w:sz w:val="18"/>
                <w:szCs w:val="18"/>
                <w:vertAlign w:val="subscript"/>
              </w:rPr>
              <w:t>Mn</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436407FE">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0.0081 </w:t>
            </w:r>
          </w:p>
        </w:tc>
        <w:tc>
          <w:tcPr>
            <w:tcW w:w="1614" w:type="dxa"/>
            <w:tcBorders>
              <w:top w:val="single" w:color="auto" w:sz="4" w:space="0"/>
              <w:left w:val="single" w:color="auto" w:sz="4" w:space="0"/>
              <w:bottom w:val="single" w:color="auto" w:sz="4" w:space="0"/>
              <w:right w:val="single" w:color="auto" w:sz="4" w:space="0"/>
            </w:tcBorders>
            <w:vAlign w:val="bottom"/>
          </w:tcPr>
          <w:p w14:paraId="1A373ABE">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0.017 </w:t>
            </w:r>
          </w:p>
        </w:tc>
        <w:tc>
          <w:tcPr>
            <w:tcW w:w="1420" w:type="dxa"/>
            <w:tcBorders>
              <w:top w:val="single" w:color="auto" w:sz="4" w:space="0"/>
              <w:left w:val="single" w:color="auto" w:sz="4" w:space="0"/>
              <w:bottom w:val="single" w:color="auto" w:sz="4" w:space="0"/>
              <w:right w:val="single" w:color="auto" w:sz="4" w:space="0"/>
            </w:tcBorders>
            <w:vAlign w:val="bottom"/>
          </w:tcPr>
          <w:p w14:paraId="61665B2C">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0.11 </w:t>
            </w:r>
          </w:p>
        </w:tc>
        <w:tc>
          <w:tcPr>
            <w:tcW w:w="1229" w:type="dxa"/>
            <w:tcBorders>
              <w:top w:val="single" w:color="auto" w:sz="4" w:space="0"/>
              <w:left w:val="single" w:color="auto" w:sz="4" w:space="0"/>
              <w:bottom w:val="single" w:color="auto" w:sz="4" w:space="0"/>
              <w:right w:val="single" w:color="auto" w:sz="4" w:space="0"/>
            </w:tcBorders>
            <w:vAlign w:val="bottom"/>
          </w:tcPr>
          <w:p w14:paraId="36E8AB29">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0.29 </w:t>
            </w:r>
          </w:p>
        </w:tc>
        <w:tc>
          <w:tcPr>
            <w:tcW w:w="1229" w:type="dxa"/>
            <w:tcBorders>
              <w:top w:val="single" w:color="auto" w:sz="4" w:space="0"/>
              <w:left w:val="single" w:color="auto" w:sz="4" w:space="0"/>
              <w:bottom w:val="single" w:color="auto" w:sz="4" w:space="0"/>
              <w:right w:val="single" w:color="auto" w:sz="4" w:space="0"/>
            </w:tcBorders>
            <w:vAlign w:val="bottom"/>
          </w:tcPr>
          <w:p w14:paraId="1EC61C2E">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0.51 </w:t>
            </w:r>
          </w:p>
        </w:tc>
        <w:tc>
          <w:tcPr>
            <w:tcW w:w="642" w:type="pct"/>
            <w:tcBorders>
              <w:top w:val="single" w:color="auto" w:sz="4" w:space="0"/>
              <w:left w:val="single" w:color="auto" w:sz="4" w:space="0"/>
              <w:bottom w:val="single" w:color="auto" w:sz="4" w:space="0"/>
              <w:right w:val="single" w:color="auto" w:sz="4" w:space="0"/>
            </w:tcBorders>
            <w:vAlign w:val="center"/>
          </w:tcPr>
          <w:p w14:paraId="5EA52CC3">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08F8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418697BB">
            <w:pPr>
              <w:pStyle w:val="57"/>
              <w:widowControl w:val="0"/>
              <w:spacing w:before="100" w:beforeAutospacing="1" w:after="100" w:afterAutospacing="1" w:line="300" w:lineRule="auto"/>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21AFBBE3">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0.0008 </w:t>
            </w:r>
          </w:p>
        </w:tc>
        <w:tc>
          <w:tcPr>
            <w:tcW w:w="1614" w:type="dxa"/>
            <w:tcBorders>
              <w:top w:val="single" w:color="auto" w:sz="4" w:space="0"/>
              <w:left w:val="single" w:color="auto" w:sz="4" w:space="0"/>
              <w:bottom w:val="single" w:color="auto" w:sz="4" w:space="0"/>
              <w:right w:val="single" w:color="auto" w:sz="4" w:space="0"/>
            </w:tcBorders>
            <w:vAlign w:val="center"/>
          </w:tcPr>
          <w:p w14:paraId="07668318">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0.001 </w:t>
            </w:r>
          </w:p>
        </w:tc>
        <w:tc>
          <w:tcPr>
            <w:tcW w:w="1420" w:type="dxa"/>
            <w:tcBorders>
              <w:top w:val="single" w:color="auto" w:sz="4" w:space="0"/>
              <w:left w:val="single" w:color="auto" w:sz="4" w:space="0"/>
              <w:bottom w:val="single" w:color="auto" w:sz="4" w:space="0"/>
              <w:right w:val="single" w:color="auto" w:sz="4" w:space="0"/>
            </w:tcBorders>
            <w:vAlign w:val="center"/>
          </w:tcPr>
          <w:p w14:paraId="57222B1C">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 </w:t>
            </w:r>
          </w:p>
        </w:tc>
        <w:tc>
          <w:tcPr>
            <w:tcW w:w="1229" w:type="dxa"/>
            <w:tcBorders>
              <w:top w:val="single" w:color="auto" w:sz="4" w:space="0"/>
              <w:left w:val="single" w:color="auto" w:sz="4" w:space="0"/>
              <w:bottom w:val="single" w:color="auto" w:sz="4" w:space="0"/>
              <w:right w:val="single" w:color="auto" w:sz="4" w:space="0"/>
            </w:tcBorders>
            <w:vAlign w:val="center"/>
          </w:tcPr>
          <w:p w14:paraId="455360C5">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 </w:t>
            </w:r>
          </w:p>
        </w:tc>
        <w:tc>
          <w:tcPr>
            <w:tcW w:w="1229" w:type="dxa"/>
            <w:tcBorders>
              <w:top w:val="single" w:color="auto" w:sz="4" w:space="0"/>
              <w:left w:val="single" w:color="auto" w:sz="4" w:space="0"/>
              <w:bottom w:val="single" w:color="auto" w:sz="4" w:space="0"/>
              <w:right w:val="single" w:color="auto" w:sz="4" w:space="0"/>
            </w:tcBorders>
            <w:vAlign w:val="center"/>
          </w:tcPr>
          <w:p w14:paraId="459DA1F9">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0.02 </w:t>
            </w:r>
          </w:p>
        </w:tc>
        <w:tc>
          <w:tcPr>
            <w:tcW w:w="642" w:type="pct"/>
            <w:tcBorders>
              <w:top w:val="single" w:color="auto" w:sz="4" w:space="0"/>
              <w:left w:val="single" w:color="auto" w:sz="4" w:space="0"/>
              <w:bottom w:val="single" w:color="auto" w:sz="4" w:space="0"/>
              <w:right w:val="single" w:color="auto" w:sz="4" w:space="0"/>
            </w:tcBorders>
            <w:vAlign w:val="center"/>
          </w:tcPr>
          <w:p w14:paraId="580D8262">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68E4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15D29756">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As</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760FF652">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0.017 </w:t>
            </w:r>
          </w:p>
        </w:tc>
        <w:tc>
          <w:tcPr>
            <w:tcW w:w="1614" w:type="dxa"/>
            <w:tcBorders>
              <w:top w:val="single" w:color="auto" w:sz="4" w:space="0"/>
              <w:left w:val="single" w:color="auto" w:sz="4" w:space="0"/>
              <w:bottom w:val="single" w:color="auto" w:sz="4" w:space="0"/>
              <w:right w:val="single" w:color="auto" w:sz="4" w:space="0"/>
            </w:tcBorders>
            <w:vAlign w:val="bottom"/>
          </w:tcPr>
          <w:p w14:paraId="3A72608A">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0.098 </w:t>
            </w:r>
          </w:p>
        </w:tc>
        <w:tc>
          <w:tcPr>
            <w:tcW w:w="1420" w:type="dxa"/>
            <w:tcBorders>
              <w:top w:val="single" w:color="auto" w:sz="4" w:space="0"/>
              <w:left w:val="single" w:color="auto" w:sz="4" w:space="0"/>
              <w:bottom w:val="single" w:color="auto" w:sz="4" w:space="0"/>
              <w:right w:val="single" w:color="auto" w:sz="4" w:space="0"/>
            </w:tcBorders>
            <w:vAlign w:val="bottom"/>
          </w:tcPr>
          <w:p w14:paraId="01A11BAE">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0.19 </w:t>
            </w:r>
          </w:p>
        </w:tc>
        <w:tc>
          <w:tcPr>
            <w:tcW w:w="1229" w:type="dxa"/>
            <w:tcBorders>
              <w:top w:val="single" w:color="auto" w:sz="4" w:space="0"/>
              <w:left w:val="single" w:color="auto" w:sz="4" w:space="0"/>
              <w:bottom w:val="single" w:color="auto" w:sz="4" w:space="0"/>
              <w:right w:val="single" w:color="auto" w:sz="4" w:space="0"/>
            </w:tcBorders>
            <w:vAlign w:val="bottom"/>
          </w:tcPr>
          <w:p w14:paraId="5F23BD44">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0.77 </w:t>
            </w:r>
          </w:p>
        </w:tc>
        <w:tc>
          <w:tcPr>
            <w:tcW w:w="1229" w:type="dxa"/>
            <w:tcBorders>
              <w:top w:val="single" w:color="auto" w:sz="4" w:space="0"/>
              <w:left w:val="single" w:color="auto" w:sz="4" w:space="0"/>
              <w:bottom w:val="single" w:color="auto" w:sz="4" w:space="0"/>
              <w:right w:val="single" w:color="auto" w:sz="4" w:space="0"/>
            </w:tcBorders>
            <w:vAlign w:val="bottom"/>
          </w:tcPr>
          <w:p w14:paraId="07F75765">
            <w:pPr>
              <w:widowControl/>
              <w:jc w:val="center"/>
              <w:textAlignment w:val="bottom"/>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1.28 </w:t>
            </w:r>
          </w:p>
        </w:tc>
        <w:tc>
          <w:tcPr>
            <w:tcW w:w="642" w:type="pct"/>
            <w:tcBorders>
              <w:top w:val="single" w:color="auto" w:sz="4" w:space="0"/>
              <w:left w:val="single" w:color="auto" w:sz="4" w:space="0"/>
              <w:bottom w:val="single" w:color="auto" w:sz="4" w:space="0"/>
              <w:right w:val="single" w:color="auto" w:sz="4" w:space="0"/>
            </w:tcBorders>
            <w:vAlign w:val="center"/>
          </w:tcPr>
          <w:p w14:paraId="2DF22E46">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71B6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05BE7AF1">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48EC88F3">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0.005 </w:t>
            </w:r>
          </w:p>
        </w:tc>
        <w:tc>
          <w:tcPr>
            <w:tcW w:w="1614" w:type="dxa"/>
            <w:tcBorders>
              <w:top w:val="single" w:color="auto" w:sz="4" w:space="0"/>
              <w:left w:val="single" w:color="auto" w:sz="4" w:space="0"/>
              <w:bottom w:val="single" w:color="auto" w:sz="4" w:space="0"/>
              <w:right w:val="single" w:color="auto" w:sz="4" w:space="0"/>
            </w:tcBorders>
            <w:vAlign w:val="center"/>
          </w:tcPr>
          <w:p w14:paraId="540E5DD7">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0.006 </w:t>
            </w:r>
          </w:p>
        </w:tc>
        <w:tc>
          <w:tcPr>
            <w:tcW w:w="1420" w:type="dxa"/>
            <w:tcBorders>
              <w:top w:val="single" w:color="auto" w:sz="4" w:space="0"/>
              <w:left w:val="single" w:color="auto" w:sz="4" w:space="0"/>
              <w:bottom w:val="single" w:color="auto" w:sz="4" w:space="0"/>
              <w:right w:val="single" w:color="auto" w:sz="4" w:space="0"/>
            </w:tcBorders>
            <w:vAlign w:val="center"/>
          </w:tcPr>
          <w:p w14:paraId="1B68C4C3">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0.03 </w:t>
            </w:r>
          </w:p>
        </w:tc>
        <w:tc>
          <w:tcPr>
            <w:tcW w:w="1229" w:type="dxa"/>
            <w:tcBorders>
              <w:top w:val="single" w:color="auto" w:sz="4" w:space="0"/>
              <w:left w:val="single" w:color="auto" w:sz="4" w:space="0"/>
              <w:bottom w:val="single" w:color="auto" w:sz="4" w:space="0"/>
              <w:right w:val="single" w:color="auto" w:sz="4" w:space="0"/>
            </w:tcBorders>
            <w:vAlign w:val="center"/>
          </w:tcPr>
          <w:p w14:paraId="1A350F65">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0.05 </w:t>
            </w:r>
          </w:p>
        </w:tc>
        <w:tc>
          <w:tcPr>
            <w:tcW w:w="1229" w:type="dxa"/>
            <w:tcBorders>
              <w:top w:val="single" w:color="auto" w:sz="4" w:space="0"/>
              <w:left w:val="single" w:color="auto" w:sz="4" w:space="0"/>
              <w:bottom w:val="single" w:color="auto" w:sz="4" w:space="0"/>
              <w:right w:val="single" w:color="auto" w:sz="4" w:space="0"/>
            </w:tcBorders>
            <w:vAlign w:val="center"/>
          </w:tcPr>
          <w:p w14:paraId="13C558FA">
            <w:pPr>
              <w:widowControl/>
              <w:jc w:val="center"/>
              <w:textAlignment w:val="center"/>
              <w:rPr>
                <w:rFonts w:hint="default" w:ascii="Times New Roman" w:hAnsi="Times New Roman" w:cs="Times New Roman" w:eastAsiaTheme="minorEastAsia"/>
                <w:sz w:val="18"/>
                <w:szCs w:val="18"/>
              </w:rPr>
            </w:pPr>
            <w:r>
              <w:rPr>
                <w:rFonts w:hint="default" w:ascii="Times New Roman" w:hAnsi="Times New Roman" w:cs="Times New Roman"/>
                <w:color w:val="000000"/>
                <w:kern w:val="0"/>
                <w:sz w:val="18"/>
                <w:szCs w:val="18"/>
                <w:lang w:bidi="ar"/>
              </w:rPr>
              <w:t xml:space="preserve">0.13 </w:t>
            </w:r>
          </w:p>
        </w:tc>
        <w:tc>
          <w:tcPr>
            <w:tcW w:w="642" w:type="pct"/>
            <w:tcBorders>
              <w:top w:val="single" w:color="auto" w:sz="4" w:space="0"/>
              <w:left w:val="single" w:color="auto" w:sz="4" w:space="0"/>
              <w:bottom w:val="single" w:color="auto" w:sz="4" w:space="0"/>
              <w:right w:val="single" w:color="auto" w:sz="4" w:space="0"/>
            </w:tcBorders>
            <w:vAlign w:val="center"/>
          </w:tcPr>
          <w:p w14:paraId="1D25BA2A">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4D0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156F1E8B">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Mo</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bottom"/>
          </w:tcPr>
          <w:p w14:paraId="4762B9C0">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0.0064 </w:t>
            </w:r>
          </w:p>
        </w:tc>
        <w:tc>
          <w:tcPr>
            <w:tcW w:w="1614" w:type="dxa"/>
            <w:tcBorders>
              <w:top w:val="single" w:color="auto" w:sz="4" w:space="0"/>
              <w:left w:val="single" w:color="auto" w:sz="4" w:space="0"/>
              <w:bottom w:val="single" w:color="auto" w:sz="4" w:space="0"/>
              <w:right w:val="single" w:color="auto" w:sz="4" w:space="0"/>
            </w:tcBorders>
            <w:vAlign w:val="bottom"/>
          </w:tcPr>
          <w:p w14:paraId="0BE3084B">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0.12 </w:t>
            </w:r>
          </w:p>
        </w:tc>
        <w:tc>
          <w:tcPr>
            <w:tcW w:w="1420" w:type="dxa"/>
            <w:tcBorders>
              <w:top w:val="single" w:color="auto" w:sz="4" w:space="0"/>
              <w:left w:val="single" w:color="auto" w:sz="4" w:space="0"/>
              <w:bottom w:val="single" w:color="auto" w:sz="4" w:space="0"/>
              <w:right w:val="single" w:color="auto" w:sz="4" w:space="0"/>
            </w:tcBorders>
            <w:vAlign w:val="bottom"/>
          </w:tcPr>
          <w:p w14:paraId="5A9E79F8">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 </w:t>
            </w:r>
          </w:p>
        </w:tc>
        <w:tc>
          <w:tcPr>
            <w:tcW w:w="1229" w:type="dxa"/>
            <w:tcBorders>
              <w:top w:val="single" w:color="auto" w:sz="4" w:space="0"/>
              <w:left w:val="single" w:color="auto" w:sz="4" w:space="0"/>
              <w:bottom w:val="single" w:color="auto" w:sz="4" w:space="0"/>
              <w:right w:val="single" w:color="auto" w:sz="4" w:space="0"/>
            </w:tcBorders>
            <w:vAlign w:val="bottom"/>
          </w:tcPr>
          <w:p w14:paraId="60811F3A">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1.38 </w:t>
            </w:r>
          </w:p>
        </w:tc>
        <w:tc>
          <w:tcPr>
            <w:tcW w:w="1229" w:type="dxa"/>
            <w:tcBorders>
              <w:top w:val="single" w:color="auto" w:sz="4" w:space="0"/>
              <w:left w:val="single" w:color="auto" w:sz="4" w:space="0"/>
              <w:bottom w:val="single" w:color="auto" w:sz="4" w:space="0"/>
              <w:right w:val="single" w:color="auto" w:sz="4" w:space="0"/>
            </w:tcBorders>
            <w:vAlign w:val="bottom"/>
          </w:tcPr>
          <w:p w14:paraId="20B41B82">
            <w:pPr>
              <w:keepNext w:val="0"/>
              <w:keepLines w:val="0"/>
              <w:widowControl/>
              <w:suppressLineNumbers w:val="0"/>
              <w:jc w:val="center"/>
              <w:textAlignment w:val="bottom"/>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2.34 </w:t>
            </w:r>
          </w:p>
        </w:tc>
        <w:tc>
          <w:tcPr>
            <w:tcW w:w="642" w:type="pct"/>
            <w:tcBorders>
              <w:top w:val="single" w:color="auto" w:sz="4" w:space="0"/>
              <w:left w:val="single" w:color="auto" w:sz="4" w:space="0"/>
              <w:bottom w:val="single" w:color="auto" w:sz="4" w:space="0"/>
              <w:right w:val="single" w:color="auto" w:sz="4" w:space="0"/>
            </w:tcBorders>
            <w:vAlign w:val="center"/>
          </w:tcPr>
          <w:p w14:paraId="4ECD9B75">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r w14:paraId="0607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tcBorders>
              <w:top w:val="single" w:color="auto" w:sz="4" w:space="0"/>
              <w:left w:val="single" w:color="auto" w:sz="4" w:space="0"/>
              <w:bottom w:val="single" w:color="auto" w:sz="4" w:space="0"/>
              <w:right w:val="single" w:color="auto" w:sz="4" w:space="0"/>
            </w:tcBorders>
            <w:vAlign w:val="center"/>
          </w:tcPr>
          <w:p w14:paraId="79601DA3">
            <w:pPr>
              <w:pStyle w:val="57"/>
              <w:widowControl w:val="0"/>
              <w:spacing w:before="100" w:beforeAutospacing="1" w:after="100" w:afterAutospacing="1" w:line="300" w:lineRule="auto"/>
              <w:ind w:firstLine="0" w:firstLineChars="0"/>
              <w:jc w:val="center"/>
              <w:rPr>
                <w:rFonts w:hint="default" w:ascii="Times New Roman" w:hAnsi="Times New Roman" w:cs="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p>
        </w:tc>
        <w:tc>
          <w:tcPr>
            <w:tcW w:w="1614" w:type="dxa"/>
            <w:tcBorders>
              <w:top w:val="single" w:color="auto" w:sz="4" w:space="0"/>
              <w:left w:val="single" w:color="auto" w:sz="4" w:space="0"/>
              <w:bottom w:val="single" w:color="auto" w:sz="4" w:space="0"/>
              <w:right w:val="single" w:color="auto" w:sz="4" w:space="0"/>
            </w:tcBorders>
            <w:vAlign w:val="center"/>
          </w:tcPr>
          <w:p w14:paraId="05D29363">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0.0016 </w:t>
            </w:r>
          </w:p>
        </w:tc>
        <w:tc>
          <w:tcPr>
            <w:tcW w:w="1614" w:type="dxa"/>
            <w:tcBorders>
              <w:top w:val="single" w:color="auto" w:sz="4" w:space="0"/>
              <w:left w:val="single" w:color="auto" w:sz="4" w:space="0"/>
              <w:bottom w:val="single" w:color="auto" w:sz="4" w:space="0"/>
              <w:right w:val="single" w:color="auto" w:sz="4" w:space="0"/>
            </w:tcBorders>
            <w:vAlign w:val="center"/>
          </w:tcPr>
          <w:p w14:paraId="75342C9A">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1420" w:type="dxa"/>
            <w:tcBorders>
              <w:top w:val="single" w:color="auto" w:sz="4" w:space="0"/>
              <w:left w:val="single" w:color="auto" w:sz="4" w:space="0"/>
              <w:bottom w:val="single" w:color="auto" w:sz="4" w:space="0"/>
              <w:right w:val="single" w:color="auto" w:sz="4" w:space="0"/>
            </w:tcBorders>
            <w:vAlign w:val="center"/>
          </w:tcPr>
          <w:p w14:paraId="7894E6A7">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c>
          <w:tcPr>
            <w:tcW w:w="1229" w:type="dxa"/>
            <w:tcBorders>
              <w:top w:val="single" w:color="auto" w:sz="4" w:space="0"/>
              <w:left w:val="single" w:color="auto" w:sz="4" w:space="0"/>
              <w:bottom w:val="single" w:color="auto" w:sz="4" w:space="0"/>
              <w:right w:val="single" w:color="auto" w:sz="4" w:space="0"/>
            </w:tcBorders>
            <w:vAlign w:val="center"/>
          </w:tcPr>
          <w:p w14:paraId="294C130D">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c>
          <w:tcPr>
            <w:tcW w:w="1229" w:type="dxa"/>
            <w:tcBorders>
              <w:top w:val="single" w:color="auto" w:sz="4" w:space="0"/>
              <w:left w:val="single" w:color="auto" w:sz="4" w:space="0"/>
              <w:bottom w:val="single" w:color="auto" w:sz="4" w:space="0"/>
              <w:right w:val="single" w:color="auto" w:sz="4" w:space="0"/>
            </w:tcBorders>
            <w:vAlign w:val="center"/>
          </w:tcPr>
          <w:p w14:paraId="48C6DB05">
            <w:pPr>
              <w:keepNext w:val="0"/>
              <w:keepLines w:val="0"/>
              <w:widowControl/>
              <w:suppressLineNumbers w:val="0"/>
              <w:jc w:val="center"/>
              <w:textAlignment w:val="center"/>
              <w:rPr>
                <w:rFonts w:hint="default" w:ascii="Times New Roman" w:hAnsi="Times New Roman" w:cs="Times New Roman" w:eastAsiaTheme="minorEastAsia"/>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0.21 </w:t>
            </w:r>
          </w:p>
        </w:tc>
        <w:tc>
          <w:tcPr>
            <w:tcW w:w="642" w:type="pct"/>
            <w:tcBorders>
              <w:top w:val="single" w:color="auto" w:sz="4" w:space="0"/>
              <w:left w:val="single" w:color="auto" w:sz="4" w:space="0"/>
              <w:bottom w:val="single" w:color="auto" w:sz="4" w:space="0"/>
              <w:right w:val="single" w:color="auto" w:sz="4" w:space="0"/>
            </w:tcBorders>
            <w:vAlign w:val="center"/>
          </w:tcPr>
          <w:p w14:paraId="52821320">
            <w:pPr>
              <w:spacing w:line="300" w:lineRule="auto"/>
              <w:jc w:val="center"/>
              <w:rPr>
                <w:rFonts w:hint="default" w:ascii="Times New Roman" w:hAnsi="Times New Roman" w:cs="Times New Roman" w:eastAsiaTheme="minorEastAsia"/>
                <w:sz w:val="18"/>
                <w:szCs w:val="18"/>
              </w:rPr>
            </w:pPr>
            <w:r>
              <w:rPr>
                <w:rFonts w:hint="eastAsia" w:ascii="Times New Roman" w:hAnsi="Times New Roman" w:cs="Times New Roman"/>
                <w:sz w:val="18"/>
                <w:szCs w:val="18"/>
                <w:lang w:eastAsia="zh-CN"/>
              </w:rPr>
              <w:t>—</w:t>
            </w:r>
          </w:p>
        </w:tc>
      </w:tr>
    </w:tbl>
    <w:p w14:paraId="33CAAA2B">
      <w:pPr>
        <w:spacing w:before="156" w:beforeLines="50" w:line="360" w:lineRule="auto"/>
        <w:rPr>
          <w:rFonts w:hint="eastAsia" w:ascii="黑体" w:hAnsi="黑体" w:eastAsia="黑体"/>
          <w:bCs/>
          <w:color w:val="000000"/>
          <w:szCs w:val="21"/>
        </w:rPr>
      </w:pPr>
      <w:bookmarkStart w:id="16" w:name="_Toc204923136"/>
      <w:r>
        <w:rPr>
          <w:rFonts w:hint="eastAsia" w:ascii="黑体" w:hAnsi="黑体" w:eastAsia="黑体"/>
          <w:bCs/>
          <w:color w:val="000000"/>
          <w:szCs w:val="21"/>
        </w:rPr>
        <w:t>11</w:t>
      </w:r>
      <w:r>
        <w:rPr>
          <w:rFonts w:ascii="黑体" w:hAnsi="黑体" w:eastAsia="黑体"/>
          <w:bCs/>
          <w:color w:val="000000"/>
          <w:szCs w:val="21"/>
        </w:rPr>
        <w:t xml:space="preserve">  </w:t>
      </w:r>
      <w:bookmarkEnd w:id="16"/>
      <w:r>
        <w:rPr>
          <w:rFonts w:ascii="黑体" w:hAnsi="黑体" w:eastAsia="黑体"/>
          <w:bCs/>
          <w:color w:val="000000"/>
          <w:szCs w:val="21"/>
        </w:rPr>
        <w:t>试验报告</w:t>
      </w:r>
    </w:p>
    <w:p w14:paraId="2A3CA74F">
      <w:pPr>
        <w:ind w:firstLine="420" w:firstLineChars="200"/>
        <w:rPr>
          <w:rFonts w:hint="eastAsia" w:asciiTheme="minorEastAsia" w:hAnsiTheme="minorEastAsia" w:eastAsiaTheme="minorEastAsia"/>
          <w:spacing w:val="6"/>
        </w:rPr>
      </w:pPr>
      <w:r>
        <w:rPr>
          <w:rFonts w:hint="eastAsia" w:asciiTheme="minorEastAsia" w:hAnsiTheme="minorEastAsia" w:eastAsiaTheme="minorEastAsia"/>
        </w:rPr>
        <w:t>试验报告至少给出以下内容：</w:t>
      </w:r>
    </w:p>
    <w:p w14:paraId="4E165FA4">
      <w:pPr>
        <w:adjustRightInd w:val="0"/>
        <w:snapToGrid w:val="0"/>
        <w:ind w:firstLine="444" w:firstLineChars="200"/>
        <w:rPr>
          <w:rFonts w:hint="eastAsia" w:asciiTheme="minorEastAsia" w:hAnsiTheme="minorEastAsia" w:eastAsiaTheme="minorEastAsia"/>
          <w:spacing w:val="6"/>
        </w:rPr>
      </w:pPr>
      <w:r>
        <w:rPr>
          <w:rFonts w:asciiTheme="minorEastAsia" w:hAnsiTheme="minorEastAsia" w:eastAsiaTheme="minorEastAsia"/>
          <w:spacing w:val="6"/>
        </w:rPr>
        <w:t>——</w:t>
      </w:r>
      <w:r>
        <w:rPr>
          <w:rFonts w:hint="eastAsia" w:asciiTheme="minorEastAsia" w:hAnsiTheme="minorEastAsia" w:eastAsiaTheme="minorEastAsia"/>
          <w:spacing w:val="6"/>
        </w:rPr>
        <w:t>试验对象</w:t>
      </w:r>
      <w:r>
        <w:rPr>
          <w:rFonts w:asciiTheme="minorEastAsia" w:hAnsiTheme="minorEastAsia" w:eastAsiaTheme="minorEastAsia"/>
          <w:spacing w:val="6"/>
        </w:rPr>
        <w:t>；</w:t>
      </w:r>
    </w:p>
    <w:p w14:paraId="4BCFE28C">
      <w:pPr>
        <w:adjustRightInd w:val="0"/>
        <w:snapToGrid w:val="0"/>
        <w:ind w:firstLine="444" w:firstLineChars="200"/>
        <w:rPr>
          <w:rFonts w:hint="eastAsia" w:asciiTheme="minorEastAsia" w:hAnsiTheme="minorEastAsia" w:eastAsiaTheme="minorEastAsia"/>
          <w:spacing w:val="6"/>
        </w:rPr>
      </w:pPr>
      <w:r>
        <w:rPr>
          <w:rFonts w:hint="eastAsia" w:asciiTheme="minorEastAsia" w:hAnsiTheme="minorEastAsia" w:eastAsiaTheme="minorEastAsia"/>
          <w:spacing w:val="6"/>
        </w:rPr>
        <w:t>——</w:t>
      </w:r>
      <w:r>
        <w:rPr>
          <w:rFonts w:hint="eastAsia" w:asciiTheme="minorEastAsia" w:hAnsiTheme="minorEastAsia" w:eastAsiaTheme="minorEastAsia"/>
          <w:spacing w:val="6"/>
          <w:lang w:val="en-US" w:eastAsia="zh-CN"/>
        </w:rPr>
        <w:t>本文</w:t>
      </w:r>
      <w:r>
        <w:rPr>
          <w:rFonts w:hint="eastAsia" w:eastAsiaTheme="minorEastAsia"/>
          <w:spacing w:val="6"/>
          <w:lang w:val="en-US" w:eastAsia="zh-CN"/>
        </w:rPr>
        <w:t>件</w:t>
      </w:r>
      <w:r>
        <w:rPr>
          <w:rFonts w:hint="eastAsia" w:asciiTheme="minorEastAsia" w:hAnsiTheme="minorEastAsia" w:eastAsiaTheme="minorEastAsia"/>
          <w:spacing w:val="6"/>
          <w:lang w:val="en-US" w:eastAsia="zh-CN"/>
        </w:rPr>
        <w:t>编号</w:t>
      </w:r>
      <w:r>
        <w:rPr>
          <w:rFonts w:hint="eastAsia" w:asciiTheme="minorEastAsia" w:hAnsiTheme="minorEastAsia" w:eastAsiaTheme="minorEastAsia"/>
          <w:spacing w:val="6"/>
        </w:rPr>
        <w:t>；</w:t>
      </w:r>
    </w:p>
    <w:p w14:paraId="1626DD5F">
      <w:pPr>
        <w:adjustRightInd w:val="0"/>
        <w:snapToGrid w:val="0"/>
        <w:ind w:firstLine="444" w:firstLineChars="200"/>
        <w:rPr>
          <w:rFonts w:hint="eastAsia" w:asciiTheme="minorEastAsia" w:hAnsiTheme="minorEastAsia" w:eastAsiaTheme="minorEastAsia"/>
          <w:spacing w:val="6"/>
        </w:rPr>
      </w:pPr>
      <w:r>
        <w:rPr>
          <w:rFonts w:asciiTheme="minorEastAsia" w:hAnsiTheme="minorEastAsia" w:eastAsiaTheme="minorEastAsia"/>
          <w:spacing w:val="6"/>
        </w:rPr>
        <w:t>——分析结果及其表示</w:t>
      </w:r>
      <w:r>
        <w:rPr>
          <w:rFonts w:hint="eastAsia" w:asciiTheme="minorEastAsia" w:hAnsiTheme="minorEastAsia" w:eastAsiaTheme="minorEastAsia"/>
          <w:spacing w:val="6"/>
        </w:rPr>
        <w:t>；</w:t>
      </w:r>
    </w:p>
    <w:p w14:paraId="155E83EA">
      <w:pPr>
        <w:adjustRightInd w:val="0"/>
        <w:snapToGrid w:val="0"/>
        <w:ind w:firstLine="444" w:firstLineChars="200"/>
        <w:rPr>
          <w:rFonts w:hint="eastAsia" w:asciiTheme="minorEastAsia" w:hAnsiTheme="minorEastAsia" w:eastAsiaTheme="minorEastAsia"/>
          <w:spacing w:val="6"/>
        </w:rPr>
      </w:pPr>
      <w:r>
        <w:rPr>
          <w:rFonts w:asciiTheme="minorEastAsia" w:hAnsiTheme="minorEastAsia" w:eastAsiaTheme="minorEastAsia"/>
          <w:spacing w:val="6"/>
        </w:rPr>
        <w:t>——与基本分析步骤的差异；</w:t>
      </w:r>
    </w:p>
    <w:p w14:paraId="70C616B4">
      <w:pPr>
        <w:adjustRightInd w:val="0"/>
        <w:snapToGrid w:val="0"/>
        <w:ind w:firstLine="444" w:firstLineChars="200"/>
        <w:rPr>
          <w:rFonts w:hint="eastAsia" w:asciiTheme="minorEastAsia" w:hAnsiTheme="minorEastAsia" w:eastAsiaTheme="minorEastAsia"/>
          <w:spacing w:val="6"/>
        </w:rPr>
      </w:pPr>
      <w:r>
        <w:rPr>
          <w:rFonts w:asciiTheme="minorEastAsia" w:hAnsiTheme="minorEastAsia" w:eastAsiaTheme="minorEastAsia"/>
          <w:spacing w:val="6"/>
        </w:rPr>
        <w:t>——测定中观察到的异常现象；</w:t>
      </w:r>
    </w:p>
    <w:p w14:paraId="6501168D">
      <w:pPr>
        <w:adjustRightInd w:val="0"/>
        <w:snapToGrid w:val="0"/>
        <w:ind w:firstLine="444" w:firstLineChars="200"/>
        <w:rPr>
          <w:rFonts w:asciiTheme="minorEastAsia" w:hAnsiTheme="minorEastAsia" w:eastAsiaTheme="minorEastAsia"/>
          <w:spacing w:val="6"/>
        </w:rPr>
      </w:pPr>
      <w:r>
        <w:rPr>
          <w:rFonts w:asciiTheme="minorEastAsia" w:hAnsiTheme="minorEastAsia" w:eastAsiaTheme="minorEastAsia"/>
          <w:spacing w:val="6"/>
        </w:rPr>
        <w:t>——</w:t>
      </w:r>
      <w:r>
        <w:rPr>
          <w:rFonts w:hint="eastAsia" w:asciiTheme="minorEastAsia" w:hAnsiTheme="minorEastAsia" w:eastAsiaTheme="minorEastAsia"/>
          <w:spacing w:val="6"/>
        </w:rPr>
        <w:t>试验日期。</w:t>
      </w:r>
      <w:r>
        <w:rPr>
          <w:rFonts w:asciiTheme="minorEastAsia" w:hAnsiTheme="minorEastAsia" w:eastAsiaTheme="minorEastAsia"/>
          <w:spacing w:val="6"/>
        </w:rPr>
        <w:tab/>
      </w:r>
    </w:p>
    <w:p w14:paraId="426C7DEC">
      <w:pPr>
        <w:spacing w:before="0" w:beforeLines="-2147483648" w:after="0" w:afterLines="-2147483648" w:line="240" w:lineRule="auto"/>
      </w:pPr>
      <w:r>
        <w:br w:type="page"/>
      </w:r>
    </w:p>
    <w:p w14:paraId="1CC60394">
      <w:pPr>
        <w:pStyle w:val="57"/>
        <w:tabs>
          <w:tab w:val="center" w:pos="4201"/>
          <w:tab w:val="right" w:leader="dot" w:pos="9298"/>
        </w:tabs>
        <w:spacing w:before="860"/>
        <w:ind w:firstLine="0" w:firstLineChars="0"/>
        <w:jc w:val="center"/>
        <w:rPr>
          <w:rFonts w:ascii="黑体" w:eastAsia="黑体"/>
          <w:szCs w:val="21"/>
        </w:rPr>
      </w:pPr>
      <w:r>
        <w:rPr>
          <w:rFonts w:hint="eastAsia" w:ascii="黑体" w:eastAsia="黑体"/>
          <w:szCs w:val="21"/>
        </w:rPr>
        <w:t>附录A</w:t>
      </w:r>
    </w:p>
    <w:p w14:paraId="42FE9206">
      <w:pPr>
        <w:pStyle w:val="144"/>
        <w:ind w:firstLine="0" w:firstLineChars="0"/>
        <w:jc w:val="center"/>
        <w:rPr>
          <w:rFonts w:ascii="黑体" w:eastAsia="黑体"/>
          <w:szCs w:val="21"/>
        </w:rPr>
      </w:pPr>
      <w:r>
        <w:rPr>
          <w:rFonts w:hint="eastAsia" w:ascii="黑体" w:eastAsia="黑体"/>
          <w:szCs w:val="21"/>
        </w:rPr>
        <w:t>（资料性）</w:t>
      </w:r>
    </w:p>
    <w:p w14:paraId="654B8DB5">
      <w:pPr>
        <w:pStyle w:val="144"/>
        <w:ind w:firstLine="0" w:firstLineChars="0"/>
        <w:jc w:val="center"/>
        <w:rPr>
          <w:rFonts w:hint="default" w:ascii="黑体" w:eastAsia="黑体"/>
          <w:szCs w:val="21"/>
          <w:lang w:val="en-US" w:eastAsia="zh-CN"/>
        </w:rPr>
      </w:pPr>
      <w:r>
        <w:rPr>
          <w:rFonts w:hint="eastAsia" w:ascii="黑体" w:eastAsia="黑体"/>
          <w:bCs/>
          <w:lang w:val="en-US" w:eastAsia="zh-CN"/>
        </w:rPr>
        <w:t>从实验室间实验结果得到的统计数据</w:t>
      </w:r>
    </w:p>
    <w:p w14:paraId="1C5AF590">
      <w:pPr>
        <w:ind w:firstLine="420" w:firstLineChars="200"/>
        <w:rPr>
          <w:rFonts w:ascii="Times New Roman" w:hAnsi="Times New Roman"/>
        </w:rPr>
      </w:pPr>
      <w:r>
        <w:rPr>
          <w:rFonts w:ascii="Times New Roman" w:hAnsi="Times New Roman"/>
        </w:rPr>
        <w:t>精密度数据是</w:t>
      </w:r>
      <w:r>
        <w:rPr>
          <w:rFonts w:hint="eastAsia"/>
          <w:lang w:val="en-US" w:eastAsia="zh-CN"/>
        </w:rPr>
        <w:t>对</w:t>
      </w:r>
      <w:r>
        <w:rPr>
          <w:rFonts w:hint="eastAsia" w:ascii="Times New Roman" w:hAnsi="Times New Roman"/>
          <w:lang w:val="en-US" w:eastAsia="zh-CN"/>
        </w:rPr>
        <w:t>15</w:t>
      </w:r>
      <w:r>
        <w:rPr>
          <w:rFonts w:ascii="Times New Roman" w:hAnsi="Times New Roman"/>
        </w:rPr>
        <w:t>家实验室</w:t>
      </w:r>
      <w:r>
        <w:rPr>
          <w:rFonts w:hint="eastAsia" w:ascii="宋体" w:hAnsi="宋体"/>
          <w:szCs w:val="24"/>
        </w:rPr>
        <w:t>对</w:t>
      </w:r>
      <w:r>
        <w:rPr>
          <w:rFonts w:hint="eastAsia" w:ascii="宋体" w:hAnsi="宋体"/>
          <w:szCs w:val="24"/>
          <w:lang w:val="en-US" w:eastAsia="zh-CN"/>
        </w:rPr>
        <w:t>5个</w:t>
      </w:r>
      <w:r>
        <w:rPr>
          <w:rFonts w:ascii="宋体" w:hAnsi="宋体"/>
          <w:szCs w:val="24"/>
        </w:rPr>
        <w:t>至</w:t>
      </w:r>
      <w:r>
        <w:rPr>
          <w:rFonts w:hint="eastAsia" w:ascii="宋体" w:hAnsi="宋体"/>
          <w:szCs w:val="24"/>
          <w:lang w:val="en-US" w:eastAsia="zh-CN"/>
        </w:rPr>
        <w:t>6</w:t>
      </w:r>
      <w:r>
        <w:rPr>
          <w:rFonts w:hint="eastAsia" w:ascii="宋体" w:hAnsi="宋体"/>
          <w:szCs w:val="24"/>
        </w:rPr>
        <w:t>个不同水平样品</w:t>
      </w:r>
      <w:r>
        <w:rPr>
          <w:rFonts w:hint="eastAsia" w:ascii="Times New Roman" w:hAnsi="Times New Roman"/>
        </w:rPr>
        <w:t>进行共同试验确定的。每个实验室对每个水平的</w:t>
      </w:r>
      <w:r>
        <w:rPr>
          <w:rFonts w:ascii="宋体" w:hAnsi="宋体"/>
          <w:szCs w:val="21"/>
        </w:rPr>
        <w:t>铜、</w:t>
      </w:r>
      <w:r>
        <w:rPr>
          <w:rFonts w:hint="eastAsia" w:ascii="宋体" w:hAnsi="宋体"/>
          <w:szCs w:val="21"/>
        </w:rPr>
        <w:t>铅、锌、</w:t>
      </w:r>
      <w:r>
        <w:rPr>
          <w:rFonts w:ascii="宋体" w:hAnsi="宋体"/>
          <w:szCs w:val="21"/>
        </w:rPr>
        <w:t>镍、钴、</w:t>
      </w:r>
      <w:r>
        <w:rPr>
          <w:rFonts w:hint="eastAsia" w:ascii="宋体" w:hAnsi="宋体"/>
          <w:szCs w:val="21"/>
        </w:rPr>
        <w:t>镉、</w:t>
      </w:r>
      <w:r>
        <w:rPr>
          <w:rFonts w:ascii="宋体" w:hAnsi="宋体"/>
          <w:szCs w:val="21"/>
        </w:rPr>
        <w:t>镁</w:t>
      </w:r>
      <w:r>
        <w:rPr>
          <w:rFonts w:hint="eastAsia" w:ascii="宋体" w:hAnsi="宋体"/>
          <w:szCs w:val="21"/>
        </w:rPr>
        <w:t>、锰、砷、钼</w:t>
      </w:r>
      <w:r>
        <w:rPr>
          <w:rFonts w:hint="eastAsia" w:ascii="Times New Roman" w:hAnsi="Times New Roman"/>
        </w:rPr>
        <w:t>含量在重复性条件下独立测定</w:t>
      </w:r>
      <w:r>
        <w:rPr>
          <w:rFonts w:ascii="Times New Roman" w:hAnsi="Times New Roman"/>
        </w:rPr>
        <w:t>5</w:t>
      </w:r>
      <w:r>
        <w:rPr>
          <w:rFonts w:hint="eastAsia" w:ascii="Times New Roman" w:hAnsi="Times New Roman"/>
        </w:rPr>
        <w:t>次</w:t>
      </w:r>
      <w:r>
        <w:rPr>
          <w:rFonts w:ascii="Times New Roman" w:hAnsi="Times New Roman"/>
        </w:rPr>
        <w:t>~7</w:t>
      </w:r>
      <w:r>
        <w:rPr>
          <w:rFonts w:hint="eastAsia" w:ascii="Times New Roman" w:hAnsi="Times New Roman"/>
        </w:rPr>
        <w:t>次。</w:t>
      </w:r>
      <w:r>
        <w:rPr>
          <w:rFonts w:hint="eastAsia"/>
          <w:lang w:val="en-US" w:eastAsia="zh-CN"/>
        </w:rPr>
        <w:t>数据统计结果见</w:t>
      </w:r>
      <w:r>
        <w:rPr>
          <w:rFonts w:hint="eastAsia" w:ascii="Times New Roman" w:hAnsi="Times New Roman"/>
        </w:rPr>
        <w:t>表</w:t>
      </w:r>
      <w:bookmarkStart w:id="17" w:name="_Hlk54644276"/>
      <w:r>
        <w:rPr>
          <w:rFonts w:ascii="Times New Roman" w:hAnsi="Times New Roman"/>
        </w:rPr>
        <w:t>A.1</w:t>
      </w:r>
      <w:bookmarkEnd w:id="17"/>
      <w:r>
        <w:rPr>
          <w:rFonts w:hint="eastAsia" w:ascii="Times New Roman" w:hAnsi="Times New Roman"/>
        </w:rPr>
        <w:t>。</w:t>
      </w:r>
    </w:p>
    <w:p w14:paraId="636C82D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黑体" w:hAnsi="黑体" w:eastAsia="黑体"/>
          <w:kern w:val="0"/>
          <w:lang w:val="en-US" w:eastAsia="zh-CN"/>
        </w:rPr>
      </w:pPr>
      <w:bookmarkStart w:id="18" w:name="_Hlk54644693"/>
      <w:r>
        <w:rPr>
          <w:rFonts w:ascii="黑体" w:hAnsi="黑体" w:eastAsia="黑体"/>
          <w:kern w:val="0"/>
        </w:rPr>
        <w:t xml:space="preserve">表A.1  </w:t>
      </w:r>
      <w:bookmarkEnd w:id="18"/>
      <w:r>
        <w:rPr>
          <w:rFonts w:hint="eastAsia" w:ascii="黑体" w:hAnsi="黑体" w:eastAsia="黑体"/>
          <w:kern w:val="0"/>
          <w:lang w:val="en-US" w:eastAsia="zh-CN"/>
        </w:rPr>
        <w:t>实验室间数据统计结果</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15"/>
        <w:gridCol w:w="1380"/>
        <w:gridCol w:w="1095"/>
        <w:gridCol w:w="1515"/>
        <w:gridCol w:w="1488"/>
        <w:gridCol w:w="991"/>
        <w:gridCol w:w="1197"/>
      </w:tblGrid>
      <w:tr w14:paraId="5690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14:paraId="049408D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元素</w:t>
            </w:r>
          </w:p>
        </w:tc>
        <w:tc>
          <w:tcPr>
            <w:tcW w:w="915" w:type="dxa"/>
            <w:vAlign w:val="center"/>
          </w:tcPr>
          <w:p w14:paraId="6CD35905">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水平</w:t>
            </w:r>
          </w:p>
        </w:tc>
        <w:tc>
          <w:tcPr>
            <w:tcW w:w="1380" w:type="dxa"/>
            <w:vAlign w:val="center"/>
          </w:tcPr>
          <w:p w14:paraId="292A4D9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结果可接受的实验室个数</w:t>
            </w:r>
          </w:p>
        </w:tc>
        <w:tc>
          <w:tcPr>
            <w:tcW w:w="1095" w:type="dxa"/>
            <w:vAlign w:val="center"/>
          </w:tcPr>
          <w:p w14:paraId="75554F64">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平均值</w:t>
            </w:r>
          </w:p>
          <w:p w14:paraId="4A5E235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w:t>
            </w:r>
          </w:p>
        </w:tc>
        <w:tc>
          <w:tcPr>
            <w:tcW w:w="1515" w:type="dxa"/>
            <w:vAlign w:val="center"/>
          </w:tcPr>
          <w:p w14:paraId="3242AC34">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重复性标准偏差</w:t>
            </w:r>
          </w:p>
          <w:p w14:paraId="0C3A49F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S</w:t>
            </w:r>
            <w:r>
              <w:rPr>
                <w:rFonts w:hint="default" w:ascii="Times New Roman" w:hAnsi="Times New Roman" w:eastAsia="黑体" w:cs="Times New Roman"/>
                <w:kern w:val="0"/>
                <w:sz w:val="18"/>
                <w:szCs w:val="18"/>
                <w:vertAlign w:val="subscript"/>
                <w:lang w:val="en-US" w:eastAsia="zh-CN"/>
              </w:rPr>
              <w:t>r</w:t>
            </w:r>
          </w:p>
        </w:tc>
        <w:tc>
          <w:tcPr>
            <w:tcW w:w="1488" w:type="dxa"/>
            <w:vAlign w:val="center"/>
          </w:tcPr>
          <w:p w14:paraId="0950135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再现性标准偏差</w:t>
            </w:r>
          </w:p>
          <w:p w14:paraId="7205B24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S</w:t>
            </w:r>
            <w:r>
              <w:rPr>
                <w:rFonts w:hint="default" w:ascii="Times New Roman" w:hAnsi="Times New Roman" w:eastAsia="黑体" w:cs="Times New Roman"/>
                <w:kern w:val="0"/>
                <w:sz w:val="18"/>
                <w:szCs w:val="18"/>
                <w:vertAlign w:val="subscript"/>
                <w:lang w:val="en-US" w:eastAsia="zh-CN"/>
              </w:rPr>
              <w:t>R</w:t>
            </w:r>
          </w:p>
        </w:tc>
        <w:tc>
          <w:tcPr>
            <w:tcW w:w="991" w:type="dxa"/>
            <w:vAlign w:val="center"/>
          </w:tcPr>
          <w:p w14:paraId="7388F312">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重复性限r/%</w:t>
            </w:r>
          </w:p>
        </w:tc>
        <w:tc>
          <w:tcPr>
            <w:tcW w:w="1197" w:type="dxa"/>
            <w:vAlign w:val="center"/>
          </w:tcPr>
          <w:p w14:paraId="3AF248D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再现性限R/%</w:t>
            </w:r>
          </w:p>
        </w:tc>
      </w:tr>
      <w:tr w14:paraId="7ABE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779A615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eastAsia="zh-CN"/>
              </w:rPr>
            </w:pPr>
            <w:r>
              <w:rPr>
                <w:rFonts w:hint="eastAsia" w:ascii="宋体" w:hAnsi="宋体" w:eastAsia="宋体" w:cs="宋体"/>
                <w:kern w:val="0"/>
                <w:sz w:val="18"/>
                <w:szCs w:val="18"/>
                <w:vertAlign w:val="baseline"/>
                <w:lang w:val="en-US" w:eastAsia="zh-CN"/>
              </w:rPr>
              <w:t>Cu</w:t>
            </w:r>
          </w:p>
        </w:tc>
        <w:tc>
          <w:tcPr>
            <w:tcW w:w="915" w:type="dxa"/>
            <w:vAlign w:val="center"/>
          </w:tcPr>
          <w:p w14:paraId="69351108">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096719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12</w:t>
            </w:r>
          </w:p>
        </w:tc>
        <w:tc>
          <w:tcPr>
            <w:tcW w:w="1095" w:type="dxa"/>
            <w:vAlign w:val="center"/>
          </w:tcPr>
          <w:p w14:paraId="53BFDE0F">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0.0068</w:t>
            </w:r>
          </w:p>
        </w:tc>
        <w:tc>
          <w:tcPr>
            <w:tcW w:w="1515" w:type="dxa"/>
            <w:vAlign w:val="center"/>
          </w:tcPr>
          <w:p w14:paraId="3E1F5F5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0.00028</w:t>
            </w:r>
          </w:p>
        </w:tc>
        <w:tc>
          <w:tcPr>
            <w:tcW w:w="1488" w:type="dxa"/>
            <w:vAlign w:val="center"/>
          </w:tcPr>
          <w:p w14:paraId="31D9CB7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0.00046</w:t>
            </w:r>
          </w:p>
        </w:tc>
        <w:tc>
          <w:tcPr>
            <w:tcW w:w="991" w:type="dxa"/>
            <w:vAlign w:val="center"/>
          </w:tcPr>
          <w:p w14:paraId="3586B4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197" w:type="dxa"/>
            <w:vAlign w:val="center"/>
          </w:tcPr>
          <w:p w14:paraId="6BA4C30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0.0013</w:t>
            </w:r>
          </w:p>
        </w:tc>
      </w:tr>
      <w:tr w14:paraId="03C4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2263844">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D1204C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567764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47F8870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515" w:type="dxa"/>
            <w:vAlign w:val="center"/>
          </w:tcPr>
          <w:p w14:paraId="694464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0.00306</w:t>
            </w:r>
          </w:p>
        </w:tc>
        <w:tc>
          <w:tcPr>
            <w:tcW w:w="1488" w:type="dxa"/>
            <w:vAlign w:val="center"/>
          </w:tcPr>
          <w:p w14:paraId="2F8FB6F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0.00314</w:t>
            </w:r>
          </w:p>
        </w:tc>
        <w:tc>
          <w:tcPr>
            <w:tcW w:w="991" w:type="dxa"/>
            <w:vAlign w:val="center"/>
          </w:tcPr>
          <w:p w14:paraId="41D9C4B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468EEB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4E4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988" w:type="dxa"/>
            <w:vMerge w:val="continue"/>
            <w:vAlign w:val="center"/>
          </w:tcPr>
          <w:p w14:paraId="10DDD0B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67F275B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1FF8EB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680D102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0.78</w:t>
            </w:r>
          </w:p>
        </w:tc>
        <w:tc>
          <w:tcPr>
            <w:tcW w:w="1515" w:type="dxa"/>
            <w:vAlign w:val="center"/>
          </w:tcPr>
          <w:p w14:paraId="0F57A6C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0.01475</w:t>
            </w:r>
          </w:p>
        </w:tc>
        <w:tc>
          <w:tcPr>
            <w:tcW w:w="1488" w:type="dxa"/>
            <w:vAlign w:val="center"/>
          </w:tcPr>
          <w:p w14:paraId="0161E77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0.01769</w:t>
            </w:r>
          </w:p>
        </w:tc>
        <w:tc>
          <w:tcPr>
            <w:tcW w:w="991" w:type="dxa"/>
            <w:vAlign w:val="center"/>
          </w:tcPr>
          <w:p w14:paraId="42C410D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1197" w:type="dxa"/>
            <w:vAlign w:val="center"/>
          </w:tcPr>
          <w:p w14:paraId="17563B4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r>
      <w:tr w14:paraId="7447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7462C24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B4745E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28F63A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4BFA035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1.22</w:t>
            </w:r>
          </w:p>
        </w:tc>
        <w:tc>
          <w:tcPr>
            <w:tcW w:w="1515" w:type="dxa"/>
            <w:vAlign w:val="center"/>
          </w:tcPr>
          <w:p w14:paraId="1997779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0.02096</w:t>
            </w:r>
          </w:p>
        </w:tc>
        <w:tc>
          <w:tcPr>
            <w:tcW w:w="1488" w:type="dxa"/>
            <w:vAlign w:val="center"/>
          </w:tcPr>
          <w:p w14:paraId="60E1B0D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0.04480</w:t>
            </w:r>
          </w:p>
        </w:tc>
        <w:tc>
          <w:tcPr>
            <w:tcW w:w="991" w:type="dxa"/>
            <w:vAlign w:val="center"/>
          </w:tcPr>
          <w:p w14:paraId="18A1545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197" w:type="dxa"/>
            <w:vAlign w:val="center"/>
          </w:tcPr>
          <w:p w14:paraId="004111B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0.13</w:t>
            </w:r>
          </w:p>
        </w:tc>
      </w:tr>
      <w:tr w14:paraId="6FD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1F693BE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7E184B6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7B43F5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3C3F837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1515" w:type="dxa"/>
            <w:vAlign w:val="center"/>
          </w:tcPr>
          <w:p w14:paraId="35444B3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0.03385</w:t>
            </w:r>
          </w:p>
        </w:tc>
        <w:tc>
          <w:tcPr>
            <w:tcW w:w="1488" w:type="dxa"/>
            <w:vAlign w:val="center"/>
          </w:tcPr>
          <w:p w14:paraId="4FD8D11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0.07808</w:t>
            </w:r>
          </w:p>
        </w:tc>
        <w:tc>
          <w:tcPr>
            <w:tcW w:w="991" w:type="dxa"/>
            <w:vAlign w:val="center"/>
          </w:tcPr>
          <w:p w14:paraId="63C8FE6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197" w:type="dxa"/>
            <w:vAlign w:val="center"/>
          </w:tcPr>
          <w:p w14:paraId="5871B69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0.22</w:t>
            </w:r>
          </w:p>
        </w:tc>
      </w:tr>
      <w:tr w14:paraId="78A1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047DDAD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653830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default" w:ascii="Times New Roman" w:hAnsi="Times New Roman" w:eastAsia="黑体" w:cs="Times New Roman"/>
                <w:kern w:val="0"/>
                <w:sz w:val="18"/>
                <w:szCs w:val="18"/>
                <w:vertAlign w:val="baseline"/>
                <w:lang w:val="en-US" w:eastAsia="zh-CN"/>
              </w:rPr>
            </w:pPr>
            <w:r>
              <w:rPr>
                <w:rFonts w:hint="default" w:ascii="Times New Roman" w:hAnsi="Times New Roman" w:eastAsia="黑体" w:cs="Times New Roman"/>
                <w:kern w:val="0"/>
                <w:sz w:val="18"/>
                <w:szCs w:val="18"/>
                <w:vertAlign w:val="baseline"/>
                <w:lang w:val="en-US" w:eastAsia="zh-CN"/>
              </w:rPr>
              <w:t>6</w:t>
            </w:r>
          </w:p>
        </w:tc>
        <w:tc>
          <w:tcPr>
            <w:tcW w:w="1380" w:type="dxa"/>
            <w:vAlign w:val="center"/>
          </w:tcPr>
          <w:p w14:paraId="47D179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4ADF10F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4.66</w:t>
            </w:r>
          </w:p>
        </w:tc>
        <w:tc>
          <w:tcPr>
            <w:tcW w:w="1515" w:type="dxa"/>
            <w:vAlign w:val="center"/>
          </w:tcPr>
          <w:p w14:paraId="7C182D7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0.05342</w:t>
            </w:r>
          </w:p>
        </w:tc>
        <w:tc>
          <w:tcPr>
            <w:tcW w:w="1488" w:type="dxa"/>
            <w:vAlign w:val="center"/>
          </w:tcPr>
          <w:p w14:paraId="17DD473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0.10826</w:t>
            </w:r>
          </w:p>
        </w:tc>
        <w:tc>
          <w:tcPr>
            <w:tcW w:w="991" w:type="dxa"/>
            <w:vAlign w:val="center"/>
          </w:tcPr>
          <w:p w14:paraId="371DCD0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1197" w:type="dxa"/>
            <w:vAlign w:val="center"/>
          </w:tcPr>
          <w:p w14:paraId="0FF20E8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0.31</w:t>
            </w:r>
          </w:p>
        </w:tc>
      </w:tr>
      <w:tr w14:paraId="47FD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0538563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Pb</w:t>
            </w:r>
          </w:p>
        </w:tc>
        <w:tc>
          <w:tcPr>
            <w:tcW w:w="915" w:type="dxa"/>
            <w:vAlign w:val="center"/>
          </w:tcPr>
          <w:p w14:paraId="0B4468A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3351A8A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1B0A94A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0.027</w:t>
            </w:r>
          </w:p>
        </w:tc>
        <w:tc>
          <w:tcPr>
            <w:tcW w:w="1515" w:type="dxa"/>
            <w:vAlign w:val="center"/>
          </w:tcPr>
          <w:p w14:paraId="13F65E6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0.00085</w:t>
            </w:r>
          </w:p>
        </w:tc>
        <w:tc>
          <w:tcPr>
            <w:tcW w:w="1488" w:type="dxa"/>
            <w:vAlign w:val="center"/>
          </w:tcPr>
          <w:p w14:paraId="683EA99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0.00203</w:t>
            </w:r>
          </w:p>
        </w:tc>
        <w:tc>
          <w:tcPr>
            <w:tcW w:w="991" w:type="dxa"/>
            <w:vAlign w:val="center"/>
          </w:tcPr>
          <w:p w14:paraId="36A072A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97" w:type="dxa"/>
            <w:vAlign w:val="center"/>
          </w:tcPr>
          <w:p w14:paraId="2479202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0.006</w:t>
            </w:r>
          </w:p>
        </w:tc>
      </w:tr>
      <w:tr w14:paraId="40C1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E12EF2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20842A6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258746E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3E4B26E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515" w:type="dxa"/>
            <w:vAlign w:val="center"/>
          </w:tcPr>
          <w:p w14:paraId="4A6AB2C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0.00335</w:t>
            </w:r>
          </w:p>
        </w:tc>
        <w:tc>
          <w:tcPr>
            <w:tcW w:w="1488" w:type="dxa"/>
            <w:vAlign w:val="center"/>
          </w:tcPr>
          <w:p w14:paraId="7D59446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0.00427</w:t>
            </w:r>
          </w:p>
        </w:tc>
        <w:tc>
          <w:tcPr>
            <w:tcW w:w="991" w:type="dxa"/>
            <w:vAlign w:val="center"/>
          </w:tcPr>
          <w:p w14:paraId="1E44DD8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1E565B1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r>
      <w:tr w14:paraId="458D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165592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5B53FCD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4EDA84D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58D22DF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0.78</w:t>
            </w:r>
          </w:p>
        </w:tc>
        <w:tc>
          <w:tcPr>
            <w:tcW w:w="1515" w:type="dxa"/>
            <w:vAlign w:val="center"/>
          </w:tcPr>
          <w:p w14:paraId="550A502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r>
              <w:rPr>
                <w:rFonts w:hint="default" w:ascii="Times New Roman" w:hAnsi="Times New Roman" w:cs="Times New Roman"/>
                <w:i w:val="0"/>
                <w:iCs w:val="0"/>
                <w:color w:val="000000"/>
                <w:kern w:val="0"/>
                <w:sz w:val="18"/>
                <w:szCs w:val="18"/>
                <w:u w:val="none"/>
                <w:lang w:val="en-US" w:eastAsia="zh-CN" w:bidi="ar"/>
              </w:rPr>
              <w:t>060</w:t>
            </w:r>
          </w:p>
        </w:tc>
        <w:tc>
          <w:tcPr>
            <w:tcW w:w="1488" w:type="dxa"/>
            <w:vAlign w:val="center"/>
          </w:tcPr>
          <w:p w14:paraId="321A9BA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2473</w:t>
            </w:r>
          </w:p>
        </w:tc>
        <w:tc>
          <w:tcPr>
            <w:tcW w:w="991" w:type="dxa"/>
            <w:vAlign w:val="center"/>
          </w:tcPr>
          <w:p w14:paraId="4EA585C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3</w:t>
            </w:r>
          </w:p>
        </w:tc>
        <w:tc>
          <w:tcPr>
            <w:tcW w:w="1197" w:type="dxa"/>
            <w:vAlign w:val="center"/>
          </w:tcPr>
          <w:p w14:paraId="41C302C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7</w:t>
            </w:r>
          </w:p>
        </w:tc>
      </w:tr>
      <w:tr w14:paraId="4E6B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14C9F11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3AD33085">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2A0A277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52CF8F3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1515" w:type="dxa"/>
            <w:vAlign w:val="center"/>
          </w:tcPr>
          <w:p w14:paraId="0D276AF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0.01379</w:t>
            </w:r>
          </w:p>
        </w:tc>
        <w:tc>
          <w:tcPr>
            <w:tcW w:w="1488" w:type="dxa"/>
            <w:vAlign w:val="center"/>
          </w:tcPr>
          <w:p w14:paraId="2878184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0.03086</w:t>
            </w:r>
          </w:p>
        </w:tc>
        <w:tc>
          <w:tcPr>
            <w:tcW w:w="991" w:type="dxa"/>
            <w:vAlign w:val="center"/>
          </w:tcPr>
          <w:p w14:paraId="25ADA6E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1197" w:type="dxa"/>
            <w:vAlign w:val="center"/>
          </w:tcPr>
          <w:p w14:paraId="7CFBA92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0.09</w:t>
            </w:r>
          </w:p>
        </w:tc>
      </w:tr>
      <w:tr w14:paraId="08E7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9B22498">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9C3966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7BC975E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5513B34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3.53</w:t>
            </w:r>
          </w:p>
        </w:tc>
        <w:tc>
          <w:tcPr>
            <w:tcW w:w="1515" w:type="dxa"/>
            <w:vAlign w:val="center"/>
          </w:tcPr>
          <w:p w14:paraId="69D20E7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0.04281</w:t>
            </w:r>
          </w:p>
        </w:tc>
        <w:tc>
          <w:tcPr>
            <w:tcW w:w="1488" w:type="dxa"/>
            <w:vAlign w:val="center"/>
          </w:tcPr>
          <w:p w14:paraId="1066C90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0.07171</w:t>
            </w:r>
          </w:p>
        </w:tc>
        <w:tc>
          <w:tcPr>
            <w:tcW w:w="991" w:type="dxa"/>
            <w:vAlign w:val="center"/>
          </w:tcPr>
          <w:p w14:paraId="5D4451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1197" w:type="dxa"/>
            <w:vAlign w:val="center"/>
          </w:tcPr>
          <w:p w14:paraId="6EC68E7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0.20</w:t>
            </w:r>
          </w:p>
        </w:tc>
      </w:tr>
      <w:tr w14:paraId="3B90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65B0D9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121FC36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6</w:t>
            </w:r>
          </w:p>
        </w:tc>
        <w:tc>
          <w:tcPr>
            <w:tcW w:w="1380" w:type="dxa"/>
            <w:vAlign w:val="center"/>
          </w:tcPr>
          <w:p w14:paraId="2AC8803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761061A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4.69</w:t>
            </w:r>
          </w:p>
        </w:tc>
        <w:tc>
          <w:tcPr>
            <w:tcW w:w="1515" w:type="dxa"/>
            <w:vAlign w:val="center"/>
          </w:tcPr>
          <w:p w14:paraId="6C73C7E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0.05646</w:t>
            </w:r>
          </w:p>
        </w:tc>
        <w:tc>
          <w:tcPr>
            <w:tcW w:w="1488" w:type="dxa"/>
            <w:vAlign w:val="center"/>
          </w:tcPr>
          <w:p w14:paraId="78822AC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0.09376</w:t>
            </w:r>
          </w:p>
        </w:tc>
        <w:tc>
          <w:tcPr>
            <w:tcW w:w="991" w:type="dxa"/>
            <w:vAlign w:val="center"/>
          </w:tcPr>
          <w:p w14:paraId="093FCED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1197" w:type="dxa"/>
            <w:vAlign w:val="center"/>
          </w:tcPr>
          <w:p w14:paraId="49DDFA9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0.27</w:t>
            </w:r>
          </w:p>
        </w:tc>
      </w:tr>
      <w:tr w14:paraId="1767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25410EE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Zn</w:t>
            </w:r>
          </w:p>
        </w:tc>
        <w:tc>
          <w:tcPr>
            <w:tcW w:w="915" w:type="dxa"/>
            <w:vAlign w:val="center"/>
          </w:tcPr>
          <w:p w14:paraId="65D2C7F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679037D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11</w:t>
            </w:r>
          </w:p>
        </w:tc>
        <w:tc>
          <w:tcPr>
            <w:tcW w:w="1095" w:type="dxa"/>
            <w:vAlign w:val="center"/>
          </w:tcPr>
          <w:p w14:paraId="75AE926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15" w:type="dxa"/>
            <w:vAlign w:val="center"/>
          </w:tcPr>
          <w:p w14:paraId="63CCB58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0.00054</w:t>
            </w:r>
          </w:p>
        </w:tc>
        <w:tc>
          <w:tcPr>
            <w:tcW w:w="1488" w:type="dxa"/>
            <w:vAlign w:val="center"/>
          </w:tcPr>
          <w:p w14:paraId="0AF1B49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0.00194</w:t>
            </w:r>
          </w:p>
        </w:tc>
        <w:tc>
          <w:tcPr>
            <w:tcW w:w="991" w:type="dxa"/>
            <w:vAlign w:val="center"/>
          </w:tcPr>
          <w:p w14:paraId="3A64053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97" w:type="dxa"/>
            <w:vAlign w:val="center"/>
          </w:tcPr>
          <w:p w14:paraId="315C62A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w:t>
            </w:r>
          </w:p>
        </w:tc>
      </w:tr>
      <w:tr w14:paraId="5C57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0FC42EEF">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544555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69F1D82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39650A9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1515" w:type="dxa"/>
            <w:vAlign w:val="center"/>
          </w:tcPr>
          <w:p w14:paraId="39C6E46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0.00385</w:t>
            </w:r>
          </w:p>
        </w:tc>
        <w:tc>
          <w:tcPr>
            <w:tcW w:w="1488" w:type="dxa"/>
            <w:vAlign w:val="center"/>
          </w:tcPr>
          <w:p w14:paraId="0F07DF5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0.00968</w:t>
            </w:r>
          </w:p>
        </w:tc>
        <w:tc>
          <w:tcPr>
            <w:tcW w:w="991" w:type="dxa"/>
            <w:vAlign w:val="center"/>
          </w:tcPr>
          <w:p w14:paraId="3352AE9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7A006F8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5915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72890E2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5397802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206B26E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16E9FB1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0.76</w:t>
            </w:r>
          </w:p>
        </w:tc>
        <w:tc>
          <w:tcPr>
            <w:tcW w:w="1515" w:type="dxa"/>
            <w:vAlign w:val="center"/>
          </w:tcPr>
          <w:p w14:paraId="7A8390A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0.00765</w:t>
            </w:r>
          </w:p>
        </w:tc>
        <w:tc>
          <w:tcPr>
            <w:tcW w:w="1488" w:type="dxa"/>
            <w:vAlign w:val="center"/>
          </w:tcPr>
          <w:p w14:paraId="3361921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0.02254</w:t>
            </w:r>
          </w:p>
        </w:tc>
        <w:tc>
          <w:tcPr>
            <w:tcW w:w="991" w:type="dxa"/>
            <w:vAlign w:val="center"/>
          </w:tcPr>
          <w:p w14:paraId="377BC39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0D6F83A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0.06</w:t>
            </w:r>
          </w:p>
        </w:tc>
      </w:tr>
      <w:tr w14:paraId="6FC5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01A9C85">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2353D0A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50690B4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66FAC70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1515" w:type="dxa"/>
            <w:vAlign w:val="center"/>
          </w:tcPr>
          <w:p w14:paraId="2A2319D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0.02674</w:t>
            </w:r>
          </w:p>
        </w:tc>
        <w:tc>
          <w:tcPr>
            <w:tcW w:w="1488" w:type="dxa"/>
            <w:vAlign w:val="center"/>
          </w:tcPr>
          <w:p w14:paraId="25955A1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0.03635</w:t>
            </w:r>
          </w:p>
        </w:tc>
        <w:tc>
          <w:tcPr>
            <w:tcW w:w="991" w:type="dxa"/>
            <w:vAlign w:val="center"/>
          </w:tcPr>
          <w:p w14:paraId="369758A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0.08</w:t>
            </w:r>
          </w:p>
        </w:tc>
        <w:tc>
          <w:tcPr>
            <w:tcW w:w="1197" w:type="dxa"/>
            <w:vAlign w:val="center"/>
          </w:tcPr>
          <w:p w14:paraId="7857524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w:t>
            </w:r>
          </w:p>
        </w:tc>
      </w:tr>
      <w:tr w14:paraId="3B8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F3B1FAE">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621814F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40EF076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6348C29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2.79</w:t>
            </w:r>
          </w:p>
        </w:tc>
        <w:tc>
          <w:tcPr>
            <w:tcW w:w="1515" w:type="dxa"/>
            <w:vAlign w:val="center"/>
          </w:tcPr>
          <w:p w14:paraId="1D10212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0.04722</w:t>
            </w:r>
          </w:p>
        </w:tc>
        <w:tc>
          <w:tcPr>
            <w:tcW w:w="1488" w:type="dxa"/>
            <w:vAlign w:val="center"/>
          </w:tcPr>
          <w:p w14:paraId="78AFFCE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0.05116</w:t>
            </w:r>
          </w:p>
        </w:tc>
        <w:tc>
          <w:tcPr>
            <w:tcW w:w="991" w:type="dxa"/>
            <w:vAlign w:val="center"/>
          </w:tcPr>
          <w:p w14:paraId="06C98A4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1197" w:type="dxa"/>
            <w:vAlign w:val="center"/>
          </w:tcPr>
          <w:p w14:paraId="69928ED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0.14</w:t>
            </w:r>
          </w:p>
        </w:tc>
      </w:tr>
      <w:tr w14:paraId="6429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9C4951E">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C310CD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6</w:t>
            </w:r>
          </w:p>
        </w:tc>
        <w:tc>
          <w:tcPr>
            <w:tcW w:w="1380" w:type="dxa"/>
            <w:vAlign w:val="center"/>
          </w:tcPr>
          <w:p w14:paraId="4DEBFC6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1AB1490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4.34</w:t>
            </w:r>
          </w:p>
        </w:tc>
        <w:tc>
          <w:tcPr>
            <w:tcW w:w="1515" w:type="dxa"/>
            <w:vAlign w:val="center"/>
          </w:tcPr>
          <w:p w14:paraId="0CC0251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0.04302</w:t>
            </w:r>
          </w:p>
        </w:tc>
        <w:tc>
          <w:tcPr>
            <w:tcW w:w="1488" w:type="dxa"/>
            <w:vAlign w:val="center"/>
          </w:tcPr>
          <w:p w14:paraId="4D8C197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0.09920</w:t>
            </w:r>
          </w:p>
        </w:tc>
        <w:tc>
          <w:tcPr>
            <w:tcW w:w="991" w:type="dxa"/>
            <w:vAlign w:val="center"/>
          </w:tcPr>
          <w:p w14:paraId="72703CB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0.15</w:t>
            </w:r>
          </w:p>
        </w:tc>
        <w:tc>
          <w:tcPr>
            <w:tcW w:w="1197" w:type="dxa"/>
            <w:vAlign w:val="center"/>
          </w:tcPr>
          <w:p w14:paraId="0749B82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0.28</w:t>
            </w:r>
          </w:p>
        </w:tc>
      </w:tr>
      <w:tr w14:paraId="70F6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0D06B0C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Ni</w:t>
            </w:r>
          </w:p>
        </w:tc>
        <w:tc>
          <w:tcPr>
            <w:tcW w:w="915" w:type="dxa"/>
            <w:vAlign w:val="center"/>
          </w:tcPr>
          <w:p w14:paraId="0E4A251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03D50993">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36230C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0.0060</w:t>
            </w:r>
          </w:p>
        </w:tc>
        <w:tc>
          <w:tcPr>
            <w:tcW w:w="1515" w:type="dxa"/>
            <w:vAlign w:val="center"/>
          </w:tcPr>
          <w:p w14:paraId="6283770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0.00022</w:t>
            </w:r>
          </w:p>
        </w:tc>
        <w:tc>
          <w:tcPr>
            <w:tcW w:w="1488" w:type="dxa"/>
            <w:vAlign w:val="center"/>
          </w:tcPr>
          <w:p w14:paraId="57E1131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0.00055</w:t>
            </w:r>
          </w:p>
        </w:tc>
        <w:tc>
          <w:tcPr>
            <w:tcW w:w="991" w:type="dxa"/>
            <w:vAlign w:val="center"/>
          </w:tcPr>
          <w:p w14:paraId="753121C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1197" w:type="dxa"/>
            <w:vAlign w:val="center"/>
          </w:tcPr>
          <w:p w14:paraId="607376A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0.0016</w:t>
            </w:r>
          </w:p>
        </w:tc>
      </w:tr>
      <w:tr w14:paraId="463D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7424B33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7246142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67F1642D">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54CD39F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515" w:type="dxa"/>
            <w:vAlign w:val="center"/>
          </w:tcPr>
          <w:p w14:paraId="1FEFD14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0.00033</w:t>
            </w:r>
          </w:p>
        </w:tc>
        <w:tc>
          <w:tcPr>
            <w:tcW w:w="1488" w:type="dxa"/>
            <w:vAlign w:val="center"/>
          </w:tcPr>
          <w:p w14:paraId="4D464A2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0.00086</w:t>
            </w:r>
          </w:p>
        </w:tc>
        <w:tc>
          <w:tcPr>
            <w:tcW w:w="991" w:type="dxa"/>
            <w:vAlign w:val="center"/>
          </w:tcPr>
          <w:p w14:paraId="163AE1E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197" w:type="dxa"/>
            <w:vAlign w:val="center"/>
          </w:tcPr>
          <w:p w14:paraId="0806E41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791F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4A98BBF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14E4E2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0F0F7E12">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18AEF9B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0.024</w:t>
            </w:r>
          </w:p>
        </w:tc>
        <w:tc>
          <w:tcPr>
            <w:tcW w:w="1515" w:type="dxa"/>
            <w:vAlign w:val="center"/>
          </w:tcPr>
          <w:p w14:paraId="26F0395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0.00059</w:t>
            </w:r>
          </w:p>
        </w:tc>
        <w:tc>
          <w:tcPr>
            <w:tcW w:w="1488" w:type="dxa"/>
            <w:vAlign w:val="center"/>
          </w:tcPr>
          <w:p w14:paraId="56004CF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0.00160</w:t>
            </w:r>
          </w:p>
        </w:tc>
        <w:tc>
          <w:tcPr>
            <w:tcW w:w="991" w:type="dxa"/>
            <w:vAlign w:val="center"/>
          </w:tcPr>
          <w:p w14:paraId="603094D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97" w:type="dxa"/>
            <w:vAlign w:val="center"/>
          </w:tcPr>
          <w:p w14:paraId="268CDFC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w:t>
            </w:r>
          </w:p>
        </w:tc>
      </w:tr>
      <w:tr w14:paraId="3585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51712A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B9ABB4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6DA1CE56">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2BD0D0D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1515" w:type="dxa"/>
            <w:vAlign w:val="center"/>
          </w:tcPr>
          <w:p w14:paraId="47F3129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0.00437</w:t>
            </w:r>
          </w:p>
        </w:tc>
        <w:tc>
          <w:tcPr>
            <w:tcW w:w="1488" w:type="dxa"/>
            <w:vAlign w:val="center"/>
          </w:tcPr>
          <w:p w14:paraId="6F3BA44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0.01028</w:t>
            </w:r>
          </w:p>
        </w:tc>
        <w:tc>
          <w:tcPr>
            <w:tcW w:w="991" w:type="dxa"/>
            <w:vAlign w:val="center"/>
          </w:tcPr>
          <w:p w14:paraId="48D3B06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68C929D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2606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9C4BCB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AB94D1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02F04081">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0656B5E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0.45</w:t>
            </w:r>
          </w:p>
        </w:tc>
        <w:tc>
          <w:tcPr>
            <w:tcW w:w="1515" w:type="dxa"/>
            <w:vAlign w:val="center"/>
          </w:tcPr>
          <w:p w14:paraId="20D026E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0.00751</w:t>
            </w:r>
          </w:p>
        </w:tc>
        <w:tc>
          <w:tcPr>
            <w:tcW w:w="1488" w:type="dxa"/>
            <w:vAlign w:val="center"/>
          </w:tcPr>
          <w:p w14:paraId="246A7AA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0.00779</w:t>
            </w:r>
          </w:p>
        </w:tc>
        <w:tc>
          <w:tcPr>
            <w:tcW w:w="991" w:type="dxa"/>
            <w:vAlign w:val="center"/>
          </w:tcPr>
          <w:p w14:paraId="4AEBEA7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0F964D3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w:t>
            </w:r>
          </w:p>
        </w:tc>
      </w:tr>
      <w:tr w14:paraId="0175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E8E06C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1E8F34B2">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6</w:t>
            </w:r>
          </w:p>
        </w:tc>
        <w:tc>
          <w:tcPr>
            <w:tcW w:w="1380" w:type="dxa"/>
            <w:vAlign w:val="center"/>
          </w:tcPr>
          <w:p w14:paraId="6409C35C">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5E7F195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0.61</w:t>
            </w:r>
          </w:p>
        </w:tc>
        <w:tc>
          <w:tcPr>
            <w:tcW w:w="1515" w:type="dxa"/>
            <w:vAlign w:val="center"/>
          </w:tcPr>
          <w:p w14:paraId="1E8C259F">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1060</w:t>
            </w:r>
          </w:p>
        </w:tc>
        <w:tc>
          <w:tcPr>
            <w:tcW w:w="1488" w:type="dxa"/>
            <w:vAlign w:val="center"/>
          </w:tcPr>
          <w:p w14:paraId="726A6A9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0.01704</w:t>
            </w:r>
          </w:p>
        </w:tc>
        <w:tc>
          <w:tcPr>
            <w:tcW w:w="991" w:type="dxa"/>
            <w:vAlign w:val="center"/>
          </w:tcPr>
          <w:p w14:paraId="43803E9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w:t>
            </w:r>
            <w:r>
              <w:rPr>
                <w:rFonts w:hint="default" w:ascii="Times New Roman" w:hAnsi="Times New Roman" w:cs="Times New Roman"/>
                <w:i w:val="0"/>
                <w:iCs w:val="0"/>
                <w:color w:val="000000"/>
                <w:kern w:val="0"/>
                <w:sz w:val="18"/>
                <w:szCs w:val="18"/>
                <w:u w:val="none"/>
                <w:lang w:val="en-US" w:eastAsia="zh-CN" w:bidi="ar"/>
              </w:rPr>
              <w:t>3</w:t>
            </w:r>
          </w:p>
        </w:tc>
        <w:tc>
          <w:tcPr>
            <w:tcW w:w="1197" w:type="dxa"/>
            <w:vAlign w:val="center"/>
          </w:tcPr>
          <w:p w14:paraId="6221CFB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r>
      <w:tr w14:paraId="1CBD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0AB29D5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Co</w:t>
            </w:r>
          </w:p>
        </w:tc>
        <w:tc>
          <w:tcPr>
            <w:tcW w:w="915" w:type="dxa"/>
            <w:vAlign w:val="center"/>
          </w:tcPr>
          <w:p w14:paraId="24722D4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5630D1EF">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1CDD8EC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0.0060</w:t>
            </w:r>
          </w:p>
        </w:tc>
        <w:tc>
          <w:tcPr>
            <w:tcW w:w="1515" w:type="dxa"/>
            <w:vAlign w:val="center"/>
          </w:tcPr>
          <w:p w14:paraId="339A348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0.00021</w:t>
            </w:r>
          </w:p>
        </w:tc>
        <w:tc>
          <w:tcPr>
            <w:tcW w:w="1488" w:type="dxa"/>
            <w:vAlign w:val="center"/>
          </w:tcPr>
          <w:p w14:paraId="3F182FC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0.00029</w:t>
            </w:r>
          </w:p>
        </w:tc>
        <w:tc>
          <w:tcPr>
            <w:tcW w:w="991" w:type="dxa"/>
            <w:vAlign w:val="center"/>
          </w:tcPr>
          <w:p w14:paraId="20C79EC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0.0006</w:t>
            </w:r>
          </w:p>
        </w:tc>
        <w:tc>
          <w:tcPr>
            <w:tcW w:w="1197" w:type="dxa"/>
            <w:vAlign w:val="center"/>
          </w:tcPr>
          <w:p w14:paraId="1172A9A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w:t>
            </w:r>
          </w:p>
        </w:tc>
      </w:tr>
      <w:tr w14:paraId="28A8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64E7EC5">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6C43216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16B9640E">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06F1543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0.011</w:t>
            </w:r>
          </w:p>
        </w:tc>
        <w:tc>
          <w:tcPr>
            <w:tcW w:w="1515" w:type="dxa"/>
            <w:vAlign w:val="center"/>
          </w:tcPr>
          <w:p w14:paraId="5FCAF70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0.00030</w:t>
            </w:r>
          </w:p>
        </w:tc>
        <w:tc>
          <w:tcPr>
            <w:tcW w:w="1488" w:type="dxa"/>
            <w:vAlign w:val="center"/>
          </w:tcPr>
          <w:p w14:paraId="2CD5E94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0.00044</w:t>
            </w:r>
          </w:p>
        </w:tc>
        <w:tc>
          <w:tcPr>
            <w:tcW w:w="991" w:type="dxa"/>
            <w:vAlign w:val="center"/>
          </w:tcPr>
          <w:p w14:paraId="421C347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197" w:type="dxa"/>
            <w:vAlign w:val="center"/>
          </w:tcPr>
          <w:p w14:paraId="62CB1A4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613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ADA8B9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7B0913B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48CBF9D2">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2041A9E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0.084</w:t>
            </w:r>
          </w:p>
        </w:tc>
        <w:tc>
          <w:tcPr>
            <w:tcW w:w="1515" w:type="dxa"/>
            <w:vAlign w:val="center"/>
          </w:tcPr>
          <w:p w14:paraId="5A78D60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0.00145</w:t>
            </w:r>
          </w:p>
        </w:tc>
        <w:tc>
          <w:tcPr>
            <w:tcW w:w="1488" w:type="dxa"/>
            <w:vAlign w:val="center"/>
          </w:tcPr>
          <w:p w14:paraId="6C6A7FE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0.00208</w:t>
            </w:r>
          </w:p>
        </w:tc>
        <w:tc>
          <w:tcPr>
            <w:tcW w:w="991" w:type="dxa"/>
            <w:vAlign w:val="center"/>
          </w:tcPr>
          <w:p w14:paraId="24FBA8F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197" w:type="dxa"/>
            <w:vAlign w:val="center"/>
          </w:tcPr>
          <w:p w14:paraId="38DFB74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0.006</w:t>
            </w:r>
          </w:p>
        </w:tc>
      </w:tr>
      <w:tr w14:paraId="72ED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4E2BFF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1333888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2C866411">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23F9CBF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0.28</w:t>
            </w:r>
          </w:p>
        </w:tc>
        <w:tc>
          <w:tcPr>
            <w:tcW w:w="1515" w:type="dxa"/>
            <w:vAlign w:val="center"/>
          </w:tcPr>
          <w:p w14:paraId="04D9552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0.00460</w:t>
            </w:r>
          </w:p>
        </w:tc>
        <w:tc>
          <w:tcPr>
            <w:tcW w:w="1488" w:type="dxa"/>
            <w:vAlign w:val="center"/>
          </w:tcPr>
          <w:p w14:paraId="04CFFB8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0.01050</w:t>
            </w:r>
          </w:p>
        </w:tc>
        <w:tc>
          <w:tcPr>
            <w:tcW w:w="991" w:type="dxa"/>
            <w:vAlign w:val="center"/>
          </w:tcPr>
          <w:p w14:paraId="5F3DD78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2714B33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526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509D6EF">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6739E63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67AB01F5">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5DFC7B9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0.46</w:t>
            </w:r>
          </w:p>
        </w:tc>
        <w:tc>
          <w:tcPr>
            <w:tcW w:w="1515" w:type="dxa"/>
            <w:vAlign w:val="center"/>
          </w:tcPr>
          <w:p w14:paraId="3DD0323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0.00879</w:t>
            </w:r>
          </w:p>
        </w:tc>
        <w:tc>
          <w:tcPr>
            <w:tcW w:w="1488" w:type="dxa"/>
            <w:vAlign w:val="center"/>
          </w:tcPr>
          <w:p w14:paraId="26EF56E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0.01735</w:t>
            </w:r>
          </w:p>
        </w:tc>
        <w:tc>
          <w:tcPr>
            <w:tcW w:w="991" w:type="dxa"/>
            <w:vAlign w:val="center"/>
          </w:tcPr>
          <w:p w14:paraId="1E5F433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1398B8F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r>
      <w:tr w14:paraId="0CEA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8A6BC4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5C08819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6</w:t>
            </w:r>
          </w:p>
        </w:tc>
        <w:tc>
          <w:tcPr>
            <w:tcW w:w="1380" w:type="dxa"/>
            <w:vAlign w:val="center"/>
          </w:tcPr>
          <w:p w14:paraId="18E358B7">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0020939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3.03</w:t>
            </w:r>
          </w:p>
        </w:tc>
        <w:tc>
          <w:tcPr>
            <w:tcW w:w="1515" w:type="dxa"/>
            <w:vAlign w:val="center"/>
          </w:tcPr>
          <w:p w14:paraId="1DBAA7C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0.03653</w:t>
            </w:r>
          </w:p>
        </w:tc>
        <w:tc>
          <w:tcPr>
            <w:tcW w:w="1488" w:type="dxa"/>
            <w:vAlign w:val="center"/>
          </w:tcPr>
          <w:p w14:paraId="0372B55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0.07943</w:t>
            </w:r>
          </w:p>
        </w:tc>
        <w:tc>
          <w:tcPr>
            <w:tcW w:w="991" w:type="dxa"/>
            <w:vAlign w:val="center"/>
          </w:tcPr>
          <w:p w14:paraId="4402B6E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197" w:type="dxa"/>
            <w:vAlign w:val="center"/>
          </w:tcPr>
          <w:p w14:paraId="4128C0D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0.22</w:t>
            </w:r>
          </w:p>
        </w:tc>
      </w:tr>
      <w:tr w14:paraId="432B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58DB1E9E">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Cd</w:t>
            </w:r>
          </w:p>
        </w:tc>
        <w:tc>
          <w:tcPr>
            <w:tcW w:w="915" w:type="dxa"/>
            <w:vAlign w:val="center"/>
          </w:tcPr>
          <w:p w14:paraId="5FFD80D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2052BEF3">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277E3DA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0.0051</w:t>
            </w:r>
          </w:p>
        </w:tc>
        <w:tc>
          <w:tcPr>
            <w:tcW w:w="1515" w:type="dxa"/>
            <w:vAlign w:val="center"/>
          </w:tcPr>
          <w:p w14:paraId="0DB95F6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0.00017</w:t>
            </w:r>
          </w:p>
        </w:tc>
        <w:tc>
          <w:tcPr>
            <w:tcW w:w="1488" w:type="dxa"/>
            <w:vAlign w:val="center"/>
          </w:tcPr>
          <w:p w14:paraId="3797D7F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0.00022</w:t>
            </w:r>
          </w:p>
        </w:tc>
        <w:tc>
          <w:tcPr>
            <w:tcW w:w="991" w:type="dxa"/>
            <w:vAlign w:val="center"/>
          </w:tcPr>
          <w:p w14:paraId="70DC373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w:t>
            </w:r>
          </w:p>
        </w:tc>
        <w:tc>
          <w:tcPr>
            <w:tcW w:w="1197" w:type="dxa"/>
            <w:vAlign w:val="center"/>
          </w:tcPr>
          <w:p w14:paraId="7895777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0.0006</w:t>
            </w:r>
          </w:p>
        </w:tc>
      </w:tr>
      <w:tr w14:paraId="184B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41C1299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76C2CFA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7AE78486">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12</w:t>
            </w:r>
          </w:p>
        </w:tc>
        <w:tc>
          <w:tcPr>
            <w:tcW w:w="1095" w:type="dxa"/>
            <w:vAlign w:val="center"/>
          </w:tcPr>
          <w:p w14:paraId="4D8DC2A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0.020</w:t>
            </w:r>
          </w:p>
        </w:tc>
        <w:tc>
          <w:tcPr>
            <w:tcW w:w="1515" w:type="dxa"/>
            <w:vAlign w:val="center"/>
          </w:tcPr>
          <w:p w14:paraId="5C3DDB4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0.00045</w:t>
            </w:r>
          </w:p>
        </w:tc>
        <w:tc>
          <w:tcPr>
            <w:tcW w:w="1488" w:type="dxa"/>
            <w:vAlign w:val="center"/>
          </w:tcPr>
          <w:p w14:paraId="774558D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0.00064</w:t>
            </w:r>
          </w:p>
        </w:tc>
        <w:tc>
          <w:tcPr>
            <w:tcW w:w="991" w:type="dxa"/>
            <w:vAlign w:val="center"/>
          </w:tcPr>
          <w:p w14:paraId="3E40BFB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197" w:type="dxa"/>
            <w:vAlign w:val="center"/>
          </w:tcPr>
          <w:p w14:paraId="1D9D072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35CE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15FF143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55E3805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55948DE8">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3BD7E49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0.051</w:t>
            </w:r>
          </w:p>
        </w:tc>
        <w:tc>
          <w:tcPr>
            <w:tcW w:w="1515" w:type="dxa"/>
            <w:vAlign w:val="center"/>
          </w:tcPr>
          <w:p w14:paraId="7358343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0.00080</w:t>
            </w:r>
          </w:p>
        </w:tc>
        <w:tc>
          <w:tcPr>
            <w:tcW w:w="1488" w:type="dxa"/>
            <w:vAlign w:val="center"/>
          </w:tcPr>
          <w:p w14:paraId="7D54AA0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0.00181</w:t>
            </w:r>
          </w:p>
        </w:tc>
        <w:tc>
          <w:tcPr>
            <w:tcW w:w="991" w:type="dxa"/>
            <w:vAlign w:val="center"/>
          </w:tcPr>
          <w:p w14:paraId="35177B4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97" w:type="dxa"/>
            <w:vAlign w:val="center"/>
          </w:tcPr>
          <w:p w14:paraId="2C52E18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w:t>
            </w:r>
          </w:p>
        </w:tc>
      </w:tr>
      <w:tr w14:paraId="4FF3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0D65B72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193901C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4C71BD07">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1A4E2DB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1515" w:type="dxa"/>
            <w:vAlign w:val="center"/>
          </w:tcPr>
          <w:p w14:paraId="0DDBE69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0.00296</w:t>
            </w:r>
          </w:p>
        </w:tc>
        <w:tc>
          <w:tcPr>
            <w:tcW w:w="1488" w:type="dxa"/>
            <w:vAlign w:val="center"/>
          </w:tcPr>
          <w:p w14:paraId="70324F5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0.00468</w:t>
            </w:r>
          </w:p>
        </w:tc>
        <w:tc>
          <w:tcPr>
            <w:tcW w:w="991" w:type="dxa"/>
            <w:vAlign w:val="center"/>
          </w:tcPr>
          <w:p w14:paraId="1815E7F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39A21D1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1C7D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599B21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6C91F8A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2FBA2EEF">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13B8519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0.43</w:t>
            </w:r>
          </w:p>
        </w:tc>
        <w:tc>
          <w:tcPr>
            <w:tcW w:w="1515" w:type="dxa"/>
            <w:vAlign w:val="center"/>
          </w:tcPr>
          <w:p w14:paraId="3B6F47D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0.00553</w:t>
            </w:r>
          </w:p>
        </w:tc>
        <w:tc>
          <w:tcPr>
            <w:tcW w:w="1488" w:type="dxa"/>
            <w:vAlign w:val="center"/>
          </w:tcPr>
          <w:p w14:paraId="4F58645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0.00580</w:t>
            </w:r>
          </w:p>
        </w:tc>
        <w:tc>
          <w:tcPr>
            <w:tcW w:w="991" w:type="dxa"/>
            <w:vAlign w:val="center"/>
          </w:tcPr>
          <w:p w14:paraId="53B2DB6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3B816C6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1971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4DB2D45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Mg</w:t>
            </w:r>
          </w:p>
        </w:tc>
        <w:tc>
          <w:tcPr>
            <w:tcW w:w="915" w:type="dxa"/>
            <w:vAlign w:val="center"/>
          </w:tcPr>
          <w:p w14:paraId="4FB3524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25954438">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12</w:t>
            </w:r>
          </w:p>
        </w:tc>
        <w:tc>
          <w:tcPr>
            <w:tcW w:w="1095" w:type="dxa"/>
            <w:vAlign w:val="center"/>
          </w:tcPr>
          <w:p w14:paraId="522E757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0.042</w:t>
            </w:r>
          </w:p>
        </w:tc>
        <w:tc>
          <w:tcPr>
            <w:tcW w:w="1515" w:type="dxa"/>
            <w:vAlign w:val="center"/>
          </w:tcPr>
          <w:p w14:paraId="125C9C7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0.00103</w:t>
            </w:r>
          </w:p>
        </w:tc>
        <w:tc>
          <w:tcPr>
            <w:tcW w:w="1488" w:type="dxa"/>
            <w:vAlign w:val="center"/>
          </w:tcPr>
          <w:p w14:paraId="74B9356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0.00122</w:t>
            </w:r>
          </w:p>
        </w:tc>
        <w:tc>
          <w:tcPr>
            <w:tcW w:w="991" w:type="dxa"/>
            <w:vAlign w:val="center"/>
          </w:tcPr>
          <w:p w14:paraId="363F6CC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w:t>
            </w:r>
          </w:p>
        </w:tc>
        <w:tc>
          <w:tcPr>
            <w:tcW w:w="1197" w:type="dxa"/>
            <w:vAlign w:val="center"/>
          </w:tcPr>
          <w:p w14:paraId="6AD7BA7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w:t>
            </w:r>
          </w:p>
        </w:tc>
      </w:tr>
      <w:tr w14:paraId="5F0A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44A2E385">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290843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56E18490">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37A78B2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1515" w:type="dxa"/>
            <w:vAlign w:val="center"/>
          </w:tcPr>
          <w:p w14:paraId="17ECDF3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0.00448</w:t>
            </w:r>
          </w:p>
        </w:tc>
        <w:tc>
          <w:tcPr>
            <w:tcW w:w="1488" w:type="dxa"/>
            <w:vAlign w:val="center"/>
          </w:tcPr>
          <w:p w14:paraId="37B8BF9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0.01016</w:t>
            </w:r>
          </w:p>
        </w:tc>
        <w:tc>
          <w:tcPr>
            <w:tcW w:w="991" w:type="dxa"/>
            <w:vAlign w:val="center"/>
          </w:tcPr>
          <w:p w14:paraId="02E65A9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66C2023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23B9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675C8C9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291659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55ACB1A1">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5E069F6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1515" w:type="dxa"/>
            <w:vAlign w:val="center"/>
          </w:tcPr>
          <w:p w14:paraId="2A107D9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0.02570</w:t>
            </w:r>
          </w:p>
        </w:tc>
        <w:tc>
          <w:tcPr>
            <w:tcW w:w="1488" w:type="dxa"/>
            <w:vAlign w:val="center"/>
          </w:tcPr>
          <w:p w14:paraId="621D27F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0.04253</w:t>
            </w:r>
          </w:p>
        </w:tc>
        <w:tc>
          <w:tcPr>
            <w:tcW w:w="991" w:type="dxa"/>
            <w:vAlign w:val="center"/>
          </w:tcPr>
          <w:p w14:paraId="54301BF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197" w:type="dxa"/>
            <w:vAlign w:val="center"/>
          </w:tcPr>
          <w:p w14:paraId="780B953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0.12</w:t>
            </w:r>
          </w:p>
        </w:tc>
      </w:tr>
      <w:tr w14:paraId="3BE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0B48F22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11B0AE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587035DB">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2465F45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4.35</w:t>
            </w:r>
          </w:p>
        </w:tc>
        <w:tc>
          <w:tcPr>
            <w:tcW w:w="1515" w:type="dxa"/>
            <w:vAlign w:val="center"/>
          </w:tcPr>
          <w:p w14:paraId="74CB02B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0.04177</w:t>
            </w:r>
          </w:p>
        </w:tc>
        <w:tc>
          <w:tcPr>
            <w:tcW w:w="1488" w:type="dxa"/>
            <w:vAlign w:val="center"/>
          </w:tcPr>
          <w:p w14:paraId="3E2B391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0.12266</w:t>
            </w:r>
          </w:p>
        </w:tc>
        <w:tc>
          <w:tcPr>
            <w:tcW w:w="991" w:type="dxa"/>
            <w:vAlign w:val="center"/>
          </w:tcPr>
          <w:p w14:paraId="59872D6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1197" w:type="dxa"/>
            <w:vAlign w:val="center"/>
          </w:tcPr>
          <w:p w14:paraId="374A573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0.23</w:t>
            </w:r>
          </w:p>
        </w:tc>
      </w:tr>
      <w:tr w14:paraId="51DA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8A365B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36013AB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731CCAFC">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26E2AD1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6.85</w:t>
            </w:r>
          </w:p>
        </w:tc>
        <w:tc>
          <w:tcPr>
            <w:tcW w:w="1515" w:type="dxa"/>
            <w:vAlign w:val="center"/>
          </w:tcPr>
          <w:p w14:paraId="7F63F13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0.05536</w:t>
            </w:r>
          </w:p>
        </w:tc>
        <w:tc>
          <w:tcPr>
            <w:tcW w:w="1488" w:type="dxa"/>
            <w:vAlign w:val="center"/>
          </w:tcPr>
          <w:p w14:paraId="1E657E0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0.15392</w:t>
            </w:r>
          </w:p>
        </w:tc>
        <w:tc>
          <w:tcPr>
            <w:tcW w:w="991" w:type="dxa"/>
            <w:vAlign w:val="center"/>
          </w:tcPr>
          <w:p w14:paraId="0C5AF64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0.16</w:t>
            </w:r>
          </w:p>
        </w:tc>
        <w:tc>
          <w:tcPr>
            <w:tcW w:w="1197" w:type="dxa"/>
            <w:vAlign w:val="center"/>
          </w:tcPr>
          <w:p w14:paraId="31384DA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0.30</w:t>
            </w:r>
          </w:p>
        </w:tc>
      </w:tr>
      <w:tr w14:paraId="3E2B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1DEA471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Mn</w:t>
            </w:r>
          </w:p>
        </w:tc>
        <w:tc>
          <w:tcPr>
            <w:tcW w:w="915" w:type="dxa"/>
            <w:vAlign w:val="center"/>
          </w:tcPr>
          <w:p w14:paraId="19C37558">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4FE3D6F1">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10C4F37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0.0081</w:t>
            </w:r>
          </w:p>
        </w:tc>
        <w:tc>
          <w:tcPr>
            <w:tcW w:w="1515" w:type="dxa"/>
            <w:vAlign w:val="center"/>
          </w:tcPr>
          <w:p w14:paraId="235DC62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0.00028</w:t>
            </w:r>
          </w:p>
        </w:tc>
        <w:tc>
          <w:tcPr>
            <w:tcW w:w="1488" w:type="dxa"/>
            <w:vAlign w:val="center"/>
          </w:tcPr>
          <w:p w14:paraId="44ADA38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0.00043</w:t>
            </w:r>
          </w:p>
        </w:tc>
        <w:tc>
          <w:tcPr>
            <w:tcW w:w="991" w:type="dxa"/>
            <w:vAlign w:val="center"/>
          </w:tcPr>
          <w:p w14:paraId="6C4FC3F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197" w:type="dxa"/>
            <w:vAlign w:val="center"/>
          </w:tcPr>
          <w:p w14:paraId="5A35BB6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0.0012</w:t>
            </w:r>
          </w:p>
        </w:tc>
      </w:tr>
      <w:tr w14:paraId="55A9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D236FA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159F1C4B">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22AC2A20">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3EBF9A1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0.017</w:t>
            </w:r>
          </w:p>
        </w:tc>
        <w:tc>
          <w:tcPr>
            <w:tcW w:w="1515" w:type="dxa"/>
            <w:vAlign w:val="center"/>
          </w:tcPr>
          <w:p w14:paraId="334D24B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0.00042</w:t>
            </w:r>
          </w:p>
        </w:tc>
        <w:tc>
          <w:tcPr>
            <w:tcW w:w="1488" w:type="dxa"/>
            <w:vAlign w:val="center"/>
          </w:tcPr>
          <w:p w14:paraId="5F3130A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0.00068</w:t>
            </w:r>
          </w:p>
        </w:tc>
        <w:tc>
          <w:tcPr>
            <w:tcW w:w="991" w:type="dxa"/>
            <w:vAlign w:val="center"/>
          </w:tcPr>
          <w:p w14:paraId="13B3AB0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w:t>
            </w:r>
          </w:p>
        </w:tc>
        <w:tc>
          <w:tcPr>
            <w:tcW w:w="1197" w:type="dxa"/>
            <w:vAlign w:val="center"/>
          </w:tcPr>
          <w:p w14:paraId="0727D5B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r>
      <w:tr w14:paraId="5941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7B44C9A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79F8B178">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6451A41A">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743E60D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0.11</w:t>
            </w:r>
          </w:p>
        </w:tc>
        <w:tc>
          <w:tcPr>
            <w:tcW w:w="1515" w:type="dxa"/>
            <w:vAlign w:val="center"/>
          </w:tcPr>
          <w:p w14:paraId="2D56453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0.00224</w:t>
            </w:r>
          </w:p>
        </w:tc>
        <w:tc>
          <w:tcPr>
            <w:tcW w:w="1488" w:type="dxa"/>
            <w:vAlign w:val="center"/>
          </w:tcPr>
          <w:p w14:paraId="174A14F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0.00317</w:t>
            </w:r>
          </w:p>
        </w:tc>
        <w:tc>
          <w:tcPr>
            <w:tcW w:w="991" w:type="dxa"/>
            <w:vAlign w:val="center"/>
          </w:tcPr>
          <w:p w14:paraId="714703E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3FE9C54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r>
      <w:tr w14:paraId="6BF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122F9432">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3CBBA88">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6AECF833">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53861F9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0.29</w:t>
            </w:r>
          </w:p>
        </w:tc>
        <w:tc>
          <w:tcPr>
            <w:tcW w:w="1515" w:type="dxa"/>
            <w:vAlign w:val="center"/>
          </w:tcPr>
          <w:p w14:paraId="1F8CE41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0.00546</w:t>
            </w:r>
          </w:p>
        </w:tc>
        <w:tc>
          <w:tcPr>
            <w:tcW w:w="1488" w:type="dxa"/>
            <w:vAlign w:val="center"/>
          </w:tcPr>
          <w:p w14:paraId="4A44277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0.01096</w:t>
            </w:r>
          </w:p>
        </w:tc>
        <w:tc>
          <w:tcPr>
            <w:tcW w:w="991" w:type="dxa"/>
            <w:vAlign w:val="center"/>
          </w:tcPr>
          <w:p w14:paraId="0EFBECE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7EC7496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4DC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3C58B2C">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303BB77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585A476F">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609A076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0.51</w:t>
            </w:r>
          </w:p>
        </w:tc>
        <w:tc>
          <w:tcPr>
            <w:tcW w:w="1515" w:type="dxa"/>
            <w:vAlign w:val="center"/>
          </w:tcPr>
          <w:p w14:paraId="702C6B3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0.00587</w:t>
            </w:r>
          </w:p>
        </w:tc>
        <w:tc>
          <w:tcPr>
            <w:tcW w:w="1488" w:type="dxa"/>
            <w:vAlign w:val="center"/>
          </w:tcPr>
          <w:p w14:paraId="1408C82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0.01686</w:t>
            </w:r>
          </w:p>
        </w:tc>
        <w:tc>
          <w:tcPr>
            <w:tcW w:w="991" w:type="dxa"/>
            <w:vAlign w:val="center"/>
          </w:tcPr>
          <w:p w14:paraId="64EF807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0B7BDF6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r>
      <w:tr w14:paraId="2DA5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76D2560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As</w:t>
            </w:r>
          </w:p>
        </w:tc>
        <w:tc>
          <w:tcPr>
            <w:tcW w:w="915" w:type="dxa"/>
            <w:vAlign w:val="center"/>
          </w:tcPr>
          <w:p w14:paraId="4E45AEA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185049AE">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0DF1AD2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0.017</w:t>
            </w:r>
          </w:p>
        </w:tc>
        <w:tc>
          <w:tcPr>
            <w:tcW w:w="1515" w:type="dxa"/>
            <w:vAlign w:val="center"/>
          </w:tcPr>
          <w:p w14:paraId="432636E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0.00056</w:t>
            </w:r>
          </w:p>
        </w:tc>
        <w:tc>
          <w:tcPr>
            <w:tcW w:w="1488" w:type="dxa"/>
            <w:vAlign w:val="center"/>
          </w:tcPr>
          <w:p w14:paraId="62EA04D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0.00185</w:t>
            </w:r>
          </w:p>
        </w:tc>
        <w:tc>
          <w:tcPr>
            <w:tcW w:w="991" w:type="dxa"/>
            <w:vAlign w:val="center"/>
          </w:tcPr>
          <w:p w14:paraId="2C5EE29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w:t>
            </w:r>
          </w:p>
        </w:tc>
        <w:tc>
          <w:tcPr>
            <w:tcW w:w="1197" w:type="dxa"/>
            <w:vAlign w:val="center"/>
          </w:tcPr>
          <w:p w14:paraId="271E25A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w:t>
            </w:r>
          </w:p>
        </w:tc>
      </w:tr>
      <w:tr w14:paraId="0A2F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33097E37">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063883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23369A86">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7BDCAB2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0.098</w:t>
            </w:r>
          </w:p>
        </w:tc>
        <w:tc>
          <w:tcPr>
            <w:tcW w:w="1515" w:type="dxa"/>
            <w:vAlign w:val="center"/>
          </w:tcPr>
          <w:p w14:paraId="38A859A6">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0.00142</w:t>
            </w:r>
          </w:p>
        </w:tc>
        <w:tc>
          <w:tcPr>
            <w:tcW w:w="1488" w:type="dxa"/>
            <w:vAlign w:val="center"/>
          </w:tcPr>
          <w:p w14:paraId="3165A2F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0.00565</w:t>
            </w:r>
          </w:p>
        </w:tc>
        <w:tc>
          <w:tcPr>
            <w:tcW w:w="991" w:type="dxa"/>
            <w:vAlign w:val="center"/>
          </w:tcPr>
          <w:p w14:paraId="7FC6389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w:t>
            </w:r>
          </w:p>
        </w:tc>
        <w:tc>
          <w:tcPr>
            <w:tcW w:w="1197" w:type="dxa"/>
            <w:vAlign w:val="center"/>
          </w:tcPr>
          <w:p w14:paraId="502BD7A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0.016</w:t>
            </w:r>
          </w:p>
        </w:tc>
      </w:tr>
      <w:tr w14:paraId="0087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123507C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4F3A804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7AB4F4C1">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7DF74E0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1515" w:type="dxa"/>
            <w:vAlign w:val="center"/>
          </w:tcPr>
          <w:p w14:paraId="23C06B84">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0.00424</w:t>
            </w:r>
          </w:p>
        </w:tc>
        <w:tc>
          <w:tcPr>
            <w:tcW w:w="1488" w:type="dxa"/>
            <w:vAlign w:val="center"/>
          </w:tcPr>
          <w:p w14:paraId="4EBAEEAB">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0.00921</w:t>
            </w:r>
          </w:p>
        </w:tc>
        <w:tc>
          <w:tcPr>
            <w:tcW w:w="991" w:type="dxa"/>
            <w:vAlign w:val="center"/>
          </w:tcPr>
          <w:p w14:paraId="6DB5DB0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324878B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0278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26415C6F">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561582EA">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7FC54786">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13BEEF5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0.77</w:t>
            </w:r>
          </w:p>
        </w:tc>
        <w:tc>
          <w:tcPr>
            <w:tcW w:w="1515" w:type="dxa"/>
            <w:vAlign w:val="center"/>
          </w:tcPr>
          <w:p w14:paraId="1C0DB02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0.00896</w:t>
            </w:r>
          </w:p>
        </w:tc>
        <w:tc>
          <w:tcPr>
            <w:tcW w:w="1488" w:type="dxa"/>
            <w:vAlign w:val="center"/>
          </w:tcPr>
          <w:p w14:paraId="4A4515E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0.01444</w:t>
            </w:r>
          </w:p>
        </w:tc>
        <w:tc>
          <w:tcPr>
            <w:tcW w:w="991" w:type="dxa"/>
            <w:vAlign w:val="center"/>
          </w:tcPr>
          <w:p w14:paraId="286BF19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c>
          <w:tcPr>
            <w:tcW w:w="1197" w:type="dxa"/>
            <w:vAlign w:val="center"/>
          </w:tcPr>
          <w:p w14:paraId="109DDC6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w:t>
            </w:r>
          </w:p>
        </w:tc>
      </w:tr>
      <w:tr w14:paraId="0158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FD3AC0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rPr>
            </w:pPr>
          </w:p>
        </w:tc>
        <w:tc>
          <w:tcPr>
            <w:tcW w:w="915" w:type="dxa"/>
            <w:vAlign w:val="center"/>
          </w:tcPr>
          <w:p w14:paraId="0F3E983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78BC69EC">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13</w:t>
            </w:r>
          </w:p>
        </w:tc>
        <w:tc>
          <w:tcPr>
            <w:tcW w:w="1095" w:type="dxa"/>
            <w:vAlign w:val="center"/>
          </w:tcPr>
          <w:p w14:paraId="1ADACB7D">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1515" w:type="dxa"/>
            <w:vAlign w:val="center"/>
          </w:tcPr>
          <w:p w14:paraId="16A93C9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0.02080</w:t>
            </w:r>
          </w:p>
        </w:tc>
        <w:tc>
          <w:tcPr>
            <w:tcW w:w="1488" w:type="dxa"/>
            <w:vAlign w:val="center"/>
          </w:tcPr>
          <w:p w14:paraId="3097C963">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0.03834</w:t>
            </w:r>
          </w:p>
        </w:tc>
        <w:tc>
          <w:tcPr>
            <w:tcW w:w="991" w:type="dxa"/>
            <w:vAlign w:val="center"/>
          </w:tcPr>
          <w:p w14:paraId="33AEAED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0.06</w:t>
            </w:r>
          </w:p>
        </w:tc>
        <w:tc>
          <w:tcPr>
            <w:tcW w:w="1197" w:type="dxa"/>
            <w:vAlign w:val="center"/>
          </w:tcPr>
          <w:p w14:paraId="33AB54A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0.13</w:t>
            </w:r>
          </w:p>
        </w:tc>
      </w:tr>
      <w:tr w14:paraId="15ED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restart"/>
            <w:vAlign w:val="center"/>
          </w:tcPr>
          <w:p w14:paraId="450B7396">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hint="eastAsia" w:ascii="宋体" w:hAnsi="宋体" w:eastAsia="宋体" w:cs="宋体"/>
                <w:kern w:val="0"/>
                <w:sz w:val="18"/>
                <w:szCs w:val="18"/>
                <w:vertAlign w:val="baseline"/>
                <w:lang w:val="en-US"/>
              </w:rPr>
            </w:pPr>
            <w:r>
              <w:rPr>
                <w:rFonts w:hint="eastAsia" w:ascii="宋体" w:hAnsi="宋体" w:eastAsia="宋体" w:cs="宋体"/>
                <w:kern w:val="0"/>
                <w:sz w:val="18"/>
                <w:szCs w:val="18"/>
                <w:vertAlign w:val="baseline"/>
                <w:lang w:val="en-US" w:eastAsia="zh-CN"/>
              </w:rPr>
              <w:t>Mo</w:t>
            </w:r>
          </w:p>
        </w:tc>
        <w:tc>
          <w:tcPr>
            <w:tcW w:w="915" w:type="dxa"/>
            <w:vAlign w:val="center"/>
          </w:tcPr>
          <w:p w14:paraId="2A4F9F7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1</w:t>
            </w:r>
          </w:p>
        </w:tc>
        <w:tc>
          <w:tcPr>
            <w:tcW w:w="1380" w:type="dxa"/>
            <w:vAlign w:val="center"/>
          </w:tcPr>
          <w:p w14:paraId="3D481E3B">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01CB21C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0.0064</w:t>
            </w:r>
          </w:p>
        </w:tc>
        <w:tc>
          <w:tcPr>
            <w:tcW w:w="1515" w:type="dxa"/>
            <w:vAlign w:val="center"/>
          </w:tcPr>
          <w:p w14:paraId="4FA2B71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0.00023</w:t>
            </w:r>
          </w:p>
        </w:tc>
        <w:tc>
          <w:tcPr>
            <w:tcW w:w="1488" w:type="dxa"/>
            <w:vAlign w:val="center"/>
          </w:tcPr>
          <w:p w14:paraId="5FD5C28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0.00057</w:t>
            </w:r>
          </w:p>
        </w:tc>
        <w:tc>
          <w:tcPr>
            <w:tcW w:w="991" w:type="dxa"/>
            <w:vAlign w:val="center"/>
          </w:tcPr>
          <w:p w14:paraId="1D8DFC7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0.0007</w:t>
            </w:r>
          </w:p>
        </w:tc>
        <w:tc>
          <w:tcPr>
            <w:tcW w:w="1197" w:type="dxa"/>
            <w:vAlign w:val="center"/>
          </w:tcPr>
          <w:p w14:paraId="6418C878">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0.0016</w:t>
            </w:r>
          </w:p>
        </w:tc>
      </w:tr>
      <w:tr w14:paraId="65DC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DF2942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vertAlign w:val="baseline"/>
              </w:rPr>
            </w:pPr>
          </w:p>
        </w:tc>
        <w:tc>
          <w:tcPr>
            <w:tcW w:w="915" w:type="dxa"/>
            <w:vAlign w:val="center"/>
          </w:tcPr>
          <w:p w14:paraId="6888107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2</w:t>
            </w:r>
          </w:p>
        </w:tc>
        <w:tc>
          <w:tcPr>
            <w:tcW w:w="1380" w:type="dxa"/>
            <w:vAlign w:val="center"/>
          </w:tcPr>
          <w:p w14:paraId="6691AE30">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4863B21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1515" w:type="dxa"/>
            <w:vAlign w:val="center"/>
          </w:tcPr>
          <w:p w14:paraId="380FC709">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0.00221</w:t>
            </w:r>
          </w:p>
        </w:tc>
        <w:tc>
          <w:tcPr>
            <w:tcW w:w="1488" w:type="dxa"/>
            <w:vAlign w:val="center"/>
          </w:tcPr>
          <w:p w14:paraId="265106D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0.00476</w:t>
            </w:r>
          </w:p>
        </w:tc>
        <w:tc>
          <w:tcPr>
            <w:tcW w:w="991" w:type="dxa"/>
            <w:vAlign w:val="center"/>
          </w:tcPr>
          <w:p w14:paraId="1C71B12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197" w:type="dxa"/>
            <w:vAlign w:val="center"/>
          </w:tcPr>
          <w:p w14:paraId="26A9843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0.01</w:t>
            </w:r>
          </w:p>
        </w:tc>
      </w:tr>
      <w:tr w14:paraId="1DE2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4272157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vertAlign w:val="baseline"/>
              </w:rPr>
            </w:pPr>
          </w:p>
        </w:tc>
        <w:tc>
          <w:tcPr>
            <w:tcW w:w="915" w:type="dxa"/>
            <w:vAlign w:val="center"/>
          </w:tcPr>
          <w:p w14:paraId="334E9371">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3</w:t>
            </w:r>
          </w:p>
        </w:tc>
        <w:tc>
          <w:tcPr>
            <w:tcW w:w="1380" w:type="dxa"/>
            <w:vAlign w:val="center"/>
          </w:tcPr>
          <w:p w14:paraId="4B0E14EB">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366FBE07">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0.81</w:t>
            </w:r>
          </w:p>
        </w:tc>
        <w:tc>
          <w:tcPr>
            <w:tcW w:w="1515" w:type="dxa"/>
            <w:vAlign w:val="center"/>
          </w:tcPr>
          <w:p w14:paraId="1156E20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0.00560</w:t>
            </w:r>
          </w:p>
        </w:tc>
        <w:tc>
          <w:tcPr>
            <w:tcW w:w="1488" w:type="dxa"/>
            <w:vAlign w:val="center"/>
          </w:tcPr>
          <w:p w14:paraId="4E7CBB9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0.00591</w:t>
            </w:r>
          </w:p>
        </w:tc>
        <w:tc>
          <w:tcPr>
            <w:tcW w:w="991" w:type="dxa"/>
            <w:vAlign w:val="center"/>
          </w:tcPr>
          <w:p w14:paraId="646C780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197" w:type="dxa"/>
            <w:vAlign w:val="center"/>
          </w:tcPr>
          <w:p w14:paraId="0302B500">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w:t>
            </w:r>
          </w:p>
        </w:tc>
      </w:tr>
      <w:tr w14:paraId="0C59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5D0FA180">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vertAlign w:val="baseline"/>
              </w:rPr>
            </w:pPr>
          </w:p>
        </w:tc>
        <w:tc>
          <w:tcPr>
            <w:tcW w:w="915" w:type="dxa"/>
            <w:vAlign w:val="center"/>
          </w:tcPr>
          <w:p w14:paraId="11E7CD4D">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4</w:t>
            </w:r>
          </w:p>
        </w:tc>
        <w:tc>
          <w:tcPr>
            <w:tcW w:w="1380" w:type="dxa"/>
            <w:vAlign w:val="center"/>
          </w:tcPr>
          <w:p w14:paraId="2050C84E">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15</w:t>
            </w:r>
          </w:p>
        </w:tc>
        <w:tc>
          <w:tcPr>
            <w:tcW w:w="1095" w:type="dxa"/>
            <w:vAlign w:val="center"/>
          </w:tcPr>
          <w:p w14:paraId="6A7B51D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1.38</w:t>
            </w:r>
          </w:p>
        </w:tc>
        <w:tc>
          <w:tcPr>
            <w:tcW w:w="1515" w:type="dxa"/>
            <w:vAlign w:val="center"/>
          </w:tcPr>
          <w:p w14:paraId="30D8718E">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0.02585</w:t>
            </w:r>
          </w:p>
        </w:tc>
        <w:tc>
          <w:tcPr>
            <w:tcW w:w="1488" w:type="dxa"/>
            <w:vAlign w:val="center"/>
          </w:tcPr>
          <w:p w14:paraId="29F0966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0.05148</w:t>
            </w:r>
          </w:p>
        </w:tc>
        <w:tc>
          <w:tcPr>
            <w:tcW w:w="991" w:type="dxa"/>
            <w:vAlign w:val="center"/>
          </w:tcPr>
          <w:p w14:paraId="35A17832">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197" w:type="dxa"/>
            <w:vAlign w:val="center"/>
          </w:tcPr>
          <w:p w14:paraId="20BB77DC">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0.15</w:t>
            </w:r>
          </w:p>
        </w:tc>
      </w:tr>
      <w:tr w14:paraId="746D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Merge w:val="continue"/>
            <w:vAlign w:val="center"/>
          </w:tcPr>
          <w:p w14:paraId="015DD669">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vertAlign w:val="baseline"/>
              </w:rPr>
            </w:pPr>
          </w:p>
        </w:tc>
        <w:tc>
          <w:tcPr>
            <w:tcW w:w="915" w:type="dxa"/>
            <w:vAlign w:val="center"/>
          </w:tcPr>
          <w:p w14:paraId="403C8F53">
            <w:pPr>
              <w:keepNext w:val="0"/>
              <w:keepLines w:val="0"/>
              <w:pageBreakBefore w:val="0"/>
              <w:widowControl w:val="0"/>
              <w:tabs>
                <w:tab w:val="left" w:pos="360"/>
              </w:tabs>
              <w:kinsoku/>
              <w:wordWrap/>
              <w:overflowPunct/>
              <w:topLinePunct w:val="0"/>
              <w:autoSpaceDE w:val="0"/>
              <w:autoSpaceDN/>
              <w:bidi w:val="0"/>
              <w:adjustRightInd/>
              <w:snapToGrid/>
              <w:jc w:val="center"/>
              <w:textAlignment w:val="auto"/>
              <w:rPr>
                <w:rFonts w:ascii="Times New Roman" w:hAnsi="Times New Roman" w:eastAsia="黑体" w:cs="Times New Roman"/>
                <w:kern w:val="0"/>
                <w:sz w:val="18"/>
                <w:szCs w:val="18"/>
                <w:vertAlign w:val="baseline"/>
              </w:rPr>
            </w:pPr>
            <w:r>
              <w:rPr>
                <w:rFonts w:hint="default" w:ascii="Times New Roman" w:hAnsi="Times New Roman" w:eastAsia="黑体" w:cs="Times New Roman"/>
                <w:kern w:val="0"/>
                <w:sz w:val="18"/>
                <w:szCs w:val="18"/>
                <w:vertAlign w:val="baseline"/>
                <w:lang w:val="en-US" w:eastAsia="zh-CN"/>
              </w:rPr>
              <w:t>5</w:t>
            </w:r>
          </w:p>
        </w:tc>
        <w:tc>
          <w:tcPr>
            <w:tcW w:w="1380" w:type="dxa"/>
            <w:vAlign w:val="center"/>
          </w:tcPr>
          <w:p w14:paraId="7560EBF9">
            <w:pPr>
              <w:keepNext w:val="0"/>
              <w:keepLines w:val="0"/>
              <w:widowControl/>
              <w:suppressLineNumbers w:val="0"/>
              <w:jc w:val="center"/>
              <w:textAlignment w:val="center"/>
              <w:rPr>
                <w:rFonts w:hint="default" w:ascii="Times New Roman" w:hAnsi="Times New Roman" w:eastAsia="黑体" w:cs="Times New Roman"/>
                <w:kern w:val="0"/>
                <w:sz w:val="18"/>
                <w:szCs w:val="18"/>
                <w:vertAlign w:val="baseline"/>
                <w:lang w:val="en-US"/>
              </w:rPr>
            </w:pPr>
            <w:r>
              <w:rPr>
                <w:rFonts w:hint="default" w:ascii="Times New Roman" w:hAnsi="Times New Roman" w:cs="Times New Roman"/>
                <w:i w:val="0"/>
                <w:iCs w:val="0"/>
                <w:color w:val="000000"/>
                <w:kern w:val="0"/>
                <w:sz w:val="18"/>
                <w:szCs w:val="18"/>
                <w:u w:val="none"/>
                <w:lang w:val="en-US" w:eastAsia="zh-CN" w:bidi="ar"/>
              </w:rPr>
              <w:t>14</w:t>
            </w:r>
          </w:p>
        </w:tc>
        <w:tc>
          <w:tcPr>
            <w:tcW w:w="1095" w:type="dxa"/>
            <w:vAlign w:val="center"/>
          </w:tcPr>
          <w:p w14:paraId="292BFE4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2.34</w:t>
            </w:r>
          </w:p>
        </w:tc>
        <w:tc>
          <w:tcPr>
            <w:tcW w:w="1515" w:type="dxa"/>
            <w:vAlign w:val="center"/>
          </w:tcPr>
          <w:p w14:paraId="38605B7F">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0.03256</w:t>
            </w:r>
          </w:p>
        </w:tc>
        <w:tc>
          <w:tcPr>
            <w:tcW w:w="1488" w:type="dxa"/>
            <w:vAlign w:val="center"/>
          </w:tcPr>
          <w:p w14:paraId="06EF9D31">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0.07570</w:t>
            </w:r>
          </w:p>
        </w:tc>
        <w:tc>
          <w:tcPr>
            <w:tcW w:w="991" w:type="dxa"/>
            <w:vAlign w:val="center"/>
          </w:tcPr>
          <w:p w14:paraId="71E47E6A">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0.09</w:t>
            </w:r>
          </w:p>
        </w:tc>
        <w:tc>
          <w:tcPr>
            <w:tcW w:w="1197" w:type="dxa"/>
            <w:vAlign w:val="center"/>
          </w:tcPr>
          <w:p w14:paraId="06204115">
            <w:pPr>
              <w:keepNext w:val="0"/>
              <w:keepLines w:val="0"/>
              <w:widowControl/>
              <w:suppressLineNumbers w:val="0"/>
              <w:jc w:val="center"/>
              <w:textAlignment w:val="center"/>
              <w:rPr>
                <w:rFonts w:ascii="Times New Roman" w:hAnsi="Times New Roman" w:eastAsia="黑体" w:cs="Times New Roman"/>
                <w:kern w:val="0"/>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0.21</w:t>
            </w:r>
          </w:p>
        </w:tc>
      </w:tr>
    </w:tbl>
    <w:p w14:paraId="6307FFA8">
      <w:pPr>
        <w:spacing w:before="156" w:beforeLines="50" w:after="156" w:afterLines="50" w:line="360" w:lineRule="auto"/>
      </w:pPr>
      <w:r>
        <w:rPr>
          <w:sz w:val="21"/>
        </w:rPr>
        <mc:AlternateContent>
          <mc:Choice Requires="wps">
            <w:drawing>
              <wp:anchor distT="0" distB="0" distL="114300" distR="114300" simplePos="0" relativeHeight="251669504" behindDoc="0" locked="0" layoutInCell="1" allowOverlap="1">
                <wp:simplePos x="0" y="0"/>
                <wp:positionH relativeFrom="column">
                  <wp:posOffset>1583055</wp:posOffset>
                </wp:positionH>
                <wp:positionV relativeFrom="paragraph">
                  <wp:posOffset>363220</wp:posOffset>
                </wp:positionV>
                <wp:extent cx="1979930" cy="22860"/>
                <wp:effectExtent l="0" t="6350" r="1270" b="8890"/>
                <wp:wrapNone/>
                <wp:docPr id="1" name="直接连接符 1"/>
                <wp:cNvGraphicFramePr/>
                <a:graphic xmlns:a="http://schemas.openxmlformats.org/drawingml/2006/main">
                  <a:graphicData uri="http://schemas.microsoft.com/office/word/2010/wordprocessingShape">
                    <wps:wsp>
                      <wps:cNvCnPr/>
                      <wps:spPr>
                        <a:xfrm>
                          <a:off x="2483485" y="5669280"/>
                          <a:ext cx="1979930" cy="22860"/>
                        </a:xfrm>
                        <a:prstGeom prst="line">
                          <a:avLst/>
                        </a:prstGeom>
                        <a:ln w="12700" cmpd="sng">
                          <a:solidFill>
                            <a:schemeClr val="tx1">
                              <a:alpha val="3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4.65pt;margin-top:28.6pt;height:1.8pt;width:155.9pt;z-index:251669504;mso-width-relative:page;mso-height-relative:page;" filled="f" stroked="t" coordsize="21600,21600" o:gfxdata="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1BZpzZAAAACQEAAA8AAAAAAAAAAQAgAAAAIgAAAGRycy9kb3ducmV2Lnht&#10;bFBLAQIUABQAAAAIAIdO4kBSMMHp+AEAAMwDAAAOAAAAAAAAAAEAIAAAACgBAABkcnMvZTJvRG9j&#10;LnhtbFBLBQYAAAAABgAGAFkBAACSBQAAAAA=&#10;">
                <v:fill on="f" focussize="0,0"/>
                <v:stroke weight="1pt" color="#000000 [3213]" opacity="22937f" joinstyle="round"/>
                <v:imagedata o:title=""/>
                <o:lock v:ext="edit" aspectratio="f"/>
              </v:line>
            </w:pict>
          </mc:Fallback>
        </mc:AlternateContent>
      </w:r>
    </w:p>
    <w:p w14:paraId="34EBCB6D"/>
    <w:p w14:paraId="672EDD8D"/>
    <w:p w14:paraId="54F17883"/>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DAD5">
    <w:pPr>
      <w:pStyle w:val="73"/>
      <w:rPr>
        <w:rStyle w:val="39"/>
      </w:rPr>
    </w:pPr>
    <w:r>
      <w:fldChar w:fldCharType="begin"/>
    </w:r>
    <w:r>
      <w:rPr>
        <w:rStyle w:val="39"/>
      </w:rPr>
      <w:instrText xml:space="preserve">PAGE  </w:instrText>
    </w:r>
    <w:r>
      <w:fldChar w:fldCharType="separate"/>
    </w:r>
    <w:r>
      <w:rPr>
        <w:rStyle w:val="3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691B">
    <w:pPr>
      <w:pStyle w:val="87"/>
      <w:rPr>
        <w:rStyle w:val="39"/>
      </w:rPr>
    </w:pPr>
    <w:r>
      <w:fldChar w:fldCharType="begin"/>
    </w:r>
    <w:r>
      <w:rPr>
        <w:rStyle w:val="3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85BB">
    <w:pPr>
      <w:pStyle w:val="28"/>
      <w:ind w:left="5760" w:right="360" w:hanging="5760" w:hangingChars="3200"/>
      <w:jc w:val="right"/>
    </w:pPr>
    <w:r>
      <w:fldChar w:fldCharType="begin"/>
    </w:r>
    <w:r>
      <w:rPr>
        <w:rStyle w:val="39"/>
      </w:rPr>
      <w:instrText xml:space="preserve"> PAGE </w:instrText>
    </w:r>
    <w:r>
      <w:fldChar w:fldCharType="separate"/>
    </w:r>
    <w:r>
      <w:rPr>
        <w:rStyle w:val="39"/>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2DE00">
    <w:pPr>
      <w:pStyle w:val="28"/>
      <w:ind w:right="1080" w:firstLine="360" w:firstLineChars="200"/>
    </w:pPr>
    <w:r>
      <w:fldChar w:fldCharType="begin"/>
    </w:r>
    <w:r>
      <w:rPr>
        <w:rStyle w:val="39"/>
      </w:rPr>
      <w:instrText xml:space="preserve"> PAGE </w:instrText>
    </w:r>
    <w:r>
      <w:fldChar w:fldCharType="separate"/>
    </w:r>
    <w:r>
      <w:rPr>
        <w:rStyle w:val="39"/>
      </w:rPr>
      <w:t>8</w:t>
    </w:r>
    <w: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1862">
    <w:pPr>
      <w:pStyle w:val="61"/>
      <w:wordWrap w:val="0"/>
    </w:pPr>
    <w:r>
      <w:rPr>
        <w:rFonts w:hint="eastAsia" w:ascii="黑体" w:eastAsia="黑体"/>
        <w:szCs w:val="21"/>
      </w:rPr>
      <w:t>YS/T 1115.</w:t>
    </w:r>
    <w:r>
      <w:rPr>
        <w:rFonts w:ascii="黑体" w:eastAsia="黑体"/>
        <w:szCs w:val="21"/>
      </w:rPr>
      <w:t>6</w:t>
    </w:r>
    <w:r>
      <w:rPr>
        <w:rFonts w:hint="eastAsia" w:ascii="黑体" w:eastAsia="黑体"/>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0750">
    <w:pPr>
      <w:pStyle w:val="61"/>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BE8E">
    <w:pPr>
      <w:pStyle w:val="61"/>
      <w:wordWrap w:val="0"/>
      <w:rPr>
        <w:rFonts w:ascii="黑体" w:eastAsia="黑体"/>
      </w:rPr>
    </w:pPr>
    <w:r>
      <w:t xml:space="preserve">  </w:t>
    </w:r>
  </w:p>
  <w:p w14:paraId="48DD568C">
    <w:pPr>
      <w:pStyle w:val="8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A3FF">
    <w:pPr>
      <w:pStyle w:val="61"/>
      <w:wordWrap w:val="0"/>
      <w:rPr>
        <w:rFonts w:ascii="黑体" w:eastAsia="黑体"/>
        <w:szCs w:val="21"/>
      </w:rPr>
    </w:pPr>
    <w:r>
      <w:rPr>
        <w:rFonts w:hint="eastAsia" w:ascii="黑体" w:eastAsia="黑体"/>
        <w:szCs w:val="21"/>
      </w:rPr>
      <w:t>YS/T 1115.6—202X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22D8F"/>
    <w:multiLevelType w:val="multilevel"/>
    <w:tmpl w:val="46D22D8F"/>
    <w:lvl w:ilvl="0" w:tentative="0">
      <w:start w:val="1"/>
      <w:numFmt w:val="none"/>
      <w:pStyle w:val="13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50366A"/>
    <w:multiLevelType w:val="multilevel"/>
    <w:tmpl w:val="6350366A"/>
    <w:lvl w:ilvl="0" w:tentative="0">
      <w:start w:val="1"/>
      <w:numFmt w:val="none"/>
      <w:pStyle w:val="12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BF04F4"/>
    <w:multiLevelType w:val="multilevel"/>
    <w:tmpl w:val="6DBF04F4"/>
    <w:lvl w:ilvl="0" w:tentative="0">
      <w:start w:val="1"/>
      <w:numFmt w:val="none"/>
      <w:pStyle w:val="13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6933334"/>
    <w:multiLevelType w:val="multilevel"/>
    <w:tmpl w:val="76933334"/>
    <w:lvl w:ilvl="0" w:tentative="0">
      <w:start w:val="1"/>
      <w:numFmt w:val="none"/>
      <w:pStyle w:val="12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MWIyNjgwZjY4YTY3MGMwZmMxNzhiNGM0YjEyN2UifQ=="/>
  </w:docVars>
  <w:rsids>
    <w:rsidRoot w:val="000F1E08"/>
    <w:rsid w:val="00006C06"/>
    <w:rsid w:val="0006521B"/>
    <w:rsid w:val="000F1E08"/>
    <w:rsid w:val="00106436"/>
    <w:rsid w:val="00121D9C"/>
    <w:rsid w:val="00122BAB"/>
    <w:rsid w:val="00132043"/>
    <w:rsid w:val="00141170"/>
    <w:rsid w:val="00170A6D"/>
    <w:rsid w:val="00174FEA"/>
    <w:rsid w:val="001A05FF"/>
    <w:rsid w:val="001A1348"/>
    <w:rsid w:val="001A66AE"/>
    <w:rsid w:val="001B46B1"/>
    <w:rsid w:val="001B4CFC"/>
    <w:rsid w:val="001D568F"/>
    <w:rsid w:val="00211F4A"/>
    <w:rsid w:val="00217F9C"/>
    <w:rsid w:val="0027310C"/>
    <w:rsid w:val="0028626C"/>
    <w:rsid w:val="00286C32"/>
    <w:rsid w:val="002B7603"/>
    <w:rsid w:val="002C1096"/>
    <w:rsid w:val="002C1F9F"/>
    <w:rsid w:val="002D4689"/>
    <w:rsid w:val="002E15D0"/>
    <w:rsid w:val="003211D7"/>
    <w:rsid w:val="003467EE"/>
    <w:rsid w:val="00365492"/>
    <w:rsid w:val="00373167"/>
    <w:rsid w:val="003D5059"/>
    <w:rsid w:val="003D7088"/>
    <w:rsid w:val="003E12B0"/>
    <w:rsid w:val="003E4051"/>
    <w:rsid w:val="00402007"/>
    <w:rsid w:val="0040344B"/>
    <w:rsid w:val="00417889"/>
    <w:rsid w:val="0042549E"/>
    <w:rsid w:val="004470A4"/>
    <w:rsid w:val="00451416"/>
    <w:rsid w:val="004B4B7E"/>
    <w:rsid w:val="005123F2"/>
    <w:rsid w:val="00551AE0"/>
    <w:rsid w:val="005559F5"/>
    <w:rsid w:val="005A6101"/>
    <w:rsid w:val="005B09BA"/>
    <w:rsid w:val="005B5FFE"/>
    <w:rsid w:val="005C76C5"/>
    <w:rsid w:val="005E6494"/>
    <w:rsid w:val="00610C50"/>
    <w:rsid w:val="006135FE"/>
    <w:rsid w:val="00646FFF"/>
    <w:rsid w:val="006A4685"/>
    <w:rsid w:val="006B518B"/>
    <w:rsid w:val="006E27C9"/>
    <w:rsid w:val="006F0DB3"/>
    <w:rsid w:val="006F747A"/>
    <w:rsid w:val="00704843"/>
    <w:rsid w:val="00713781"/>
    <w:rsid w:val="00741BAF"/>
    <w:rsid w:val="00741EDD"/>
    <w:rsid w:val="00743941"/>
    <w:rsid w:val="00752B56"/>
    <w:rsid w:val="00753259"/>
    <w:rsid w:val="007567C2"/>
    <w:rsid w:val="00763739"/>
    <w:rsid w:val="007B13EB"/>
    <w:rsid w:val="00837021"/>
    <w:rsid w:val="008401FA"/>
    <w:rsid w:val="00842428"/>
    <w:rsid w:val="00874B46"/>
    <w:rsid w:val="00880C50"/>
    <w:rsid w:val="008F2B2F"/>
    <w:rsid w:val="00920AAE"/>
    <w:rsid w:val="009519A7"/>
    <w:rsid w:val="00970ABA"/>
    <w:rsid w:val="00986C64"/>
    <w:rsid w:val="009953DC"/>
    <w:rsid w:val="009B5E5C"/>
    <w:rsid w:val="009C6558"/>
    <w:rsid w:val="00A37B1A"/>
    <w:rsid w:val="00A41365"/>
    <w:rsid w:val="00A72F4D"/>
    <w:rsid w:val="00A7601E"/>
    <w:rsid w:val="00A966D5"/>
    <w:rsid w:val="00B06E4D"/>
    <w:rsid w:val="00B1685A"/>
    <w:rsid w:val="00B271FA"/>
    <w:rsid w:val="00B40FDC"/>
    <w:rsid w:val="00B55938"/>
    <w:rsid w:val="00B7224B"/>
    <w:rsid w:val="00B7231B"/>
    <w:rsid w:val="00BB4A95"/>
    <w:rsid w:val="00BC3294"/>
    <w:rsid w:val="00BC4C01"/>
    <w:rsid w:val="00BC4F7A"/>
    <w:rsid w:val="00BD25C9"/>
    <w:rsid w:val="00C221A0"/>
    <w:rsid w:val="00C91227"/>
    <w:rsid w:val="00D071A9"/>
    <w:rsid w:val="00D87BCD"/>
    <w:rsid w:val="00D95856"/>
    <w:rsid w:val="00DB7F1C"/>
    <w:rsid w:val="00DC7B26"/>
    <w:rsid w:val="00ED7A5C"/>
    <w:rsid w:val="00F145CD"/>
    <w:rsid w:val="00F82EA4"/>
    <w:rsid w:val="00FB1F8B"/>
    <w:rsid w:val="00FD54ED"/>
    <w:rsid w:val="00FE2FD8"/>
    <w:rsid w:val="00FE62A5"/>
    <w:rsid w:val="00FE7F56"/>
    <w:rsid w:val="015974C0"/>
    <w:rsid w:val="02405DBC"/>
    <w:rsid w:val="02C8507B"/>
    <w:rsid w:val="03675569"/>
    <w:rsid w:val="03F74437"/>
    <w:rsid w:val="07FA6C34"/>
    <w:rsid w:val="089B79B4"/>
    <w:rsid w:val="0A4D07A5"/>
    <w:rsid w:val="0A7D5FCD"/>
    <w:rsid w:val="0A884A5E"/>
    <w:rsid w:val="0B212DFC"/>
    <w:rsid w:val="0D0C0DE1"/>
    <w:rsid w:val="0DD71E98"/>
    <w:rsid w:val="0F5B531F"/>
    <w:rsid w:val="0F8F4BC6"/>
    <w:rsid w:val="0FF11A9F"/>
    <w:rsid w:val="101D58E1"/>
    <w:rsid w:val="1053332C"/>
    <w:rsid w:val="11DE0320"/>
    <w:rsid w:val="12FE1894"/>
    <w:rsid w:val="135D4BEE"/>
    <w:rsid w:val="14DA401C"/>
    <w:rsid w:val="152F0F33"/>
    <w:rsid w:val="16D056D6"/>
    <w:rsid w:val="16D970AE"/>
    <w:rsid w:val="174431B2"/>
    <w:rsid w:val="1822341E"/>
    <w:rsid w:val="19D21766"/>
    <w:rsid w:val="1B0A60D3"/>
    <w:rsid w:val="1BDC7D0E"/>
    <w:rsid w:val="1C536B8E"/>
    <w:rsid w:val="1C910DC3"/>
    <w:rsid w:val="1EA84411"/>
    <w:rsid w:val="1EFE230E"/>
    <w:rsid w:val="1F5E2762"/>
    <w:rsid w:val="21990EB5"/>
    <w:rsid w:val="21A67760"/>
    <w:rsid w:val="21C44CCF"/>
    <w:rsid w:val="2262788D"/>
    <w:rsid w:val="22947F00"/>
    <w:rsid w:val="249146F7"/>
    <w:rsid w:val="24D675AD"/>
    <w:rsid w:val="24DA180D"/>
    <w:rsid w:val="25E40AFE"/>
    <w:rsid w:val="260A5DFF"/>
    <w:rsid w:val="2662465F"/>
    <w:rsid w:val="27C23DB6"/>
    <w:rsid w:val="291140C5"/>
    <w:rsid w:val="29B86E16"/>
    <w:rsid w:val="2A261D85"/>
    <w:rsid w:val="2DF778AD"/>
    <w:rsid w:val="2E4D61AC"/>
    <w:rsid w:val="2E862DF8"/>
    <w:rsid w:val="2F3C5F9B"/>
    <w:rsid w:val="2FCE2CA3"/>
    <w:rsid w:val="31D25D0B"/>
    <w:rsid w:val="34B20556"/>
    <w:rsid w:val="35442D27"/>
    <w:rsid w:val="35C97BA9"/>
    <w:rsid w:val="36F43CDD"/>
    <w:rsid w:val="36F8469E"/>
    <w:rsid w:val="380A05F1"/>
    <w:rsid w:val="38A8605B"/>
    <w:rsid w:val="38E147DC"/>
    <w:rsid w:val="38F857A9"/>
    <w:rsid w:val="3B5420D6"/>
    <w:rsid w:val="3C5B1AF9"/>
    <w:rsid w:val="3E704F26"/>
    <w:rsid w:val="3F6031EC"/>
    <w:rsid w:val="40580367"/>
    <w:rsid w:val="409B0A5D"/>
    <w:rsid w:val="41CE5702"/>
    <w:rsid w:val="42EF6D61"/>
    <w:rsid w:val="43F822ED"/>
    <w:rsid w:val="44186AF5"/>
    <w:rsid w:val="4544397B"/>
    <w:rsid w:val="45E05087"/>
    <w:rsid w:val="46A86BFA"/>
    <w:rsid w:val="4A101B76"/>
    <w:rsid w:val="4C116A0F"/>
    <w:rsid w:val="4CB53A01"/>
    <w:rsid w:val="4F420849"/>
    <w:rsid w:val="50751C79"/>
    <w:rsid w:val="515770B7"/>
    <w:rsid w:val="51991768"/>
    <w:rsid w:val="53EB5B48"/>
    <w:rsid w:val="55EC1E80"/>
    <w:rsid w:val="57EA6DF5"/>
    <w:rsid w:val="5A342531"/>
    <w:rsid w:val="5C081A48"/>
    <w:rsid w:val="5D0134C1"/>
    <w:rsid w:val="5E3E33BB"/>
    <w:rsid w:val="6113681E"/>
    <w:rsid w:val="613A4838"/>
    <w:rsid w:val="62C05B3D"/>
    <w:rsid w:val="639037F0"/>
    <w:rsid w:val="642B176B"/>
    <w:rsid w:val="64E61EDC"/>
    <w:rsid w:val="65B426A1"/>
    <w:rsid w:val="66146B22"/>
    <w:rsid w:val="667C4366"/>
    <w:rsid w:val="66DB2CF8"/>
    <w:rsid w:val="689A59F6"/>
    <w:rsid w:val="6909424A"/>
    <w:rsid w:val="6A6E630F"/>
    <w:rsid w:val="6B166CD1"/>
    <w:rsid w:val="6BAA746C"/>
    <w:rsid w:val="6D0C5CB8"/>
    <w:rsid w:val="72804467"/>
    <w:rsid w:val="746C1710"/>
    <w:rsid w:val="75CD61DE"/>
    <w:rsid w:val="76B3575A"/>
    <w:rsid w:val="77AB61A7"/>
    <w:rsid w:val="7A486300"/>
    <w:rsid w:val="7ACF07F5"/>
    <w:rsid w:val="7B3E5336"/>
    <w:rsid w:val="7CCA5F82"/>
    <w:rsid w:val="7D3A3F75"/>
    <w:rsid w:val="7E97382D"/>
    <w:rsid w:val="7F1C42C1"/>
    <w:rsid w:val="7FC16DAE"/>
    <w:rsid w:val="7FD9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4"/>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5"/>
    <w:qFormat/>
    <w:uiPriority w:val="0"/>
    <w:pPr>
      <w:keepNext/>
      <w:keepLines/>
      <w:spacing w:before="280" w:after="290" w:line="376" w:lineRule="auto"/>
      <w:outlineLvl w:val="4"/>
    </w:pPr>
    <w:rPr>
      <w:b/>
      <w:bCs/>
      <w:sz w:val="28"/>
      <w:szCs w:val="28"/>
    </w:rPr>
  </w:style>
  <w:style w:type="paragraph" w:styleId="7">
    <w:name w:val="heading 6"/>
    <w:basedOn w:val="1"/>
    <w:next w:val="1"/>
    <w:link w:val="106"/>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7"/>
    <w:qFormat/>
    <w:uiPriority w:val="0"/>
    <w:pPr>
      <w:keepNext/>
      <w:keepLines/>
      <w:spacing w:before="240" w:after="64" w:line="320" w:lineRule="auto"/>
      <w:outlineLvl w:val="6"/>
    </w:pPr>
    <w:rPr>
      <w:b/>
      <w:bCs/>
      <w:sz w:val="24"/>
      <w:szCs w:val="24"/>
    </w:rPr>
  </w:style>
  <w:style w:type="paragraph" w:styleId="9">
    <w:name w:val="heading 8"/>
    <w:basedOn w:val="1"/>
    <w:next w:val="1"/>
    <w:link w:val="108"/>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109"/>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ind w:firstLine="420" w:firstLineChars="200"/>
    </w:pPr>
    <w:rPr>
      <w:szCs w:val="24"/>
    </w:rPr>
  </w:style>
  <w:style w:type="paragraph" w:styleId="13">
    <w:name w:val="Document Map"/>
    <w:basedOn w:val="1"/>
    <w:link w:val="76"/>
    <w:qFormat/>
    <w:uiPriority w:val="0"/>
    <w:pPr>
      <w:shd w:val="clear" w:color="auto" w:fill="000080"/>
    </w:pPr>
  </w:style>
  <w:style w:type="paragraph" w:styleId="14">
    <w:name w:val="annotation text"/>
    <w:basedOn w:val="1"/>
    <w:link w:val="96"/>
    <w:qFormat/>
    <w:uiPriority w:val="0"/>
    <w:pPr>
      <w:jc w:val="left"/>
    </w:pPr>
  </w:style>
  <w:style w:type="paragraph" w:styleId="15">
    <w:name w:val="Body Text"/>
    <w:basedOn w:val="1"/>
    <w:link w:val="140"/>
    <w:qFormat/>
    <w:uiPriority w:val="0"/>
    <w:pPr>
      <w:spacing w:after="120"/>
    </w:pPr>
    <w:rPr>
      <w:szCs w:val="24"/>
    </w:rPr>
  </w:style>
  <w:style w:type="paragraph" w:styleId="16">
    <w:name w:val="Body Text Indent"/>
    <w:basedOn w:val="1"/>
    <w:link w:val="75"/>
    <w:qFormat/>
    <w:uiPriority w:val="0"/>
    <w:pPr>
      <w:ind w:firstLine="480" w:firstLineChars="200"/>
    </w:pPr>
    <w:rPr>
      <w:sz w:val="24"/>
    </w:rPr>
  </w:style>
  <w:style w:type="paragraph" w:styleId="17">
    <w:name w:val="HTML Address"/>
    <w:basedOn w:val="1"/>
    <w:link w:val="110"/>
    <w:qFormat/>
    <w:uiPriority w:val="0"/>
    <w:rPr>
      <w:i/>
      <w:iCs/>
      <w:szCs w:val="24"/>
    </w:rPr>
  </w:style>
  <w:style w:type="paragraph" w:styleId="18">
    <w:name w:val="toc 5"/>
    <w:basedOn w:val="19"/>
    <w:next w:val="1"/>
    <w:semiHidden/>
    <w:qFormat/>
    <w:uiPriority w:val="0"/>
  </w:style>
  <w:style w:type="paragraph" w:styleId="19">
    <w:name w:val="toc 4"/>
    <w:basedOn w:val="20"/>
    <w:next w:val="1"/>
    <w:semiHidden/>
    <w:qFormat/>
    <w:uiPriority w:val="0"/>
  </w:style>
  <w:style w:type="paragraph" w:styleId="20">
    <w:name w:val="toc 3"/>
    <w:basedOn w:val="21"/>
    <w:next w:val="1"/>
    <w:qFormat/>
    <w:uiPriority w:val="0"/>
  </w:style>
  <w:style w:type="paragraph" w:styleId="21">
    <w:name w:val="toc 2"/>
    <w:basedOn w:val="22"/>
    <w:next w:val="1"/>
    <w:semiHidden/>
    <w:qFormat/>
    <w:uiPriority w:val="0"/>
  </w:style>
  <w:style w:type="paragraph" w:styleId="22">
    <w:name w:val="toc 1"/>
    <w:next w:val="1"/>
    <w:semiHidden/>
    <w:qFormat/>
    <w:uiPriority w:val="0"/>
    <w:pPr>
      <w:jc w:val="both"/>
    </w:pPr>
    <w:rPr>
      <w:rFonts w:ascii="宋体" w:hAnsi="Times New Roman" w:eastAsia="宋体" w:cs="Times New Roman"/>
      <w:sz w:val="21"/>
      <w:lang w:val="en-US" w:eastAsia="zh-CN" w:bidi="ar-SA"/>
    </w:rPr>
  </w:style>
  <w:style w:type="paragraph" w:styleId="23">
    <w:name w:val="Plain Text"/>
    <w:basedOn w:val="1"/>
    <w:link w:val="94"/>
    <w:qFormat/>
    <w:uiPriority w:val="0"/>
    <w:rPr>
      <w:rFonts w:ascii="宋体" w:hAnsi="Courier New" w:cs="Courier New"/>
      <w:szCs w:val="21"/>
    </w:rPr>
  </w:style>
  <w:style w:type="paragraph" w:styleId="24">
    <w:name w:val="toc 8"/>
    <w:basedOn w:val="11"/>
    <w:next w:val="1"/>
    <w:qFormat/>
    <w:uiPriority w:val="0"/>
    <w:pPr>
      <w:widowControl/>
      <w:tabs>
        <w:tab w:val="left" w:pos="9000"/>
      </w:tabs>
      <w:ind w:left="0" w:leftChars="0"/>
    </w:pPr>
    <w:rPr>
      <w:rFonts w:ascii="宋体"/>
      <w:kern w:val="0"/>
    </w:rPr>
  </w:style>
  <w:style w:type="paragraph" w:styleId="25">
    <w:name w:val="Date"/>
    <w:basedOn w:val="1"/>
    <w:next w:val="1"/>
    <w:link w:val="99"/>
    <w:qFormat/>
    <w:uiPriority w:val="0"/>
    <w:pPr>
      <w:ind w:left="100" w:leftChars="2500"/>
    </w:pPr>
  </w:style>
  <w:style w:type="paragraph" w:styleId="26">
    <w:name w:val="Body Text Indent 2"/>
    <w:basedOn w:val="1"/>
    <w:link w:val="141"/>
    <w:qFormat/>
    <w:uiPriority w:val="0"/>
    <w:pPr>
      <w:spacing w:after="120" w:line="480" w:lineRule="auto"/>
      <w:ind w:left="420" w:leftChars="200"/>
    </w:pPr>
    <w:rPr>
      <w:szCs w:val="24"/>
    </w:rPr>
  </w:style>
  <w:style w:type="paragraph" w:styleId="27">
    <w:name w:val="Balloon Text"/>
    <w:basedOn w:val="1"/>
    <w:link w:val="77"/>
    <w:qFormat/>
    <w:uiPriority w:val="0"/>
    <w:rPr>
      <w:sz w:val="18"/>
    </w:rPr>
  </w:style>
  <w:style w:type="paragraph" w:styleId="28">
    <w:name w:val="footer"/>
    <w:basedOn w:val="1"/>
    <w:link w:val="54"/>
    <w:unhideWhenUsed/>
    <w:qFormat/>
    <w:uiPriority w:val="0"/>
    <w:pPr>
      <w:tabs>
        <w:tab w:val="center" w:pos="4153"/>
        <w:tab w:val="right" w:pos="8306"/>
      </w:tabs>
      <w:snapToGrid w:val="0"/>
      <w:jc w:val="left"/>
    </w:pPr>
    <w:rPr>
      <w:sz w:val="18"/>
      <w:szCs w:val="18"/>
    </w:rPr>
  </w:style>
  <w:style w:type="paragraph" w:styleId="29">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footnote text"/>
    <w:basedOn w:val="1"/>
    <w:link w:val="74"/>
    <w:qFormat/>
    <w:uiPriority w:val="0"/>
    <w:pPr>
      <w:snapToGrid w:val="0"/>
      <w:jc w:val="left"/>
    </w:pPr>
    <w:rPr>
      <w:sz w:val="18"/>
    </w:rPr>
  </w:style>
  <w:style w:type="paragraph" w:styleId="31">
    <w:name w:val="toc 6"/>
    <w:basedOn w:val="18"/>
    <w:next w:val="1"/>
    <w:semiHidden/>
    <w:qFormat/>
    <w:uiPriority w:val="0"/>
  </w:style>
  <w:style w:type="paragraph" w:styleId="32">
    <w:name w:val="toc 9"/>
    <w:basedOn w:val="24"/>
    <w:next w:val="1"/>
    <w:semiHidden/>
    <w:qFormat/>
    <w:uiPriority w:val="0"/>
    <w:pPr>
      <w:tabs>
        <w:tab w:val="clear" w:pos="9000"/>
      </w:tabs>
    </w:pPr>
  </w:style>
  <w:style w:type="paragraph" w:styleId="33">
    <w:name w:val="HTML Preformatted"/>
    <w:basedOn w:val="1"/>
    <w:link w:val="111"/>
    <w:qFormat/>
    <w:uiPriority w:val="0"/>
    <w:rPr>
      <w:rFonts w:ascii="Courier New" w:hAnsi="Courier New" w:cs="Courier New"/>
      <w:sz w:val="20"/>
    </w:rPr>
  </w:style>
  <w:style w:type="paragraph" w:styleId="34">
    <w:name w:val="Title"/>
    <w:basedOn w:val="1"/>
    <w:link w:val="112"/>
    <w:qFormat/>
    <w:uiPriority w:val="0"/>
    <w:pPr>
      <w:spacing w:before="240" w:after="60"/>
      <w:jc w:val="center"/>
      <w:outlineLvl w:val="0"/>
    </w:pPr>
    <w:rPr>
      <w:rFonts w:ascii="Arial" w:hAnsi="Arial" w:cs="Arial"/>
      <w:b/>
      <w:bCs/>
      <w:sz w:val="32"/>
      <w:szCs w:val="32"/>
    </w:rPr>
  </w:style>
  <w:style w:type="paragraph" w:styleId="35">
    <w:name w:val="annotation subject"/>
    <w:basedOn w:val="14"/>
    <w:next w:val="14"/>
    <w:link w:val="97"/>
    <w:qFormat/>
    <w:uiPriority w:val="0"/>
    <w:rPr>
      <w:b/>
      <w:bCs/>
    </w:rPr>
  </w:style>
  <w:style w:type="table" w:styleId="37">
    <w:name w:val="Table Grid"/>
    <w:basedOn w:val="36"/>
    <w:unhideWhenUsed/>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page number"/>
    <w:basedOn w:val="38"/>
    <w:qFormat/>
    <w:uiPriority w:val="0"/>
  </w:style>
  <w:style w:type="character" w:styleId="40">
    <w:name w:val="FollowedHyperlink"/>
    <w:basedOn w:val="38"/>
    <w:qFormat/>
    <w:uiPriority w:val="0"/>
    <w:rPr>
      <w:color w:val="800080"/>
      <w:u w:val="single"/>
    </w:rPr>
  </w:style>
  <w:style w:type="character" w:styleId="41">
    <w:name w:val="HTML Definition"/>
    <w:basedOn w:val="38"/>
    <w:qFormat/>
    <w:uiPriority w:val="0"/>
    <w:rPr>
      <w:i/>
      <w:iCs/>
    </w:rPr>
  </w:style>
  <w:style w:type="character" w:styleId="42">
    <w:name w:val="HTML Typewriter"/>
    <w:basedOn w:val="38"/>
    <w:qFormat/>
    <w:uiPriority w:val="0"/>
    <w:rPr>
      <w:rFonts w:ascii="Courier New" w:hAnsi="Courier New"/>
      <w:sz w:val="20"/>
      <w:szCs w:val="20"/>
    </w:rPr>
  </w:style>
  <w:style w:type="character" w:styleId="43">
    <w:name w:val="HTML Acronym"/>
    <w:basedOn w:val="38"/>
    <w:qFormat/>
    <w:uiPriority w:val="0"/>
  </w:style>
  <w:style w:type="character" w:styleId="44">
    <w:name w:val="HTML Variable"/>
    <w:basedOn w:val="38"/>
    <w:qFormat/>
    <w:uiPriority w:val="0"/>
    <w:rPr>
      <w:i/>
      <w:iCs/>
    </w:rPr>
  </w:style>
  <w:style w:type="character" w:styleId="45">
    <w:name w:val="Hyperlink"/>
    <w:basedOn w:val="38"/>
    <w:qFormat/>
    <w:uiPriority w:val="0"/>
    <w:rPr>
      <w:color w:val="261CDC"/>
      <w:u w:val="single"/>
    </w:rPr>
  </w:style>
  <w:style w:type="character" w:styleId="46">
    <w:name w:val="HTML Code"/>
    <w:basedOn w:val="38"/>
    <w:qFormat/>
    <w:uiPriority w:val="0"/>
    <w:rPr>
      <w:rFonts w:ascii="Courier New" w:hAnsi="Courier New"/>
      <w:sz w:val="20"/>
      <w:szCs w:val="20"/>
    </w:rPr>
  </w:style>
  <w:style w:type="character" w:styleId="47">
    <w:name w:val="annotation reference"/>
    <w:basedOn w:val="38"/>
    <w:qFormat/>
    <w:uiPriority w:val="0"/>
    <w:rPr>
      <w:sz w:val="21"/>
      <w:szCs w:val="21"/>
    </w:rPr>
  </w:style>
  <w:style w:type="character" w:styleId="48">
    <w:name w:val="HTML Cite"/>
    <w:basedOn w:val="38"/>
    <w:qFormat/>
    <w:uiPriority w:val="0"/>
    <w:rPr>
      <w:i/>
      <w:iCs/>
    </w:rPr>
  </w:style>
  <w:style w:type="character" w:styleId="49">
    <w:name w:val="footnote reference"/>
    <w:basedOn w:val="38"/>
    <w:qFormat/>
    <w:uiPriority w:val="0"/>
    <w:rPr>
      <w:vertAlign w:val="superscript"/>
    </w:rPr>
  </w:style>
  <w:style w:type="character" w:styleId="50">
    <w:name w:val="HTML Keyboard"/>
    <w:basedOn w:val="38"/>
    <w:qFormat/>
    <w:uiPriority w:val="0"/>
    <w:rPr>
      <w:rFonts w:ascii="Courier New" w:hAnsi="Courier New"/>
      <w:sz w:val="20"/>
      <w:szCs w:val="20"/>
    </w:rPr>
  </w:style>
  <w:style w:type="character" w:styleId="51">
    <w:name w:val="HTML Sample"/>
    <w:basedOn w:val="38"/>
    <w:qFormat/>
    <w:uiPriority w:val="0"/>
    <w:rPr>
      <w:rFonts w:ascii="Courier New" w:hAnsi="Courier New"/>
    </w:rPr>
  </w:style>
  <w:style w:type="character" w:customStyle="1" w:styleId="52">
    <w:name w:val="标题 4 字符"/>
    <w:basedOn w:val="38"/>
    <w:link w:val="5"/>
    <w:qFormat/>
    <w:uiPriority w:val="0"/>
    <w:rPr>
      <w:rFonts w:ascii="Arial" w:hAnsi="Arial" w:eastAsia="黑体" w:cs="Times New Roman"/>
      <w:b/>
      <w:bCs/>
      <w:sz w:val="28"/>
      <w:szCs w:val="28"/>
    </w:rPr>
  </w:style>
  <w:style w:type="character" w:customStyle="1" w:styleId="53">
    <w:name w:val="页眉 字符"/>
    <w:basedOn w:val="38"/>
    <w:link w:val="29"/>
    <w:qFormat/>
    <w:uiPriority w:val="99"/>
    <w:rPr>
      <w:sz w:val="18"/>
      <w:szCs w:val="18"/>
    </w:rPr>
  </w:style>
  <w:style w:type="character" w:customStyle="1" w:styleId="54">
    <w:name w:val="页脚 字符"/>
    <w:basedOn w:val="38"/>
    <w:link w:val="28"/>
    <w:qFormat/>
    <w:uiPriority w:val="99"/>
    <w:rPr>
      <w:sz w:val="18"/>
      <w:szCs w:val="18"/>
    </w:rPr>
  </w:style>
  <w:style w:type="character" w:customStyle="1" w:styleId="55">
    <w:name w:val="标题 2 字符"/>
    <w:basedOn w:val="38"/>
    <w:link w:val="3"/>
    <w:qFormat/>
    <w:uiPriority w:val="0"/>
    <w:rPr>
      <w:rFonts w:ascii="Arial" w:hAnsi="Arial" w:eastAsia="黑体" w:cs="Times New Roman"/>
      <w:b/>
      <w:sz w:val="32"/>
      <w:szCs w:val="20"/>
    </w:rPr>
  </w:style>
  <w:style w:type="character" w:customStyle="1" w:styleId="56">
    <w:name w:val="段 Char"/>
    <w:link w:val="57"/>
    <w:qFormat/>
    <w:uiPriority w:val="0"/>
    <w:rPr>
      <w:rFonts w:ascii="宋体"/>
    </w:rPr>
  </w:style>
  <w:style w:type="paragraph" w:customStyle="1" w:styleId="57">
    <w:name w:val="段"/>
    <w:link w:val="56"/>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0">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4">
    <w:name w:val="附录三级条标题"/>
    <w:basedOn w:val="65"/>
    <w:next w:val="57"/>
    <w:qFormat/>
    <w:uiPriority w:val="0"/>
    <w:pPr>
      <w:outlineLvl w:val="4"/>
    </w:pPr>
  </w:style>
  <w:style w:type="paragraph" w:customStyle="1" w:styleId="65">
    <w:name w:val="附录二级条标题"/>
    <w:basedOn w:val="66"/>
    <w:next w:val="57"/>
    <w:qFormat/>
    <w:uiPriority w:val="0"/>
    <w:pPr>
      <w:outlineLvl w:val="3"/>
    </w:pPr>
  </w:style>
  <w:style w:type="paragraph" w:customStyle="1" w:styleId="66">
    <w:name w:val="附录一级条标题"/>
    <w:basedOn w:val="1"/>
    <w:next w:val="57"/>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67">
    <w:name w:val="附录标识"/>
    <w:basedOn w:val="60"/>
    <w:qFormat/>
    <w:uiPriority w:val="0"/>
    <w:pPr>
      <w:tabs>
        <w:tab w:val="left" w:pos="6405"/>
      </w:tabs>
      <w:spacing w:after="200"/>
    </w:pPr>
    <w:rPr>
      <w:sz w:val="21"/>
    </w:rPr>
  </w:style>
  <w:style w:type="paragraph" w:customStyle="1" w:styleId="68">
    <w:name w:val="二级条标题"/>
    <w:basedOn w:val="69"/>
    <w:next w:val="57"/>
    <w:qFormat/>
    <w:uiPriority w:val="0"/>
  </w:style>
  <w:style w:type="paragraph" w:customStyle="1" w:styleId="69">
    <w:name w:val="一级条标题"/>
    <w:basedOn w:val="70"/>
    <w:next w:val="57"/>
    <w:qFormat/>
    <w:uiPriority w:val="0"/>
    <w:pPr>
      <w:spacing w:beforeLines="0" w:afterLines="0"/>
      <w:outlineLvl w:val="2"/>
    </w:pPr>
  </w:style>
  <w:style w:type="paragraph" w:customStyle="1" w:styleId="70">
    <w:name w:val="章标题"/>
    <w:next w:val="5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74">
    <w:name w:val="脚注文本 字符"/>
    <w:basedOn w:val="38"/>
    <w:link w:val="30"/>
    <w:qFormat/>
    <w:uiPriority w:val="0"/>
    <w:rPr>
      <w:rFonts w:ascii="Times New Roman" w:hAnsi="Times New Roman" w:eastAsia="宋体" w:cs="Times New Roman"/>
      <w:sz w:val="18"/>
      <w:szCs w:val="20"/>
    </w:rPr>
  </w:style>
  <w:style w:type="character" w:customStyle="1" w:styleId="75">
    <w:name w:val="正文文本缩进 字符"/>
    <w:basedOn w:val="38"/>
    <w:link w:val="16"/>
    <w:qFormat/>
    <w:uiPriority w:val="0"/>
    <w:rPr>
      <w:rFonts w:ascii="Times New Roman" w:hAnsi="Times New Roman" w:eastAsia="宋体" w:cs="Times New Roman"/>
      <w:sz w:val="24"/>
      <w:szCs w:val="20"/>
    </w:rPr>
  </w:style>
  <w:style w:type="character" w:customStyle="1" w:styleId="76">
    <w:name w:val="文档结构图 字符"/>
    <w:basedOn w:val="38"/>
    <w:link w:val="13"/>
    <w:qFormat/>
    <w:uiPriority w:val="0"/>
    <w:rPr>
      <w:rFonts w:ascii="Times New Roman" w:hAnsi="Times New Roman" w:eastAsia="宋体" w:cs="Times New Roman"/>
      <w:szCs w:val="20"/>
      <w:shd w:val="clear" w:color="auto" w:fill="000080"/>
    </w:rPr>
  </w:style>
  <w:style w:type="character" w:customStyle="1" w:styleId="77">
    <w:name w:val="批注框文本 字符"/>
    <w:basedOn w:val="38"/>
    <w:link w:val="27"/>
    <w:qFormat/>
    <w:uiPriority w:val="0"/>
    <w:rPr>
      <w:rFonts w:ascii="Times New Roman" w:hAnsi="Times New Roman" w:eastAsia="宋体" w:cs="Times New Roman"/>
      <w:sz w:val="18"/>
      <w:szCs w:val="20"/>
    </w:rPr>
  </w:style>
  <w:style w:type="paragraph" w:customStyle="1" w:styleId="78">
    <w:name w:val="标准书眉_偶数页"/>
    <w:basedOn w:val="61"/>
    <w:next w:val="1"/>
    <w:qFormat/>
    <w:uiPriority w:val="0"/>
    <w:pPr>
      <w:jc w:val="left"/>
    </w:pPr>
  </w:style>
  <w:style w:type="paragraph" w:customStyle="1" w:styleId="79">
    <w:name w:val="三级条标题"/>
    <w:basedOn w:val="1"/>
    <w:next w:val="57"/>
    <w:qFormat/>
    <w:uiPriority w:val="0"/>
    <w:pPr>
      <w:widowControl/>
      <w:outlineLvl w:val="4"/>
    </w:pPr>
    <w:rPr>
      <w:rFonts w:ascii="黑体" w:hAnsi="宋体" w:eastAsia="黑体"/>
      <w:kern w:val="0"/>
    </w:rPr>
  </w:style>
  <w:style w:type="paragraph" w:customStyle="1" w:styleId="80">
    <w:name w:val="四级条标题"/>
    <w:basedOn w:val="79"/>
    <w:next w:val="57"/>
    <w:qFormat/>
    <w:uiPriority w:val="0"/>
    <w:pPr>
      <w:outlineLvl w:val="5"/>
    </w:pPr>
  </w:style>
  <w:style w:type="paragraph" w:customStyle="1" w:styleId="81">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82">
    <w:name w:val="附录图标题"/>
    <w:next w:val="57"/>
    <w:qFormat/>
    <w:uiPriority w:val="0"/>
    <w:pPr>
      <w:tabs>
        <w:tab w:val="left" w:pos="360"/>
      </w:tabs>
      <w:jc w:val="center"/>
    </w:pPr>
    <w:rPr>
      <w:rFonts w:ascii="黑体" w:hAnsi="Times New Roman" w:eastAsia="黑体" w:cs="Times New Roman"/>
      <w:sz w:val="21"/>
      <w:lang w:val="en-US" w:eastAsia="zh-CN" w:bidi="ar-SA"/>
    </w:rPr>
  </w:style>
  <w:style w:type="paragraph" w:customStyle="1" w:styleId="83">
    <w:name w:val="图表脚注"/>
    <w:next w:val="57"/>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8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8">
    <w:name w:val="发布日期"/>
    <w:qFormat/>
    <w:uiPriority w:val="0"/>
    <w:rPr>
      <w:rFonts w:ascii="Times New Roman" w:hAnsi="Times New Roman" w:eastAsia="黑体" w:cs="Times New Roman"/>
      <w:sz w:val="28"/>
      <w:lang w:val="en-US" w:eastAsia="zh-CN" w:bidi="ar-SA"/>
    </w:rPr>
  </w:style>
  <w:style w:type="paragraph" w:customStyle="1" w:styleId="89">
    <w:name w:val="五级条标题"/>
    <w:basedOn w:val="80"/>
    <w:next w:val="57"/>
    <w:qFormat/>
    <w:uiPriority w:val="0"/>
    <w:pPr>
      <w:outlineLvl w:val="6"/>
    </w:pPr>
  </w:style>
  <w:style w:type="paragraph" w:customStyle="1" w:styleId="90">
    <w:name w:val="附录四级条标题"/>
    <w:basedOn w:val="64"/>
    <w:next w:val="57"/>
    <w:qFormat/>
    <w:uiPriority w:val="0"/>
    <w:pPr>
      <w:outlineLvl w:val="5"/>
    </w:pPr>
  </w:style>
  <w:style w:type="paragraph" w:customStyle="1" w:styleId="91">
    <w:name w:val="附录表标题"/>
    <w:next w:val="57"/>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9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
    <w:name w:val="实施日期"/>
    <w:basedOn w:val="88"/>
    <w:qFormat/>
    <w:uiPriority w:val="0"/>
    <w:pPr>
      <w:jc w:val="right"/>
    </w:pPr>
  </w:style>
  <w:style w:type="character" w:customStyle="1" w:styleId="94">
    <w:name w:val="纯文本 字符"/>
    <w:basedOn w:val="38"/>
    <w:link w:val="23"/>
    <w:qFormat/>
    <w:uiPriority w:val="0"/>
    <w:rPr>
      <w:rFonts w:ascii="宋体" w:hAnsi="Courier New" w:eastAsia="宋体" w:cs="Courier New"/>
      <w:szCs w:val="21"/>
    </w:rPr>
  </w:style>
  <w:style w:type="paragraph" w:styleId="95">
    <w:name w:val="List Paragraph"/>
    <w:basedOn w:val="1"/>
    <w:qFormat/>
    <w:uiPriority w:val="34"/>
    <w:pPr>
      <w:ind w:firstLine="420" w:firstLineChars="200"/>
    </w:pPr>
  </w:style>
  <w:style w:type="character" w:customStyle="1" w:styleId="96">
    <w:name w:val="批注文字 字符"/>
    <w:basedOn w:val="38"/>
    <w:link w:val="14"/>
    <w:qFormat/>
    <w:uiPriority w:val="0"/>
    <w:rPr>
      <w:rFonts w:ascii="Times New Roman" w:hAnsi="Times New Roman" w:eastAsia="宋体" w:cs="Times New Roman"/>
      <w:szCs w:val="20"/>
    </w:rPr>
  </w:style>
  <w:style w:type="character" w:customStyle="1" w:styleId="97">
    <w:name w:val="批注主题 字符"/>
    <w:basedOn w:val="96"/>
    <w:link w:val="35"/>
    <w:qFormat/>
    <w:uiPriority w:val="0"/>
    <w:rPr>
      <w:rFonts w:ascii="Times New Roman" w:hAnsi="Times New Roman" w:eastAsia="宋体" w:cs="Times New Roman"/>
      <w:b/>
      <w:bCs/>
      <w:szCs w:val="20"/>
    </w:rPr>
  </w:style>
  <w:style w:type="character" w:customStyle="1" w:styleId="98">
    <w:name w:val="sh141"/>
    <w:basedOn w:val="38"/>
    <w:qFormat/>
    <w:uiPriority w:val="0"/>
    <w:rPr>
      <w:color w:val="2B2B2B"/>
      <w:sz w:val="18"/>
      <w:szCs w:val="18"/>
    </w:rPr>
  </w:style>
  <w:style w:type="character" w:customStyle="1" w:styleId="99">
    <w:name w:val="日期 字符"/>
    <w:basedOn w:val="38"/>
    <w:link w:val="25"/>
    <w:qFormat/>
    <w:uiPriority w:val="0"/>
    <w:rPr>
      <w:rFonts w:ascii="Times New Roman" w:hAnsi="Times New Roman" w:eastAsia="宋体" w:cs="Times New Roman"/>
      <w:szCs w:val="20"/>
    </w:rPr>
  </w:style>
  <w:style w:type="paragraph" w:customStyle="1" w:styleId="100">
    <w:name w:val="封面标准号2"/>
    <w:basedOn w:val="59"/>
    <w:qFormat/>
    <w:uiPriority w:val="0"/>
    <w:pPr>
      <w:framePr w:w="9138" w:h="1244" w:hRule="exact" w:wrap="auto" w:vAnchor="page" w:hAnchor="margin" w:y="2908" w:anchorLock="1"/>
      <w:adjustRightInd w:val="0"/>
      <w:spacing w:before="357" w:line="280" w:lineRule="exact"/>
    </w:pPr>
  </w:style>
  <w:style w:type="paragraph" w:customStyle="1" w:styleId="101">
    <w:name w:val="封面标准代替信息"/>
    <w:basedOn w:val="100"/>
    <w:qFormat/>
    <w:uiPriority w:val="0"/>
    <w:pPr>
      <w:spacing w:before="57"/>
    </w:pPr>
    <w:rPr>
      <w:rFonts w:ascii="宋体"/>
      <w:sz w:val="21"/>
    </w:rPr>
  </w:style>
  <w:style w:type="character" w:styleId="102">
    <w:name w:val="Placeholder Text"/>
    <w:basedOn w:val="38"/>
    <w:semiHidden/>
    <w:qFormat/>
    <w:uiPriority w:val="99"/>
    <w:rPr>
      <w:color w:val="808080"/>
    </w:rPr>
  </w:style>
  <w:style w:type="character" w:customStyle="1" w:styleId="103">
    <w:name w:val="标题 1 字符"/>
    <w:basedOn w:val="38"/>
    <w:link w:val="2"/>
    <w:qFormat/>
    <w:uiPriority w:val="0"/>
    <w:rPr>
      <w:rFonts w:ascii="Times New Roman" w:hAnsi="Times New Roman" w:eastAsia="宋体" w:cs="Times New Roman"/>
      <w:b/>
      <w:bCs/>
      <w:kern w:val="44"/>
      <w:sz w:val="44"/>
      <w:szCs w:val="44"/>
    </w:rPr>
  </w:style>
  <w:style w:type="character" w:customStyle="1" w:styleId="104">
    <w:name w:val="标题 3 字符"/>
    <w:basedOn w:val="38"/>
    <w:link w:val="4"/>
    <w:qFormat/>
    <w:uiPriority w:val="0"/>
    <w:rPr>
      <w:rFonts w:ascii="Times New Roman" w:hAnsi="Times New Roman" w:eastAsia="宋体" w:cs="Times New Roman"/>
      <w:b/>
      <w:bCs/>
      <w:sz w:val="32"/>
      <w:szCs w:val="32"/>
    </w:rPr>
  </w:style>
  <w:style w:type="character" w:customStyle="1" w:styleId="105">
    <w:name w:val="标题 5 字符"/>
    <w:basedOn w:val="38"/>
    <w:link w:val="6"/>
    <w:qFormat/>
    <w:uiPriority w:val="0"/>
    <w:rPr>
      <w:rFonts w:ascii="Times New Roman" w:hAnsi="Times New Roman" w:eastAsia="宋体" w:cs="Times New Roman"/>
      <w:b/>
      <w:bCs/>
      <w:sz w:val="28"/>
      <w:szCs w:val="28"/>
    </w:rPr>
  </w:style>
  <w:style w:type="character" w:customStyle="1" w:styleId="106">
    <w:name w:val="标题 6 字符"/>
    <w:basedOn w:val="38"/>
    <w:link w:val="7"/>
    <w:qFormat/>
    <w:uiPriority w:val="0"/>
    <w:rPr>
      <w:rFonts w:ascii="Arial" w:hAnsi="Arial" w:eastAsia="黑体" w:cs="Times New Roman"/>
      <w:b/>
      <w:bCs/>
      <w:sz w:val="24"/>
      <w:szCs w:val="24"/>
    </w:rPr>
  </w:style>
  <w:style w:type="character" w:customStyle="1" w:styleId="107">
    <w:name w:val="标题 7 字符"/>
    <w:basedOn w:val="38"/>
    <w:link w:val="8"/>
    <w:qFormat/>
    <w:uiPriority w:val="0"/>
    <w:rPr>
      <w:rFonts w:ascii="Times New Roman" w:hAnsi="Times New Roman" w:eastAsia="宋体" w:cs="Times New Roman"/>
      <w:b/>
      <w:bCs/>
      <w:sz w:val="24"/>
      <w:szCs w:val="24"/>
    </w:rPr>
  </w:style>
  <w:style w:type="character" w:customStyle="1" w:styleId="108">
    <w:name w:val="标题 8 字符"/>
    <w:basedOn w:val="38"/>
    <w:link w:val="9"/>
    <w:qFormat/>
    <w:uiPriority w:val="0"/>
    <w:rPr>
      <w:rFonts w:ascii="Arial" w:hAnsi="Arial" w:eastAsia="黑体" w:cs="Times New Roman"/>
      <w:sz w:val="24"/>
      <w:szCs w:val="24"/>
    </w:rPr>
  </w:style>
  <w:style w:type="character" w:customStyle="1" w:styleId="109">
    <w:name w:val="标题 9 字符"/>
    <w:basedOn w:val="38"/>
    <w:link w:val="10"/>
    <w:qFormat/>
    <w:uiPriority w:val="0"/>
    <w:rPr>
      <w:rFonts w:ascii="Arial" w:hAnsi="Arial" w:eastAsia="黑体" w:cs="Times New Roman"/>
      <w:szCs w:val="21"/>
    </w:rPr>
  </w:style>
  <w:style w:type="character" w:customStyle="1" w:styleId="110">
    <w:name w:val="HTML 地址 字符"/>
    <w:basedOn w:val="38"/>
    <w:link w:val="17"/>
    <w:qFormat/>
    <w:uiPriority w:val="0"/>
    <w:rPr>
      <w:rFonts w:ascii="Times New Roman" w:hAnsi="Times New Roman" w:eastAsia="宋体" w:cs="Times New Roman"/>
      <w:i/>
      <w:iCs/>
      <w:szCs w:val="24"/>
    </w:rPr>
  </w:style>
  <w:style w:type="character" w:customStyle="1" w:styleId="111">
    <w:name w:val="HTML 预设格式 字符"/>
    <w:basedOn w:val="38"/>
    <w:link w:val="33"/>
    <w:qFormat/>
    <w:uiPriority w:val="0"/>
    <w:rPr>
      <w:rFonts w:ascii="Courier New" w:hAnsi="Courier New" w:eastAsia="宋体" w:cs="Courier New"/>
      <w:sz w:val="20"/>
      <w:szCs w:val="20"/>
    </w:rPr>
  </w:style>
  <w:style w:type="character" w:customStyle="1" w:styleId="112">
    <w:name w:val="标题 字符"/>
    <w:basedOn w:val="38"/>
    <w:link w:val="34"/>
    <w:qFormat/>
    <w:uiPriority w:val="0"/>
    <w:rPr>
      <w:rFonts w:ascii="Arial" w:hAnsi="Arial" w:eastAsia="宋体" w:cs="Arial"/>
      <w:b/>
      <w:bCs/>
      <w:sz w:val="32"/>
      <w:szCs w:val="32"/>
    </w:rPr>
  </w:style>
  <w:style w:type="paragraph" w:customStyle="1" w:styleId="113">
    <w:name w:val="参考文献、索引标题"/>
    <w:basedOn w:val="60"/>
    <w:next w:val="1"/>
    <w:qFormat/>
    <w:uiPriority w:val="0"/>
    <w:pPr>
      <w:tabs>
        <w:tab w:val="clear" w:pos="720"/>
      </w:tabs>
      <w:spacing w:after="200"/>
      <w:ind w:left="0" w:firstLine="0"/>
    </w:pPr>
    <w:rPr>
      <w:sz w:val="21"/>
    </w:rPr>
  </w:style>
  <w:style w:type="character" w:customStyle="1" w:styleId="114">
    <w:name w:val="发布"/>
    <w:basedOn w:val="38"/>
    <w:qFormat/>
    <w:uiPriority w:val="0"/>
    <w:rPr>
      <w:rFonts w:ascii="黑体" w:eastAsia="黑体"/>
      <w:spacing w:val="22"/>
      <w:w w:val="100"/>
      <w:position w:val="3"/>
      <w:sz w:val="28"/>
    </w:rPr>
  </w:style>
  <w:style w:type="paragraph" w:customStyle="1" w:styleId="11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五级条标题"/>
    <w:basedOn w:val="90"/>
    <w:next w:val="57"/>
    <w:qFormat/>
    <w:uiPriority w:val="0"/>
    <w:pPr>
      <w:outlineLvl w:val="6"/>
    </w:pPr>
  </w:style>
  <w:style w:type="character" w:customStyle="1" w:styleId="120">
    <w:name w:val="EmailStyle112"/>
    <w:basedOn w:val="38"/>
    <w:qFormat/>
    <w:uiPriority w:val="0"/>
    <w:rPr>
      <w:rFonts w:ascii="Arial" w:hAnsi="Arial" w:eastAsia="宋体" w:cs="Arial"/>
      <w:color w:val="auto"/>
      <w:sz w:val="20"/>
    </w:rPr>
  </w:style>
  <w:style w:type="character" w:customStyle="1" w:styleId="121">
    <w:name w:val="EmailStyle113"/>
    <w:basedOn w:val="38"/>
    <w:qFormat/>
    <w:uiPriority w:val="0"/>
    <w:rPr>
      <w:rFonts w:ascii="Arial" w:hAnsi="Arial" w:eastAsia="宋体" w:cs="Arial"/>
      <w:color w:val="auto"/>
      <w:sz w:val="20"/>
    </w:rPr>
  </w:style>
  <w:style w:type="paragraph" w:customStyle="1" w:styleId="122">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23">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4">
    <w:name w:val="目次、标准名称标题"/>
    <w:basedOn w:val="60"/>
    <w:next w:val="57"/>
    <w:qFormat/>
    <w:uiPriority w:val="0"/>
    <w:pPr>
      <w:tabs>
        <w:tab w:val="clear" w:pos="720"/>
      </w:tabs>
      <w:spacing w:line="460" w:lineRule="exact"/>
      <w:ind w:left="0" w:firstLine="0"/>
    </w:p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7">
    <w:name w:val="其他发布部门"/>
    <w:basedOn w:val="72"/>
    <w:qFormat/>
    <w:uiPriority w:val="0"/>
    <w:pPr>
      <w:framePr w:w="7433" w:h="585" w:hRule="exact" w:hSpace="180" w:vSpace="180" w:wrap="around" w:vAnchor="margin" w:hAnchor="margin" w:xAlign="center" w:y="14401" w:anchorLock="1"/>
      <w:spacing w:line="0" w:lineRule="atLeast"/>
    </w:pPr>
    <w:rPr>
      <w:rFonts w:ascii="黑体" w:eastAsia="黑体"/>
      <w:b w:val="0"/>
    </w:rPr>
  </w:style>
  <w:style w:type="paragraph" w:customStyle="1" w:styleId="128">
    <w:name w:val="示例"/>
    <w:next w:val="57"/>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2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30">
    <w:name w:val="条文脚注"/>
    <w:basedOn w:val="30"/>
    <w:qFormat/>
    <w:uiPriority w:val="0"/>
    <w:pPr>
      <w:ind w:left="780" w:leftChars="200" w:hanging="360" w:hangingChars="200"/>
      <w:jc w:val="both"/>
    </w:pPr>
    <w:rPr>
      <w:rFonts w:ascii="宋体"/>
      <w:szCs w:val="18"/>
    </w:rPr>
  </w:style>
  <w:style w:type="paragraph" w:customStyle="1" w:styleId="131">
    <w:name w:val="正文表标题"/>
    <w:next w:val="57"/>
    <w:qFormat/>
    <w:uiPriority w:val="0"/>
    <w:pPr>
      <w:jc w:val="center"/>
    </w:pPr>
    <w:rPr>
      <w:rFonts w:ascii="黑体" w:hAnsi="Times New Roman" w:eastAsia="黑体" w:cs="Times New Roman"/>
      <w:sz w:val="21"/>
      <w:lang w:val="en-US" w:eastAsia="zh-CN" w:bidi="ar-SA"/>
    </w:rPr>
  </w:style>
  <w:style w:type="paragraph" w:customStyle="1" w:styleId="132">
    <w:name w:val="正文图标题"/>
    <w:next w:val="57"/>
    <w:qFormat/>
    <w:uiPriority w:val="0"/>
    <w:pPr>
      <w:jc w:val="center"/>
    </w:pPr>
    <w:rPr>
      <w:rFonts w:ascii="黑体" w:hAnsi="Times New Roman" w:eastAsia="黑体" w:cs="Times New Roman"/>
      <w:sz w:val="21"/>
      <w:lang w:val="en-US" w:eastAsia="zh-CN" w:bidi="ar-SA"/>
    </w:rPr>
  </w:style>
  <w:style w:type="paragraph" w:customStyle="1" w:styleId="133">
    <w:name w:val="注："/>
    <w:next w:val="57"/>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3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3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36">
    <w:name w:val="一级条标题 Char"/>
    <w:basedOn w:val="38"/>
    <w:qFormat/>
    <w:uiPriority w:val="0"/>
    <w:rPr>
      <w:rFonts w:eastAsia="黑体"/>
      <w:kern w:val="2"/>
      <w:sz w:val="21"/>
      <w:szCs w:val="24"/>
      <w:lang w:val="en-US" w:eastAsia="zh-CN" w:bidi="ar-SA"/>
    </w:rPr>
  </w:style>
  <w:style w:type="paragraph" w:customStyle="1" w:styleId="137">
    <w:name w:val="列项◆（三级）"/>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138">
    <w:name w:val="编号列项（三级）"/>
    <w:qFormat/>
    <w:uiPriority w:val="0"/>
    <w:pPr>
      <w:numPr>
        <w:ilvl w:val="0"/>
        <w:numId w:val="4"/>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139">
    <w:name w:val="二级条标题 Char"/>
    <w:basedOn w:val="136"/>
    <w:qFormat/>
    <w:uiPriority w:val="0"/>
    <w:rPr>
      <w:rFonts w:eastAsia="黑体"/>
      <w:kern w:val="2"/>
      <w:sz w:val="21"/>
      <w:szCs w:val="24"/>
      <w:lang w:val="en-US" w:eastAsia="zh-CN" w:bidi="ar-SA"/>
    </w:rPr>
  </w:style>
  <w:style w:type="character" w:customStyle="1" w:styleId="140">
    <w:name w:val="正文文本 字符"/>
    <w:basedOn w:val="38"/>
    <w:link w:val="15"/>
    <w:qFormat/>
    <w:uiPriority w:val="0"/>
    <w:rPr>
      <w:rFonts w:ascii="Times New Roman" w:hAnsi="Times New Roman" w:eastAsia="宋体" w:cs="Times New Roman"/>
      <w:szCs w:val="24"/>
    </w:rPr>
  </w:style>
  <w:style w:type="character" w:customStyle="1" w:styleId="141">
    <w:name w:val="正文文本缩进 2 字符"/>
    <w:basedOn w:val="38"/>
    <w:link w:val="26"/>
    <w:qFormat/>
    <w:uiPriority w:val="0"/>
    <w:rPr>
      <w:rFonts w:ascii="Times New Roman" w:hAnsi="Times New Roman" w:eastAsia="宋体" w:cs="Times New Roman"/>
      <w:szCs w:val="24"/>
    </w:rPr>
  </w:style>
  <w:style w:type="paragraph" w:customStyle="1" w:styleId="142">
    <w:name w:val="修订1"/>
    <w:hidden/>
    <w:semiHidden/>
    <w:qFormat/>
    <w:uiPriority w:val="99"/>
    <w:rPr>
      <w:rFonts w:ascii="Times New Roman" w:hAnsi="Times New Roman" w:eastAsia="宋体" w:cs="Times New Roman"/>
      <w:kern w:val="2"/>
      <w:sz w:val="21"/>
      <w:lang w:val="en-US" w:eastAsia="zh-CN" w:bidi="ar-SA"/>
    </w:rPr>
  </w:style>
  <w:style w:type="paragraph" w:customStyle="1" w:styleId="143">
    <w:name w:val="修订2"/>
    <w:hidden/>
    <w:semiHidden/>
    <w:qFormat/>
    <w:uiPriority w:val="99"/>
    <w:rPr>
      <w:rFonts w:ascii="Times New Roman" w:hAnsi="Times New Roman" w:eastAsia="宋体" w:cs="Times New Roman"/>
      <w:kern w:val="2"/>
      <w:sz w:val="21"/>
      <w:lang w:val="en-US" w:eastAsia="zh-CN" w:bidi="ar-SA"/>
    </w:rPr>
  </w:style>
  <w:style w:type="paragraph" w:customStyle="1" w:styleId="144">
    <w:name w:val="_Style 62"/>
    <w:basedOn w:val="1"/>
    <w:next w:val="95"/>
    <w:qFormat/>
    <w:uiPriority w:val="34"/>
    <w:pPr>
      <w:ind w:firstLine="420" w:firstLineChars="200"/>
    </w:pPr>
    <w:rPr>
      <w:szCs w:val="24"/>
    </w:rPr>
  </w:style>
  <w:style w:type="character" w:customStyle="1" w:styleId="145">
    <w:name w:val="font11"/>
    <w:basedOn w:val="38"/>
    <w:qFormat/>
    <w:uiPriority w:val="0"/>
    <w:rPr>
      <w:rFonts w:hint="default" w:ascii="Times New Roman" w:hAnsi="Times New Roman" w:cs="Times New Roman"/>
      <w:color w:val="000000"/>
      <w:sz w:val="21"/>
      <w:szCs w:val="21"/>
      <w:u w:val="none"/>
    </w:rPr>
  </w:style>
  <w:style w:type="character" w:customStyle="1" w:styleId="146">
    <w:name w:val="font21"/>
    <w:basedOn w:val="38"/>
    <w:qFormat/>
    <w:uiPriority w:val="0"/>
    <w:rPr>
      <w:rFonts w:hint="default" w:ascii="Times New Roman" w:hAnsi="Times New Roman" w:cs="Times New Roman"/>
      <w:color w:val="00B05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5532</Words>
  <Characters>7684</Characters>
  <Lines>48</Lines>
  <Paragraphs>13</Paragraphs>
  <TotalTime>7</TotalTime>
  <ScaleCrop>false</ScaleCrop>
  <LinksUpToDate>false</LinksUpToDate>
  <CharactersWithSpaces>8201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2024-08-13T14:14:00Z</dcterms:created>
  <dc:creator>俞金生</dc:creator>
  <cp:lastModifiedBy>阮桂色</cp:lastModifiedBy>
  <cp:lastPrinted>2015-07-22T07:26:00Z</cp:lastPrinted>
  <dcterms:modified xsi:type="dcterms:W3CDTF">2024-12-11T01:34:14Z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68B4EEE91EE54738AE0ABB7C0153E3A5_13</vt:lpwstr>
  </property>
</Properties>
</file>